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21AF" w14:textId="37BEB207" w:rsidR="006E3347" w:rsidRPr="0088305B" w:rsidRDefault="006E3347" w:rsidP="0088305B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88305B">
        <w:rPr>
          <w:rFonts w:ascii="Arial" w:hAnsi="Arial" w:cs="Arial"/>
          <w:b/>
          <w:bCs/>
          <w:sz w:val="22"/>
          <w:szCs w:val="22"/>
          <w:lang w:val="es-PE"/>
        </w:rPr>
        <w:t>Título:</w:t>
      </w:r>
      <w:r w:rsidRPr="0088305B">
        <w:rPr>
          <w:rFonts w:ascii="Arial" w:hAnsi="Arial" w:cs="Arial"/>
          <w:sz w:val="22"/>
          <w:szCs w:val="22"/>
          <w:lang w:val="es-PE"/>
        </w:rPr>
        <w:t xml:space="preserve"> </w:t>
      </w:r>
      <w:r w:rsidR="0088305B" w:rsidRPr="0088305B">
        <w:rPr>
          <w:rFonts w:ascii="Arial" w:hAnsi="Arial" w:cs="Arial"/>
          <w:sz w:val="22"/>
          <w:szCs w:val="22"/>
          <w:lang w:val="es-PE"/>
        </w:rPr>
        <w:t>Abastecimiento de cal y caliza como una estrategia de valor compartido en una Unidad Minera a Tajo Abierto</w:t>
      </w:r>
    </w:p>
    <w:p w14:paraId="22E392CE" w14:textId="77777777" w:rsidR="0088305B" w:rsidRPr="0088305B" w:rsidRDefault="006E3347" w:rsidP="0088305B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88305B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88305B">
        <w:rPr>
          <w:rFonts w:ascii="Arial" w:hAnsi="Arial" w:cs="Arial"/>
          <w:sz w:val="22"/>
          <w:szCs w:val="22"/>
          <w:lang w:val="es-PE"/>
        </w:rPr>
        <w:t xml:space="preserve"> </w:t>
      </w:r>
      <w:r w:rsidR="0088305B" w:rsidRPr="0088305B">
        <w:rPr>
          <w:rFonts w:ascii="Arial" w:hAnsi="Arial" w:cs="Arial"/>
          <w:sz w:val="22"/>
          <w:szCs w:val="22"/>
          <w:lang w:val="es-PE"/>
        </w:rPr>
        <w:t xml:space="preserve">Responsabilidad social empresarial / valor compartido. </w:t>
      </w:r>
    </w:p>
    <w:p w14:paraId="752284F0" w14:textId="27E1F793" w:rsidR="006E3347" w:rsidRPr="0088305B" w:rsidRDefault="006E3347" w:rsidP="0088305B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88305B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88305B">
        <w:rPr>
          <w:rFonts w:ascii="Arial" w:hAnsi="Arial" w:cs="Arial"/>
          <w:sz w:val="22"/>
          <w:szCs w:val="22"/>
          <w:lang w:val="es-PE"/>
        </w:rPr>
        <w:t xml:space="preserve"> ESG (</w:t>
      </w:r>
      <w:proofErr w:type="spellStart"/>
      <w:r w:rsidRPr="0088305B">
        <w:rPr>
          <w:rFonts w:ascii="Arial" w:hAnsi="Arial" w:cs="Arial"/>
          <w:sz w:val="22"/>
          <w:szCs w:val="22"/>
          <w:lang w:val="es-PE"/>
        </w:rPr>
        <w:t>Environmental</w:t>
      </w:r>
      <w:proofErr w:type="spellEnd"/>
      <w:r w:rsidRPr="0088305B">
        <w:rPr>
          <w:rFonts w:ascii="Arial" w:hAnsi="Arial" w:cs="Arial"/>
          <w:sz w:val="22"/>
          <w:szCs w:val="22"/>
          <w:lang w:val="es-PE"/>
        </w:rPr>
        <w:t xml:space="preserve">, Social, </w:t>
      </w:r>
      <w:proofErr w:type="spellStart"/>
      <w:r w:rsidRPr="0088305B">
        <w:rPr>
          <w:rFonts w:ascii="Arial" w:hAnsi="Arial" w:cs="Arial"/>
          <w:sz w:val="22"/>
          <w:szCs w:val="22"/>
          <w:lang w:val="es-PE"/>
        </w:rPr>
        <w:t>Governance</w:t>
      </w:r>
      <w:proofErr w:type="spellEnd"/>
      <w:r w:rsidRPr="0088305B">
        <w:rPr>
          <w:rFonts w:ascii="Arial" w:hAnsi="Arial" w:cs="Arial"/>
          <w:sz w:val="22"/>
          <w:szCs w:val="22"/>
          <w:lang w:val="es-PE"/>
        </w:rPr>
        <w:t>)</w:t>
      </w:r>
    </w:p>
    <w:p w14:paraId="74DF1576" w14:textId="22F381C9" w:rsidR="006E3347" w:rsidRPr="0088305B" w:rsidRDefault="006E3347" w:rsidP="0088305B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88305B">
        <w:rPr>
          <w:rFonts w:ascii="Arial" w:hAnsi="Arial" w:cs="Arial"/>
          <w:b/>
          <w:bCs/>
          <w:sz w:val="22"/>
          <w:szCs w:val="22"/>
          <w:lang w:val="es-PE"/>
        </w:rPr>
        <w:t>Datos del autor y coautores:</w:t>
      </w:r>
      <w:r w:rsidRPr="0088305B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1F51518E" w14:textId="6493776A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88305B">
        <w:rPr>
          <w:rFonts w:ascii="Arial" w:hAnsi="Arial" w:cs="Arial"/>
          <w:sz w:val="22"/>
          <w:szCs w:val="22"/>
          <w:lang w:val="es-PE"/>
        </w:rPr>
        <w:t xml:space="preserve">Christa Quiroz Cotrina | Antamina | Ingeniera Senior de Planeamiento Largo Plazo | San Luis 379, Cajamarca | </w:t>
      </w:r>
      <w:r w:rsidRPr="00E43742">
        <w:rPr>
          <w:rFonts w:ascii="Arial" w:hAnsi="Arial" w:cs="Arial"/>
          <w:sz w:val="22"/>
          <w:szCs w:val="22"/>
          <w:lang w:val="es-PE"/>
        </w:rPr>
        <w:t>cquirozc@antamina.com</w:t>
      </w:r>
      <w:r w:rsidRPr="0088305B">
        <w:rPr>
          <w:rFonts w:ascii="Arial" w:hAnsi="Arial" w:cs="Arial"/>
          <w:sz w:val="22"/>
          <w:szCs w:val="22"/>
          <w:lang w:val="es-PE"/>
        </w:rPr>
        <w:t xml:space="preserve"> | </w:t>
      </w:r>
      <w:r w:rsidRPr="00E43742">
        <w:rPr>
          <w:rFonts w:ascii="Arial" w:hAnsi="Arial" w:cs="Arial"/>
          <w:sz w:val="22"/>
          <w:szCs w:val="22"/>
          <w:lang w:val="es-PE"/>
        </w:rPr>
        <w:t>christa.qc@gmail.com</w:t>
      </w:r>
      <w:r w:rsidRPr="0088305B">
        <w:rPr>
          <w:rFonts w:ascii="Arial" w:hAnsi="Arial" w:cs="Arial"/>
          <w:sz w:val="22"/>
          <w:szCs w:val="22"/>
          <w:lang w:val="es-PE"/>
        </w:rPr>
        <w:t xml:space="preserve"> | 977126297</w:t>
      </w:r>
    </w:p>
    <w:p w14:paraId="49F059A0" w14:textId="581DFD12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Débora Torres Chamorro | Buenaventura | Analista de Permisos | Av. Universitaria 620, dpto. 104, Lima Metropolitana, Distrito San Miguel | debora.torres@buenaventura.pe | debora.torresch@gmail.com | 970367689</w:t>
      </w:r>
    </w:p>
    <w:p w14:paraId="11077764" w14:textId="24DFE4D9" w:rsidR="006E3347" w:rsidRPr="0088305B" w:rsidRDefault="006E3347" w:rsidP="0088305B">
      <w:pPr>
        <w:spacing w:line="360" w:lineRule="auto"/>
        <w:rPr>
          <w:rFonts w:ascii="Arial" w:hAnsi="Arial" w:cs="Arial"/>
          <w:color w:val="A02B93" w:themeColor="accent5"/>
          <w:sz w:val="22"/>
          <w:szCs w:val="22"/>
          <w:lang w:val="es-419"/>
        </w:rPr>
      </w:pPr>
      <w:r w:rsidRPr="0088305B"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  <w:r w:rsidRPr="0088305B">
        <w:rPr>
          <w:rFonts w:ascii="Arial" w:hAnsi="Arial" w:cs="Arial"/>
          <w:sz w:val="22"/>
          <w:szCs w:val="22"/>
          <w:lang w:val="es-PE"/>
        </w:rPr>
        <w:t xml:space="preserve"> </w:t>
      </w:r>
      <w:r w:rsidR="0088305B" w:rsidRPr="0088305B">
        <w:rPr>
          <w:rFonts w:ascii="Arial" w:hAnsi="Arial" w:cs="Arial"/>
          <w:sz w:val="22"/>
          <w:szCs w:val="22"/>
          <w:lang w:val="es-419"/>
        </w:rPr>
        <w:t>Valor compartido, Minería sostenible, Abastecimiento local, Clúster productivo, Programación lineal, Normalización de datos</w:t>
      </w:r>
    </w:p>
    <w:p w14:paraId="118481F5" w14:textId="5C403399" w:rsidR="0088305B" w:rsidRPr="0088305B" w:rsidRDefault="0088305B" w:rsidP="0088305B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88305B">
        <w:rPr>
          <w:rFonts w:ascii="Arial" w:hAnsi="Arial" w:cs="Arial"/>
          <w:b/>
          <w:bCs/>
          <w:sz w:val="22"/>
          <w:szCs w:val="22"/>
          <w:lang w:val="es-PE"/>
        </w:rPr>
        <w:t>Resu</w:t>
      </w:r>
      <w:r>
        <w:rPr>
          <w:rFonts w:ascii="Arial" w:hAnsi="Arial" w:cs="Arial"/>
          <w:b/>
          <w:bCs/>
          <w:sz w:val="22"/>
          <w:szCs w:val="22"/>
          <w:lang w:val="es-PE"/>
        </w:rPr>
        <w:t>men</w:t>
      </w:r>
    </w:p>
    <w:p w14:paraId="237A4C47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Esta investigación se desarrolla en el sector minero peruano, específicamente en una operación a tajo abierto de la empresa Minera Au-Cu que lleva más de 25 años procesando minerales para obtener oro doré. La empresa planea modificar sus procesos metalúrgicos para recuperar cobre, lo que incrementará significativamente su demanda de cal y caliza, insumos clave para los procesos de lixiviación y tratamiento de aguas.</w:t>
      </w:r>
    </w:p>
    <w:p w14:paraId="25CD0315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El sector minero peruano, pese a ser un importante motor económico del país (segundo productor mundial de cobre y zinc), enfrenta frecuentes conflictos sociales por expectativas insatisfechas de las comunidades, impactos ambientales negativos y desconfianza general hacia la actividad minera. Ante este panorama, Minera Au-Cu busca implementar una estrategia de valor compartido (concepto desarrollado por Porter y Kramer en 2011) que permita generar simultáneamente valor económico para la empresa y valor social para las comunidades de su área de influencia a través del abastecimiento de cal y caliza.</w:t>
      </w:r>
    </w:p>
    <w:p w14:paraId="44FBF473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La empresa proyecta una demanda de 260,000 toneladas anuales de cal y caliza durante los próximos 20 años, lo que representa una oportunidad para desarrollar un clúster de productores locales, fortaleciendo la economía regional y mejorando las relaciones con las comunidades cercanas.</w:t>
      </w:r>
    </w:p>
    <w:p w14:paraId="2700FEBC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lastRenderedPageBreak/>
        <w:t>El objetivo principal es diseñar e implementar un modelo que permita medir cuantitativamente la generación de valor compartido en el abastecimiento de cal y caliza en Minera Au-Cu. Este modelo busca proporcionar a la empresa una herramienta para seleccionar la estrategia con mayor potencial de valor compartido, evaluando el impacto económico, social y ambiental en diversos escenarios establecidos.</w:t>
      </w:r>
    </w:p>
    <w:p w14:paraId="68EEFD24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La investigación, de tipo aplicada y correlacional con enfoque mixto, desarrolló un análisis asincrónico con proyección a 21 años utilizando datos históricos desde 2020 como fuente primaria, complementados con bibliografía sobre valor compartido como fuente secundaria.</w:t>
      </w:r>
    </w:p>
    <w:p w14:paraId="33723AA6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El modelo evaluó 10 escenarios de abastecimiento que combinan variables como:</w:t>
      </w:r>
    </w:p>
    <w:p w14:paraId="4040D3B6" w14:textId="77777777" w:rsidR="0088305B" w:rsidRPr="0088305B" w:rsidRDefault="0088305B" w:rsidP="00E4374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Uso de cantera propia (Cantera Rocca) versus canteras externas</w:t>
      </w:r>
    </w:p>
    <w:p w14:paraId="1206CC0E" w14:textId="77777777" w:rsidR="0088305B" w:rsidRPr="0088305B" w:rsidRDefault="0088305B" w:rsidP="00E4374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Origen de la cal (fina y gruesa) y piedra caliza</w:t>
      </w:r>
    </w:p>
    <w:p w14:paraId="29CEEDE2" w14:textId="77777777" w:rsidR="0088305B" w:rsidRPr="0088305B" w:rsidRDefault="0088305B" w:rsidP="00E4374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Operación por la empresa versus por proveedores locales</w:t>
      </w:r>
    </w:p>
    <w:p w14:paraId="0288C4CE" w14:textId="77777777" w:rsidR="0088305B" w:rsidRPr="0088305B" w:rsidRDefault="0088305B" w:rsidP="00E4374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Implementación de un molino de bolas para transformar cal gruesa en fina</w:t>
      </w:r>
    </w:p>
    <w:p w14:paraId="53F2D42C" w14:textId="77777777" w:rsidR="0088305B" w:rsidRPr="0088305B" w:rsidRDefault="0088305B" w:rsidP="00E4374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Reutilización de finos de cal como sustitutos de piedra caliza</w:t>
      </w:r>
    </w:p>
    <w:p w14:paraId="25C284D0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8305B">
        <w:rPr>
          <w:rFonts w:ascii="Arial" w:hAnsi="Arial" w:cs="Arial"/>
          <w:sz w:val="22"/>
          <w:szCs w:val="22"/>
          <w:lang w:val="es-419"/>
        </w:rPr>
        <w:t xml:space="preserve">Para cada escenario, se empleó programación lineal utilizando la herramienta </w:t>
      </w:r>
      <w:proofErr w:type="spellStart"/>
      <w:r w:rsidRPr="0088305B">
        <w:rPr>
          <w:rFonts w:ascii="Arial" w:hAnsi="Arial" w:cs="Arial"/>
          <w:sz w:val="22"/>
          <w:szCs w:val="22"/>
          <w:lang w:val="es-419"/>
        </w:rPr>
        <w:t>Solver</w:t>
      </w:r>
      <w:proofErr w:type="spellEnd"/>
      <w:r w:rsidRPr="0088305B">
        <w:rPr>
          <w:rFonts w:ascii="Arial" w:hAnsi="Arial" w:cs="Arial"/>
          <w:sz w:val="22"/>
          <w:szCs w:val="22"/>
          <w:lang w:val="es-419"/>
        </w:rPr>
        <w:t xml:space="preserve"> de Excel para optimizar costos y determinar las cantidades óptimas de cada material según su origen. </w:t>
      </w:r>
      <w:r w:rsidRPr="0088305B">
        <w:rPr>
          <w:rFonts w:ascii="Arial" w:hAnsi="Arial" w:cs="Arial"/>
          <w:sz w:val="22"/>
          <w:szCs w:val="22"/>
        </w:rPr>
        <w:t xml:space="preserve">Los </w:t>
      </w:r>
      <w:proofErr w:type="spellStart"/>
      <w:r w:rsidRPr="0088305B">
        <w:rPr>
          <w:rFonts w:ascii="Arial" w:hAnsi="Arial" w:cs="Arial"/>
          <w:sz w:val="22"/>
          <w:szCs w:val="22"/>
        </w:rPr>
        <w:t>resultados</w:t>
      </w:r>
      <w:proofErr w:type="spellEnd"/>
      <w:r w:rsidRPr="0088305B">
        <w:rPr>
          <w:rFonts w:ascii="Arial" w:hAnsi="Arial" w:cs="Arial"/>
          <w:sz w:val="22"/>
          <w:szCs w:val="22"/>
        </w:rPr>
        <w:t xml:space="preserve"> se </w:t>
      </w:r>
      <w:proofErr w:type="spellStart"/>
      <w:r w:rsidRPr="0088305B">
        <w:rPr>
          <w:rFonts w:ascii="Arial" w:hAnsi="Arial" w:cs="Arial"/>
          <w:sz w:val="22"/>
          <w:szCs w:val="22"/>
        </w:rPr>
        <w:t>evaluaron</w:t>
      </w:r>
      <w:proofErr w:type="spellEnd"/>
      <w:r w:rsidRPr="0088305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8305B">
        <w:rPr>
          <w:rFonts w:ascii="Arial" w:hAnsi="Arial" w:cs="Arial"/>
          <w:sz w:val="22"/>
          <w:szCs w:val="22"/>
        </w:rPr>
        <w:t>en</w:t>
      </w:r>
      <w:proofErr w:type="spellEnd"/>
      <w:r w:rsidRPr="0088305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8305B">
        <w:rPr>
          <w:rFonts w:ascii="Arial" w:hAnsi="Arial" w:cs="Arial"/>
          <w:sz w:val="22"/>
          <w:szCs w:val="22"/>
        </w:rPr>
        <w:t>tres</w:t>
      </w:r>
      <w:proofErr w:type="spellEnd"/>
      <w:r w:rsidRPr="0088305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8305B">
        <w:rPr>
          <w:rFonts w:ascii="Arial" w:hAnsi="Arial" w:cs="Arial"/>
          <w:sz w:val="22"/>
          <w:szCs w:val="22"/>
        </w:rPr>
        <w:t>dimensiones</w:t>
      </w:r>
      <w:proofErr w:type="spellEnd"/>
      <w:r w:rsidRPr="0088305B">
        <w:rPr>
          <w:rFonts w:ascii="Arial" w:hAnsi="Arial" w:cs="Arial"/>
          <w:sz w:val="22"/>
          <w:szCs w:val="22"/>
        </w:rPr>
        <w:t>:</w:t>
      </w:r>
    </w:p>
    <w:p w14:paraId="326DEE77" w14:textId="77777777" w:rsidR="0088305B" w:rsidRPr="0088305B" w:rsidRDefault="0088305B" w:rsidP="00E4374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b/>
          <w:bCs/>
          <w:sz w:val="22"/>
          <w:szCs w:val="22"/>
          <w:lang w:val="es-419"/>
        </w:rPr>
        <w:t>Dimensión Económica</w:t>
      </w:r>
      <w:r w:rsidRPr="0088305B">
        <w:rPr>
          <w:rFonts w:ascii="Arial" w:hAnsi="Arial" w:cs="Arial"/>
          <w:sz w:val="22"/>
          <w:szCs w:val="22"/>
          <w:lang w:val="es-419"/>
        </w:rPr>
        <w:t xml:space="preserve">: Free Cash Flow, Valor Actual Neto, Tasa Interna de Retorno, Índice PI y </w:t>
      </w:r>
      <w:proofErr w:type="spellStart"/>
      <w:r w:rsidRPr="0088305B">
        <w:rPr>
          <w:rFonts w:ascii="Arial" w:hAnsi="Arial" w:cs="Arial"/>
          <w:sz w:val="22"/>
          <w:szCs w:val="22"/>
          <w:lang w:val="es-419"/>
        </w:rPr>
        <w:t>All</w:t>
      </w:r>
      <w:proofErr w:type="spellEnd"/>
      <w:r w:rsidRPr="0088305B">
        <w:rPr>
          <w:rFonts w:ascii="Arial" w:hAnsi="Arial" w:cs="Arial"/>
          <w:sz w:val="22"/>
          <w:szCs w:val="22"/>
          <w:lang w:val="es-419"/>
        </w:rPr>
        <w:t xml:space="preserve">-In </w:t>
      </w:r>
      <w:proofErr w:type="spellStart"/>
      <w:r w:rsidRPr="0088305B">
        <w:rPr>
          <w:rFonts w:ascii="Arial" w:hAnsi="Arial" w:cs="Arial"/>
          <w:sz w:val="22"/>
          <w:szCs w:val="22"/>
          <w:lang w:val="es-419"/>
        </w:rPr>
        <w:t>Sustaining</w:t>
      </w:r>
      <w:proofErr w:type="spellEnd"/>
      <w:r w:rsidRPr="0088305B">
        <w:rPr>
          <w:rFonts w:ascii="Arial" w:hAnsi="Arial" w:cs="Arial"/>
          <w:sz w:val="22"/>
          <w:szCs w:val="22"/>
          <w:lang w:val="es-419"/>
        </w:rPr>
        <w:t xml:space="preserve"> </w:t>
      </w:r>
      <w:proofErr w:type="spellStart"/>
      <w:r w:rsidRPr="0088305B">
        <w:rPr>
          <w:rFonts w:ascii="Arial" w:hAnsi="Arial" w:cs="Arial"/>
          <w:sz w:val="22"/>
          <w:szCs w:val="22"/>
          <w:lang w:val="es-419"/>
        </w:rPr>
        <w:t>Cost</w:t>
      </w:r>
      <w:proofErr w:type="spellEnd"/>
      <w:r w:rsidRPr="0088305B">
        <w:rPr>
          <w:rFonts w:ascii="Arial" w:hAnsi="Arial" w:cs="Arial"/>
          <w:sz w:val="22"/>
          <w:szCs w:val="22"/>
          <w:lang w:val="es-419"/>
        </w:rPr>
        <w:t>.</w:t>
      </w:r>
    </w:p>
    <w:p w14:paraId="3E6208F9" w14:textId="77777777" w:rsidR="0088305B" w:rsidRPr="0088305B" w:rsidRDefault="0088305B" w:rsidP="00E4374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b/>
          <w:bCs/>
          <w:sz w:val="22"/>
          <w:szCs w:val="22"/>
          <w:lang w:val="es-419"/>
        </w:rPr>
        <w:t>Dimensión Social</w:t>
      </w:r>
      <w:r w:rsidRPr="0088305B">
        <w:rPr>
          <w:rFonts w:ascii="Arial" w:hAnsi="Arial" w:cs="Arial"/>
          <w:sz w:val="22"/>
          <w:szCs w:val="22"/>
          <w:lang w:val="es-419"/>
        </w:rPr>
        <w:t>: Concentración geográfica (% de empleados locales), desarrollo de habilidades (número de capacitaciones) y capacidad innovadora (diversificación de productos).</w:t>
      </w:r>
    </w:p>
    <w:p w14:paraId="51FF05B5" w14:textId="77777777" w:rsidR="0088305B" w:rsidRPr="0088305B" w:rsidRDefault="0088305B" w:rsidP="00E43742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b/>
          <w:bCs/>
          <w:sz w:val="22"/>
          <w:szCs w:val="22"/>
          <w:lang w:val="es-419"/>
        </w:rPr>
        <w:t>Dimensión Ambiental</w:t>
      </w:r>
      <w:r w:rsidRPr="0088305B">
        <w:rPr>
          <w:rFonts w:ascii="Arial" w:hAnsi="Arial" w:cs="Arial"/>
          <w:sz w:val="22"/>
          <w:szCs w:val="22"/>
          <w:lang w:val="es-419"/>
        </w:rPr>
        <w:t>: Economía circular (toneladas de piedra caliza reutilizada) y uso eficiente de energía (kilómetros de acarreo).</w:t>
      </w:r>
    </w:p>
    <w:p w14:paraId="3F8AD502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 xml:space="preserve">Los resultados de las tres dimensiones fueron normalizados mediante técnicas de </w:t>
      </w:r>
      <w:proofErr w:type="spellStart"/>
      <w:r w:rsidRPr="0088305B">
        <w:rPr>
          <w:rFonts w:ascii="Arial" w:hAnsi="Arial" w:cs="Arial"/>
          <w:sz w:val="22"/>
          <w:szCs w:val="22"/>
          <w:lang w:val="es-419"/>
        </w:rPr>
        <w:t>binning</w:t>
      </w:r>
      <w:proofErr w:type="spellEnd"/>
      <w:r w:rsidRPr="0088305B">
        <w:rPr>
          <w:rFonts w:ascii="Arial" w:hAnsi="Arial" w:cs="Arial"/>
          <w:sz w:val="22"/>
          <w:szCs w:val="22"/>
          <w:lang w:val="es-419"/>
        </w:rPr>
        <w:t xml:space="preserve"> y transformación a una escala de 0-100 para facilitar su comparación integrada.</w:t>
      </w:r>
    </w:p>
    <w:p w14:paraId="31035505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El análisis demostró que diferentes escenarios destacan en distintas dimensiones:</w:t>
      </w:r>
    </w:p>
    <w:p w14:paraId="67E17CC0" w14:textId="77777777" w:rsidR="0088305B" w:rsidRPr="0088305B" w:rsidRDefault="0088305B" w:rsidP="00E43742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b/>
          <w:bCs/>
          <w:sz w:val="22"/>
          <w:szCs w:val="22"/>
          <w:lang w:val="es-419"/>
        </w:rPr>
        <w:lastRenderedPageBreak/>
        <w:t>Eje Económico</w:t>
      </w:r>
      <w:r w:rsidRPr="0088305B">
        <w:rPr>
          <w:rFonts w:ascii="Arial" w:hAnsi="Arial" w:cs="Arial"/>
          <w:sz w:val="22"/>
          <w:szCs w:val="22"/>
          <w:lang w:val="es-419"/>
        </w:rPr>
        <w:t>: El escenario CR-3 (Abastecimiento equilibrado) obtuvo los mejores resultados entre los escenarios con cantera propia, mientras que SR-2 (Adquisición de nueva cantera local) fue el mejor entre los escenarios sin cantera propia.</w:t>
      </w:r>
    </w:p>
    <w:p w14:paraId="507BCD15" w14:textId="77777777" w:rsidR="0088305B" w:rsidRPr="0088305B" w:rsidRDefault="0088305B" w:rsidP="00E43742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b/>
          <w:bCs/>
          <w:sz w:val="22"/>
          <w:szCs w:val="22"/>
          <w:lang w:val="es-419"/>
        </w:rPr>
        <w:t>Eje Social</w:t>
      </w:r>
      <w:r w:rsidRPr="0088305B">
        <w:rPr>
          <w:rFonts w:ascii="Arial" w:hAnsi="Arial" w:cs="Arial"/>
          <w:sz w:val="22"/>
          <w:szCs w:val="22"/>
          <w:lang w:val="es-419"/>
        </w:rPr>
        <w:t>: El escenario CR-5 (Maximización de empleo local) destacó entre los escenarios con cantera propia, mientras que SR-1 (Abastecimiento a través de nueva cantera local) fue el mejor sin cantera propia.</w:t>
      </w:r>
    </w:p>
    <w:p w14:paraId="387777B8" w14:textId="77777777" w:rsidR="0088305B" w:rsidRPr="0088305B" w:rsidRDefault="0088305B" w:rsidP="00E43742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b/>
          <w:bCs/>
          <w:sz w:val="22"/>
          <w:szCs w:val="22"/>
          <w:lang w:val="es-419"/>
        </w:rPr>
        <w:t>Eje Ambiental</w:t>
      </w:r>
      <w:r w:rsidRPr="0088305B">
        <w:rPr>
          <w:rFonts w:ascii="Arial" w:hAnsi="Arial" w:cs="Arial"/>
          <w:sz w:val="22"/>
          <w:szCs w:val="22"/>
          <w:lang w:val="es-419"/>
        </w:rPr>
        <w:t>: El escenario CR-4 (Ampliación agresiva cantera Rocca) mostró mejores resultados con cantera propia, mientras que SR-2 (Adquisición de nueva cantera local) fue el mejor sin cantera propia.</w:t>
      </w:r>
    </w:p>
    <w:p w14:paraId="5A38A68F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Considerando los tres ejes en conjunto, el escenario CR-3 (Abastecimiento equilibrado) resultó ser la estrategia óptima para generar valor compartido, con un balance entre beneficios económicos, sociales y ambientales.</w:t>
      </w:r>
    </w:p>
    <w:p w14:paraId="108D33EB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La investigación demostró que es posible medir cuantitativamente el valor compartido en operaciones mineras, y que para una evaluación integral se deben considerar conjuntamente las dimensiones económica, social y ambiental, no de manera aislada.</w:t>
      </w:r>
    </w:p>
    <w:p w14:paraId="140D86FB" w14:textId="77777777" w:rsidR="0088305B" w:rsidRP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Se recomienda implementar el escenario CR-3 (Abastecimiento equilibrado) y realizar un seguimiento continuo de su progreso para identificar nuevas oportunidades de mejora. Asimismo, se sugiere fortalecer las capacidades técnico-productivas y de gestión de los productores locales, fomentar una cultura de innovación y colaboración, y establecer sinergias con otras unidades mineras de la región para desarrollar un clúster regional de cal y caliza.</w:t>
      </w:r>
    </w:p>
    <w:p w14:paraId="65FFFF08" w14:textId="77777777" w:rsidR="0088305B" w:rsidRDefault="0088305B" w:rsidP="00E43742">
      <w:pPr>
        <w:spacing w:line="360" w:lineRule="auto"/>
        <w:jc w:val="both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sz w:val="22"/>
          <w:szCs w:val="22"/>
          <w:lang w:val="es-419"/>
        </w:rPr>
        <w:t>La investigación advierte sobre el riesgo de monopolio de mercado, recomendando mantener operativa la cantera propia como respaldo y fortalecer clústeres externos alternativos que sirvan como plan de contingencia.</w:t>
      </w:r>
    </w:p>
    <w:p w14:paraId="29CEDEB9" w14:textId="77777777" w:rsidR="0088305B" w:rsidRPr="0088305B" w:rsidRDefault="0088305B" w:rsidP="0088305B">
      <w:pPr>
        <w:spacing w:line="360" w:lineRule="auto"/>
        <w:rPr>
          <w:rFonts w:ascii="Arial" w:hAnsi="Arial" w:cs="Arial"/>
          <w:sz w:val="22"/>
          <w:szCs w:val="22"/>
          <w:lang w:val="es-419"/>
        </w:rPr>
      </w:pPr>
    </w:p>
    <w:p w14:paraId="3879FD6E" w14:textId="77777777" w:rsidR="006E3347" w:rsidRPr="0088305B" w:rsidRDefault="006E3347" w:rsidP="0088305B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88305B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39A9212E" w14:textId="16EB93EB" w:rsidR="0088305B" w:rsidRPr="0088305B" w:rsidRDefault="0088305B" w:rsidP="0088305B">
      <w:pPr>
        <w:spacing w:line="360" w:lineRule="auto"/>
        <w:rPr>
          <w:rFonts w:ascii="Arial" w:hAnsi="Arial" w:cs="Arial"/>
          <w:sz w:val="22"/>
          <w:szCs w:val="22"/>
          <w:lang w:val="es-419"/>
        </w:rPr>
      </w:pPr>
      <w:r w:rsidRPr="0088305B">
        <w:rPr>
          <w:rFonts w:ascii="Arial" w:hAnsi="Arial" w:cs="Arial"/>
          <w:b/>
          <w:bCs/>
          <w:sz w:val="22"/>
          <w:szCs w:val="22"/>
          <w:lang w:val="es-419"/>
        </w:rPr>
        <w:t>Christa Quiroz</w:t>
      </w:r>
      <w:r w:rsidRPr="0088305B">
        <w:rPr>
          <w:rFonts w:ascii="Arial" w:hAnsi="Arial" w:cs="Arial"/>
          <w:sz w:val="22"/>
          <w:szCs w:val="22"/>
          <w:lang w:val="es-419"/>
        </w:rPr>
        <w:t xml:space="preserve"> – Ingeniera Senior de Planeamiento Largo Plazo. Ingeniera de minas con más de 10 años de experiencia. Tiene </w:t>
      </w:r>
      <w:r w:rsidR="00FE3B33">
        <w:rPr>
          <w:rFonts w:ascii="Arial" w:hAnsi="Arial" w:cs="Arial"/>
          <w:sz w:val="22"/>
          <w:szCs w:val="22"/>
          <w:lang w:val="es-419"/>
        </w:rPr>
        <w:t>un MMBA</w:t>
      </w:r>
      <w:r w:rsidRPr="0088305B">
        <w:rPr>
          <w:rFonts w:ascii="Arial" w:hAnsi="Arial" w:cs="Arial"/>
          <w:sz w:val="22"/>
          <w:szCs w:val="22"/>
          <w:lang w:val="es-419"/>
        </w:rPr>
        <w:t xml:space="preserve"> en Gestión Minera.</w:t>
      </w:r>
    </w:p>
    <w:p w14:paraId="7AC4CACE" w14:textId="0CF58AE7" w:rsidR="5E877FD0" w:rsidRPr="0088305B" w:rsidRDefault="0088305B" w:rsidP="0088305B">
      <w:pPr>
        <w:spacing w:line="360" w:lineRule="auto"/>
        <w:rPr>
          <w:rFonts w:ascii="Arial" w:hAnsi="Arial" w:cs="Arial"/>
          <w:b/>
          <w:bCs/>
          <w:color w:val="A02B93" w:themeColor="accent5"/>
          <w:sz w:val="22"/>
          <w:szCs w:val="22"/>
          <w:lang w:val="es-PE"/>
        </w:rPr>
      </w:pPr>
      <w:r w:rsidRPr="0088305B">
        <w:rPr>
          <w:rFonts w:ascii="Arial" w:hAnsi="Arial" w:cs="Arial"/>
          <w:b/>
          <w:bCs/>
          <w:sz w:val="22"/>
          <w:szCs w:val="22"/>
          <w:lang w:val="es-419"/>
        </w:rPr>
        <w:t>Débora Torres</w:t>
      </w:r>
      <w:r w:rsidRPr="0088305B">
        <w:rPr>
          <w:rFonts w:ascii="Arial" w:hAnsi="Arial" w:cs="Arial"/>
          <w:sz w:val="22"/>
          <w:szCs w:val="22"/>
          <w:lang w:val="es-419"/>
        </w:rPr>
        <w:t xml:space="preserve"> </w:t>
      </w:r>
      <w:r>
        <w:rPr>
          <w:rFonts w:ascii="Arial" w:hAnsi="Arial" w:cs="Arial"/>
          <w:sz w:val="22"/>
          <w:szCs w:val="22"/>
          <w:lang w:val="es-419"/>
        </w:rPr>
        <w:t>–</w:t>
      </w:r>
      <w:r w:rsidRPr="0088305B">
        <w:rPr>
          <w:rFonts w:ascii="Arial" w:hAnsi="Arial" w:cs="Arial"/>
          <w:sz w:val="22"/>
          <w:szCs w:val="22"/>
          <w:lang w:val="es-419"/>
        </w:rPr>
        <w:t xml:space="preserve"> </w:t>
      </w:r>
      <w:r w:rsidR="006B27F3" w:rsidRPr="006B27F3">
        <w:rPr>
          <w:rFonts w:ascii="Arial" w:hAnsi="Arial" w:cs="Arial"/>
          <w:sz w:val="22"/>
          <w:szCs w:val="22"/>
          <w:lang w:val="es-419"/>
        </w:rPr>
        <w:t>Arquitecta con MMBA en gestión minera, más de 8 años de experiencia en la gestión de permisos y cumplimiento de las obligaciones derivadas.</w:t>
      </w:r>
    </w:p>
    <w:sectPr w:rsidR="5E877FD0" w:rsidRPr="00883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51946"/>
    <w:multiLevelType w:val="multilevel"/>
    <w:tmpl w:val="6C1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F0DC4"/>
    <w:multiLevelType w:val="multilevel"/>
    <w:tmpl w:val="99C6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270F1"/>
    <w:multiLevelType w:val="hybridMultilevel"/>
    <w:tmpl w:val="4E5C8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2D4857"/>
    <w:multiLevelType w:val="multilevel"/>
    <w:tmpl w:val="F88A7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072D69"/>
    <w:multiLevelType w:val="hybridMultilevel"/>
    <w:tmpl w:val="D1181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283785">
    <w:abstractNumId w:val="2"/>
  </w:num>
  <w:num w:numId="2" w16cid:durableId="1096557675">
    <w:abstractNumId w:val="4"/>
  </w:num>
  <w:num w:numId="3" w16cid:durableId="846865624">
    <w:abstractNumId w:val="1"/>
  </w:num>
  <w:num w:numId="4" w16cid:durableId="558397435">
    <w:abstractNumId w:val="3"/>
  </w:num>
  <w:num w:numId="5" w16cid:durableId="1950162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47"/>
    <w:rsid w:val="003460A8"/>
    <w:rsid w:val="006B27F3"/>
    <w:rsid w:val="006E3347"/>
    <w:rsid w:val="007630CB"/>
    <w:rsid w:val="0088305B"/>
    <w:rsid w:val="0096052C"/>
    <w:rsid w:val="00E43742"/>
    <w:rsid w:val="00FE3B33"/>
    <w:rsid w:val="48B9F012"/>
    <w:rsid w:val="5E877FD0"/>
    <w:rsid w:val="6D7266E0"/>
    <w:rsid w:val="7937F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CFE9"/>
  <w15:chartTrackingRefBased/>
  <w15:docId w15:val="{399F8F12-C39D-4D1F-B8EC-2887943B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30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30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a788d16-92a6-4588-a451-33779e7bf2d9" xsi:nil="true"/>
    <lcf76f155ced4ddcb4097134ff3c332f xmlns="d114b9f1-2db8-4e22-836a-1bb2d22b66e2">
      <Terms xmlns="http://schemas.microsoft.com/office/infopath/2007/PartnerControls"/>
    </lcf76f155ced4ddcb4097134ff3c332f>
    <Mod xmlns="d114b9f1-2db8-4e22-836a-1bb2d22b66e2" xsi:nil="true"/>
    <Ubica xmlns="d114b9f1-2db8-4e22-836a-1bb2d22b66e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200DA0F9A24E1438E066028342FC919" ma:contentTypeVersion="" ma:contentTypeDescription="Crear nuevo documento." ma:contentTypeScope="" ma:versionID="632c5340a83e56cb455e1d21eed05d26">
  <xsd:schema xmlns:xsd="http://www.w3.org/2001/XMLSchema" xmlns:xs="http://www.w3.org/2001/XMLSchema" xmlns:p="http://schemas.microsoft.com/office/2006/metadata/properties" xmlns:ns2="d114b9f1-2db8-4e22-836a-1bb2d22b66e2" xmlns:ns3="9a788d16-92a6-4588-a451-33779e7bf2d9" targetNamespace="http://schemas.microsoft.com/office/2006/metadata/properties" ma:root="true" ma:fieldsID="6337598f7a4d7500a9add531e1cdd54f" ns2:_="" ns3:_="">
    <xsd:import namespace="d114b9f1-2db8-4e22-836a-1bb2d22b66e2"/>
    <xsd:import namespace="9a788d16-92a6-4588-a451-33779e7bf2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Ubica" minOccurs="0"/>
                <xsd:element ref="ns2:d63ef4ec-1487-41bb-a278-3bfd58145a20CountryOrRegion" minOccurs="0"/>
                <xsd:element ref="ns2:d63ef4ec-1487-41bb-a278-3bfd58145a20State" minOccurs="0"/>
                <xsd:element ref="ns2:d63ef4ec-1487-41bb-a278-3bfd58145a20City" minOccurs="0"/>
                <xsd:element ref="ns2:d63ef4ec-1487-41bb-a278-3bfd58145a20PostalCode" minOccurs="0"/>
                <xsd:element ref="ns2:d63ef4ec-1487-41bb-a278-3bfd58145a20Street" minOccurs="0"/>
                <xsd:element ref="ns2:d63ef4ec-1487-41bb-a278-3bfd58145a20GeoLoc" minOccurs="0"/>
                <xsd:element ref="ns2:d63ef4ec-1487-41bb-a278-3bfd58145a20DispName" minOccurs="0"/>
                <xsd:element ref="ns2:lcf76f155ced4ddcb4097134ff3c332f" minOccurs="0"/>
                <xsd:element ref="ns3:TaxCatchAll" minOccurs="0"/>
                <xsd:element ref="ns2:Mod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4b9f1-2db8-4e22-836a-1bb2d22b66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Ubica" ma:index="20" nillable="true" ma:displayName="Ubica" ma:format="Dropdown" ma:internalName="Ubica">
      <xsd:simpleType>
        <xsd:restriction base="dms:Unknown"/>
      </xsd:simpleType>
    </xsd:element>
    <xsd:element name="d63ef4ec-1487-41bb-a278-3bfd58145a20CountryOrRegion" ma:index="21" nillable="true" ma:displayName="Ubica: País o región" ma:internalName="CountryOrRegion" ma:readOnly="true">
      <xsd:simpleType>
        <xsd:restriction base="dms:Text"/>
      </xsd:simpleType>
    </xsd:element>
    <xsd:element name="d63ef4ec-1487-41bb-a278-3bfd58145a20State" ma:index="22" nillable="true" ma:displayName="Ubica: estado" ma:internalName="State" ma:readOnly="true">
      <xsd:simpleType>
        <xsd:restriction base="dms:Text"/>
      </xsd:simpleType>
    </xsd:element>
    <xsd:element name="d63ef4ec-1487-41bb-a278-3bfd58145a20City" ma:index="23" nillable="true" ma:displayName="Ubica: ciudad" ma:internalName="City" ma:readOnly="true">
      <xsd:simpleType>
        <xsd:restriction base="dms:Text"/>
      </xsd:simpleType>
    </xsd:element>
    <xsd:element name="d63ef4ec-1487-41bb-a278-3bfd58145a20PostalCode" ma:index="24" nillable="true" ma:displayName="Ubica: Código postal" ma:internalName="PostalCode" ma:readOnly="true">
      <xsd:simpleType>
        <xsd:restriction base="dms:Text"/>
      </xsd:simpleType>
    </xsd:element>
    <xsd:element name="d63ef4ec-1487-41bb-a278-3bfd58145a20Street" ma:index="25" nillable="true" ma:displayName="Ubica: calle" ma:internalName="Street" ma:readOnly="true">
      <xsd:simpleType>
        <xsd:restriction base="dms:Text"/>
      </xsd:simpleType>
    </xsd:element>
    <xsd:element name="d63ef4ec-1487-41bb-a278-3bfd58145a20GeoLoc" ma:index="26" nillable="true" ma:displayName="Ubica: coordenadas" ma:internalName="GeoLoc" ma:readOnly="true">
      <xsd:simpleType>
        <xsd:restriction base="dms:Unknown"/>
      </xsd:simpleType>
    </xsd:element>
    <xsd:element name="d63ef4ec-1487-41bb-a278-3bfd58145a20DispName" ma:index="27" nillable="true" ma:displayName="Ubica: nombre" ma:internalName="DispName" ma:readOnly="true">
      <xsd:simpleType>
        <xsd:restriction base="dms:Text"/>
      </xsd:simpleType>
    </xsd:element>
    <xsd:element name="lcf76f155ced4ddcb4097134ff3c332f" ma:index="29" nillable="true" ma:taxonomy="true" ma:internalName="lcf76f155ced4ddcb4097134ff3c332f" ma:taxonomyFieldName="MediaServiceImageTags" ma:displayName="Etiquetas de imagen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od" ma:index="31" nillable="true" ma:displayName="Mod" ma:format="DateOnly" ma:internalName="Mod">
      <xsd:simpleType>
        <xsd:restriction base="dms:DateTime"/>
      </xsd:simple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3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788d16-92a6-4588-a451-33779e7bf2d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30" nillable="true" ma:displayName="Taxonomy Catch All Column" ma:hidden="true" ma:list="{086a8f29-510f-47c3-84e4-c477268d800b}" ma:internalName="TaxCatchAll" ma:showField="CatchAllData" ma:web="9a788d16-92a6-4588-a451-33779e7bf2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B0E04D-C269-44BD-AE27-85D9F8593DDF}">
  <ds:schemaRefs>
    <ds:schemaRef ds:uri="http://schemas.microsoft.com/office/2006/metadata/properties"/>
    <ds:schemaRef ds:uri="http://schemas.microsoft.com/office/infopath/2007/PartnerControls"/>
    <ds:schemaRef ds:uri="9a788d16-92a6-4588-a451-33779e7bf2d9"/>
    <ds:schemaRef ds:uri="d114b9f1-2db8-4e22-836a-1bb2d22b66e2"/>
  </ds:schemaRefs>
</ds:datastoreItem>
</file>

<file path=customXml/itemProps2.xml><?xml version="1.0" encoding="utf-8"?>
<ds:datastoreItem xmlns:ds="http://schemas.openxmlformats.org/officeDocument/2006/customXml" ds:itemID="{52153AAE-6FD8-4727-AAA7-E7DC2584EB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14b9f1-2db8-4e22-836a-1bb2d22b66e2"/>
    <ds:schemaRef ds:uri="9a788d16-92a6-4588-a451-33779e7bf2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931725-3FE0-48E3-8D96-8DD7EBED90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Huancas Sanchez, Malena</dc:creator>
  <cp:keywords/>
  <dc:description/>
  <cp:lastModifiedBy>Quiroz Cotrina, Christa</cp:lastModifiedBy>
  <cp:revision>7</cp:revision>
  <dcterms:created xsi:type="dcterms:W3CDTF">2025-03-05T21:41:00Z</dcterms:created>
  <dcterms:modified xsi:type="dcterms:W3CDTF">2025-04-14T17:42:00Z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0x0101008200DA0F9A24E1438E066028342FC919</vt:lpwstr>
  </property>
  <property fmtid="{D5CDD505-2E9C-101B-9397-08002B2CF9AE}" pid="3" name="MediaServiceImageTags">
    <vt:lpwstr/>
  </property>
</Properties>
</file>