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09BC" w14:textId="77777777" w:rsidR="00096864" w:rsidRPr="002E1863" w:rsidRDefault="00096864" w:rsidP="007662D1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Impacto Socioeconómico de la Minería Artesanal en Comunidades Altoandinas del Perú: Un Estudio Cuantitativo de Ingresos y Condiciones Laborales</w:t>
      </w:r>
    </w:p>
    <w:p w14:paraId="2424720C" w14:textId="012437FC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Tema</w:t>
      </w:r>
      <w:r w:rsidRPr="002E1863">
        <w:rPr>
          <w:rFonts w:ascii="Arial" w:hAnsi="Arial" w:cs="Arial"/>
          <w:sz w:val="22"/>
          <w:szCs w:val="22"/>
        </w:rPr>
        <w:t>: ESG (Environmental, Social, Governance)</w:t>
      </w:r>
    </w:p>
    <w:p w14:paraId="2537ED6F" w14:textId="457C6A39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Categoría</w:t>
      </w:r>
      <w:r w:rsidRPr="002E1863">
        <w:rPr>
          <w:rFonts w:ascii="Arial" w:hAnsi="Arial" w:cs="Arial"/>
          <w:sz w:val="22"/>
          <w:szCs w:val="22"/>
        </w:rPr>
        <w:t>: Gestión de impactos y riesgos sociales</w:t>
      </w:r>
      <w:r>
        <w:rPr>
          <w:rFonts w:ascii="Arial" w:hAnsi="Arial" w:cs="Arial"/>
          <w:sz w:val="22"/>
          <w:szCs w:val="22"/>
        </w:rPr>
        <w:t>.</w:t>
      </w:r>
    </w:p>
    <w:p w14:paraId="6D9C8234" w14:textId="0E8B6DBB" w:rsidR="002E1863" w:rsidRPr="002E1863" w:rsidRDefault="002E1863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Datos de autores</w:t>
      </w:r>
      <w:r w:rsidRPr="002E1863">
        <w:rPr>
          <w:rFonts w:ascii="Arial" w:hAnsi="Arial" w:cs="Arial"/>
          <w:sz w:val="22"/>
          <w:szCs w:val="22"/>
        </w:rPr>
        <w:t>: Remy Barreda Medina</w:t>
      </w:r>
      <w:r w:rsidR="002B4599">
        <w:rPr>
          <w:rFonts w:ascii="Arial" w:hAnsi="Arial" w:cs="Arial"/>
          <w:sz w:val="22"/>
          <w:szCs w:val="22"/>
        </w:rPr>
        <w:t>, CEO</w:t>
      </w:r>
      <w:r w:rsidRPr="002E1863">
        <w:rPr>
          <w:rFonts w:ascii="Arial" w:hAnsi="Arial" w:cs="Arial"/>
          <w:sz w:val="22"/>
          <w:szCs w:val="22"/>
        </w:rPr>
        <w:t xml:space="preserve"> OK COMPUTER SAC, Doctor en Administración,</w:t>
      </w:r>
      <w:r w:rsidR="00DE2689">
        <w:rPr>
          <w:rFonts w:ascii="Arial" w:hAnsi="Arial" w:cs="Arial"/>
          <w:sz w:val="22"/>
          <w:szCs w:val="22"/>
        </w:rPr>
        <w:t xml:space="preserve"> Lima,</w:t>
      </w:r>
      <w:r w:rsidRPr="002E1863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cgerencia@okcomputer.com.pe</w:t>
        </w:r>
      </w:hyperlink>
      <w:r w:rsidRPr="002E1863">
        <w:rPr>
          <w:rFonts w:ascii="Arial" w:hAnsi="Arial" w:cs="Arial"/>
          <w:sz w:val="22"/>
          <w:szCs w:val="22"/>
        </w:rPr>
        <w:t xml:space="preserve">, </w:t>
      </w:r>
      <w:hyperlink r:id="rId8" w:history="1">
        <w:r w:rsidRPr="002E1863">
          <w:rPr>
            <w:rStyle w:val="Hipervnculo"/>
            <w:rFonts w:ascii="Arial" w:hAnsi="Arial" w:cs="Arial"/>
            <w:sz w:val="22"/>
            <w:szCs w:val="22"/>
          </w:rPr>
          <w:t>remybarreda@hotmail.com</w:t>
        </w:r>
      </w:hyperlink>
      <w:r w:rsidRPr="002E1863">
        <w:rPr>
          <w:rFonts w:ascii="Arial" w:hAnsi="Arial" w:cs="Arial"/>
          <w:sz w:val="22"/>
          <w:szCs w:val="22"/>
        </w:rPr>
        <w:t>, 941944889. Especialista en Responsabilidad Social Empresarial, elaboración de planes, programas y proyectos de desarrollo económico–social, infraestructura tecnológica educativa y gestión de programas sociales.</w:t>
      </w:r>
    </w:p>
    <w:p w14:paraId="0CC9B81A" w14:textId="586F3632" w:rsidR="00096864" w:rsidRPr="002E1863" w:rsidRDefault="00096864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2E1863">
        <w:rPr>
          <w:rFonts w:ascii="Arial" w:hAnsi="Arial" w:cs="Arial"/>
          <w:b/>
          <w:bCs/>
          <w:sz w:val="22"/>
          <w:szCs w:val="22"/>
        </w:rPr>
        <w:t>Palabras clave:</w:t>
      </w:r>
      <w:r w:rsidRPr="002E1863">
        <w:rPr>
          <w:rFonts w:ascii="Arial" w:hAnsi="Arial" w:cs="Arial"/>
          <w:sz w:val="22"/>
          <w:szCs w:val="22"/>
        </w:rPr>
        <w:t xml:space="preserve"> </w:t>
      </w:r>
      <w:r w:rsidR="002E1863">
        <w:rPr>
          <w:rFonts w:ascii="Arial" w:hAnsi="Arial" w:cs="Arial"/>
          <w:sz w:val="22"/>
          <w:szCs w:val="22"/>
        </w:rPr>
        <w:t>M</w:t>
      </w:r>
      <w:r w:rsidRPr="002E1863">
        <w:rPr>
          <w:rFonts w:ascii="Arial" w:hAnsi="Arial" w:cs="Arial"/>
          <w:sz w:val="22"/>
          <w:szCs w:val="22"/>
        </w:rPr>
        <w:t>inería artesanal, comunidades altoandinas, impacto socioeconómico, condiciones laborales, formalización.</w:t>
      </w:r>
    </w:p>
    <w:p w14:paraId="05078DB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Introducción</w:t>
      </w:r>
    </w:p>
    <w:p w14:paraId="0DD54B6D" w14:textId="4FD5C9C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>La minería artesanal y de pequeña escala (MAPE) es una estrategia de subsistencia para numerosos hogares rurales latinoamericanos, pero también reproduce dinámicas de exclusión y riesgo</w:t>
      </w:r>
      <w:r w:rsidR="007662D1">
        <w:rPr>
          <w:rFonts w:ascii="Arial" w:hAnsi="Arial" w:cs="Arial"/>
          <w:sz w:val="22"/>
          <w:szCs w:val="22"/>
          <w:lang w:val="es-PE"/>
        </w:rPr>
        <w:t xml:space="preserve">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[1]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Al situarse en la “frontera del oro”, la actividad combina alta dependencia de precios internacionales con débiles salvaguardas socioambientales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[2]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En el sur andino peruano —Puno, Apurímac y Ayacucho— cerca de 65 % de los hogares de zonas mineras dependen total o parcialmente de la MAPE para generar ingresos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[3]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Sin embargo, la complejidad de los trámites, el limitado apoyo técnico y la extensión de la informalidad obstaculizan la formalización del sector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[4]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Estudios previos alertan, además, sobre condiciones laborales precarias, exposición a mercurio y ausencia de protección social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[5]</w:t>
      </w:r>
      <w:r w:rsidRPr="00DE6845">
        <w:rPr>
          <w:rFonts w:ascii="Arial" w:hAnsi="Arial" w:cs="Arial"/>
          <w:sz w:val="22"/>
          <w:szCs w:val="22"/>
          <w:lang w:val="es-PE"/>
        </w:rPr>
        <w:t>. Frente a ello, el presente estudio cuantifica el aporte económico de la MAPE, describe sus déficits laborales y explora factores que inciden en el ingreso de los mineros, con miras a sustentar intervenciones de política pública.</w:t>
      </w:r>
    </w:p>
    <w:p w14:paraId="4ABB5E2D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</w:p>
    <w:p w14:paraId="1118CC6D" w14:textId="01153795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Se diseñó un estudio cuantitativo descriptivo-correlacional y transversal. La población objetivo fueron mineros artesanales activos en Puno, Apurímac y Ayacucho; proyecciones oficiales atribuyen a estas regiones más del 25 % del total nacional de mineros artesanales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[6]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. Mediante muestreo aleatorio simple se encuestaron 420 </w:t>
      </w:r>
      <w:r w:rsidR="007662D1">
        <w:rPr>
          <w:rFonts w:ascii="Arial" w:hAnsi="Arial" w:cs="Arial"/>
          <w:sz w:val="22"/>
          <w:szCs w:val="22"/>
          <w:lang w:val="es-PE"/>
        </w:rPr>
        <w:t>mineros artesanales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; el tamaño muestral garantiza 95 % de confianza y ±5 % de error. El instrumento principal fue un cuestionario de 34 ítems (validados con prueba piloto), complementado con 15 entrevistas semiestructuradas a líderes comunitarios. El análisis empleó SPSS v28: estadística descriptiva y regresión lineal múltiple, asumiendo ingreso mensual como variable dependiente; entre los predictores figuraron nivel educativo, acceso a financiamiento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 xml:space="preserve">informal, experiencia minera y pertenencia a cooperativa. El protocolo siguió lineamientos éticos de consentimiento informado y confidencialidad y contó con aprobación de un comité universitario regional. La triangulación de datos cualitativos se basó en directrices de investigación cualitativa sistemática </w:t>
      </w:r>
      <w:r w:rsidRPr="00DE6845">
        <w:rPr>
          <w:rFonts w:ascii="Arial" w:hAnsi="Arial" w:cs="Arial"/>
          <w:sz w:val="22"/>
          <w:szCs w:val="22"/>
          <w:vertAlign w:val="superscript"/>
          <w:lang w:val="es-PE"/>
        </w:rPr>
        <w:t>[7]</w:t>
      </w:r>
      <w:r w:rsidRPr="00DE6845">
        <w:rPr>
          <w:rFonts w:ascii="Arial" w:hAnsi="Arial" w:cs="Arial"/>
          <w:sz w:val="22"/>
          <w:szCs w:val="22"/>
          <w:lang w:val="es-PE"/>
        </w:rPr>
        <w:t>.</w:t>
      </w:r>
    </w:p>
    <w:p w14:paraId="7F673089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Resultados</w:t>
      </w:r>
    </w:p>
    <w:p w14:paraId="34BDE7CA" w14:textId="6CF43D3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Perfil sociodemográfico y laboral</w:t>
      </w:r>
      <w:r w:rsidRPr="00DE6845">
        <w:rPr>
          <w:rFonts w:ascii="Arial" w:hAnsi="Arial" w:cs="Arial"/>
          <w:sz w:val="22"/>
          <w:szCs w:val="22"/>
          <w:lang w:val="es-PE"/>
        </w:rPr>
        <w:t>. El 71,4 % de los encuestados son varones; edad media = 39 años (DE = 11,2). El 64,1 % culminó educación secundaria, y apenas 11,7 % posee estudios técnicos o superiores. La MAPE constituye la única fuente de ingresos para 68,2 % de los hogares; el ingreso promedio alcanza S/ 1 380 —por debajo del salario mínimo legal— aunque 74,5 % percibe una mejora respecto a ocupaciones previas. En seguridad ocupacional, 59,4 % labora sin equipo de protección personal y 81,6 % carece de cobertura sanitaria o pensiones [5]; 66,8 % manipula mercurio sin supervisión técnica.</w:t>
      </w:r>
    </w:p>
    <w:p w14:paraId="7471F923" w14:textId="77777777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Modelo de regresión.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 El modelo global fue significativo (R² = 0,418; p &lt; 0,01). Dos variables mostraron efectos sobresalientes sobre el ingreso: nivel educativo (B = 0,374; β = 0,281; p &lt; 0,01) y acceso a financiamiento informal (B = 0,429; β = 0,342; p &lt; 0,01). Ni la experiencia minera (p = 0,184) ni la pertenencia a cooperativa (p = 0,119) resultaron significativas [4].</w:t>
      </w:r>
    </w:p>
    <w:p w14:paraId="536F9BDD" w14:textId="55DF52BF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i/>
          <w:i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Tabla 1</w:t>
      </w:r>
      <w:r w:rsidR="00DE2689">
        <w:rPr>
          <w:rFonts w:ascii="Arial" w:hAnsi="Arial" w:cs="Arial"/>
          <w:b/>
          <w:bCs/>
          <w:sz w:val="22"/>
          <w:szCs w:val="22"/>
          <w:lang w:val="es-PE"/>
        </w:rPr>
        <w:t xml:space="preserve">: </w:t>
      </w:r>
      <w:r w:rsidRPr="00DE6845">
        <w:rPr>
          <w:rFonts w:ascii="Arial" w:hAnsi="Arial" w:cs="Arial"/>
          <w:i/>
          <w:iCs/>
          <w:sz w:val="22"/>
          <w:szCs w:val="22"/>
          <w:lang w:val="es-PE"/>
        </w:rPr>
        <w:t>Indicadores clave del estudio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698"/>
      </w:tblGrid>
      <w:tr w:rsidR="00DE6845" w:rsidRPr="00DE6845" w14:paraId="44789A08" w14:textId="77777777" w:rsidTr="007662D1">
        <w:trPr>
          <w:trHeight w:val="238"/>
          <w:tblHeader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BB59B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Indicador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6D4839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b/>
                <w:bCs/>
                <w:sz w:val="20"/>
                <w:szCs w:val="20"/>
                <w:lang w:val="es-PE"/>
              </w:rPr>
              <w:t>Valor</w:t>
            </w:r>
          </w:p>
        </w:tc>
      </w:tr>
      <w:tr w:rsidR="00DE6845" w:rsidRPr="00DE6845" w14:paraId="1361BED6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1BA1140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MAPE como única fuente de ingreso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34B71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68,2 %</w:t>
            </w:r>
          </w:p>
        </w:tc>
      </w:tr>
      <w:tr w:rsidR="00DE6845" w:rsidRPr="00DE6845" w14:paraId="6D1D9DB8" w14:textId="77777777" w:rsidTr="007662D1">
        <w:trPr>
          <w:tblCellSpacing w:w="15" w:type="dxa"/>
        </w:trPr>
        <w:tc>
          <w:tcPr>
            <w:tcW w:w="3783" w:type="dxa"/>
            <w:tcBorders>
              <w:bottom w:val="single" w:sz="4" w:space="0" w:color="auto"/>
            </w:tcBorders>
            <w:vAlign w:val="center"/>
            <w:hideMark/>
          </w:tcPr>
          <w:p w14:paraId="27E2CF6A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Ingreso medio mensual (S/)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433BEDC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1 380</w:t>
            </w:r>
          </w:p>
        </w:tc>
      </w:tr>
      <w:tr w:rsidR="00DE6845" w:rsidRPr="00DE6845" w14:paraId="05FDDA9D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4387F0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Percepción de mejora económica</w:t>
            </w:r>
          </w:p>
        </w:tc>
        <w:tc>
          <w:tcPr>
            <w:tcW w:w="0" w:type="auto"/>
            <w:vAlign w:val="center"/>
            <w:hideMark/>
          </w:tcPr>
          <w:p w14:paraId="266EDC1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74,5 %</w:t>
            </w:r>
          </w:p>
        </w:tc>
      </w:tr>
      <w:tr w:rsidR="00DE6845" w:rsidRPr="00DE6845" w14:paraId="21EE1753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B8695C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equipo de protección personal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AEF4B2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59,4 %</w:t>
            </w:r>
          </w:p>
        </w:tc>
      </w:tr>
      <w:tr w:rsidR="00DE6845" w:rsidRPr="00DE6845" w14:paraId="590BA436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460189A4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Sin seguridad social</w:t>
            </w:r>
          </w:p>
        </w:tc>
        <w:tc>
          <w:tcPr>
            <w:tcW w:w="0" w:type="auto"/>
            <w:vAlign w:val="center"/>
            <w:hideMark/>
          </w:tcPr>
          <w:p w14:paraId="440A4526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81,6 %</w:t>
            </w:r>
          </w:p>
        </w:tc>
      </w:tr>
      <w:tr w:rsidR="00DE6845" w:rsidRPr="00DE6845" w14:paraId="4AE2D74D" w14:textId="77777777" w:rsidTr="007662D1">
        <w:trPr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A78A8D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Exposición directa a mercurio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C7B22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66,8 %</w:t>
            </w:r>
          </w:p>
        </w:tc>
      </w:tr>
      <w:tr w:rsidR="00DE6845" w:rsidRPr="00DE6845" w14:paraId="286A9DDA" w14:textId="77777777" w:rsidTr="007662D1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B6A8CBF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Mineros en proceso de formalización</w:t>
            </w:r>
          </w:p>
        </w:tc>
        <w:tc>
          <w:tcPr>
            <w:tcW w:w="0" w:type="auto"/>
            <w:vAlign w:val="center"/>
            <w:hideMark/>
          </w:tcPr>
          <w:p w14:paraId="41A66B2E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12,1 %</w:t>
            </w:r>
          </w:p>
        </w:tc>
      </w:tr>
      <w:tr w:rsidR="00DE6845" w:rsidRPr="00DE6845" w14:paraId="6FC0B82A" w14:textId="77777777" w:rsidTr="007662D1">
        <w:trPr>
          <w:trHeight w:val="322"/>
          <w:tblCellSpacing w:w="15" w:type="dxa"/>
        </w:trPr>
        <w:tc>
          <w:tcPr>
            <w:tcW w:w="378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367B61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Varianza explicada por el modelo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280125" w14:textId="77777777" w:rsidR="00DE6845" w:rsidRPr="00DE6845" w:rsidRDefault="00DE6845" w:rsidP="007662D1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DE6845">
              <w:rPr>
                <w:rFonts w:ascii="Arial" w:hAnsi="Arial" w:cs="Arial"/>
                <w:sz w:val="20"/>
                <w:szCs w:val="20"/>
                <w:lang w:val="es-PE"/>
              </w:rPr>
              <w:t>41,8 %</w:t>
            </w:r>
          </w:p>
        </w:tc>
      </w:tr>
    </w:tbl>
    <w:p w14:paraId="21658FC0" w14:textId="64666CEE" w:rsidR="007662D1" w:rsidRPr="007662D1" w:rsidRDefault="007662D1" w:rsidP="007662D1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PE"/>
        </w:rPr>
      </w:pPr>
      <w:r w:rsidRPr="007662D1">
        <w:rPr>
          <w:rFonts w:ascii="Arial" w:hAnsi="Arial" w:cs="Arial"/>
          <w:i/>
          <w:iCs/>
          <w:sz w:val="20"/>
          <w:szCs w:val="20"/>
          <w:lang w:val="es-PE"/>
        </w:rPr>
        <w:t>Nota</w:t>
      </w:r>
      <w:r>
        <w:rPr>
          <w:rFonts w:ascii="Arial" w:hAnsi="Arial" w:cs="Arial"/>
          <w:sz w:val="20"/>
          <w:szCs w:val="20"/>
          <w:lang w:val="es-PE"/>
        </w:rPr>
        <w:t xml:space="preserve">: La tabla muestra los resultados claves del estudio. </w:t>
      </w:r>
    </w:p>
    <w:p w14:paraId="4F660749" w14:textId="56E4C4FA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1832683E" w14:textId="362F135E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DE6845">
        <w:rPr>
          <w:rFonts w:ascii="Arial" w:hAnsi="Arial" w:cs="Arial"/>
          <w:sz w:val="22"/>
          <w:szCs w:val="22"/>
          <w:lang w:val="es-PE"/>
        </w:rPr>
        <w:t xml:space="preserve">La MAPE provee alivio económico inmediato para familias </w:t>
      </w:r>
      <w:r w:rsidR="007662D1" w:rsidRPr="00DE6845">
        <w:rPr>
          <w:rFonts w:ascii="Arial" w:hAnsi="Arial" w:cs="Arial"/>
          <w:sz w:val="22"/>
          <w:szCs w:val="22"/>
          <w:lang w:val="es-PE"/>
        </w:rPr>
        <w:t>altoandinas</w:t>
      </w:r>
      <w:r w:rsidRPr="00DE6845">
        <w:rPr>
          <w:rFonts w:ascii="Arial" w:hAnsi="Arial" w:cs="Arial"/>
          <w:sz w:val="22"/>
          <w:szCs w:val="22"/>
          <w:lang w:val="es-PE"/>
        </w:rPr>
        <w:t xml:space="preserve">, pero bajo esquemas de alta informalidad y riesgo. El ingreso depende sobre todo de la educación y del capital financiero informal, más que de la experiencia laboral. Las barreras burocráticas y los costes asociados limitan la formalización, perpetuando condiciones laborales precarias y peligros </w:t>
      </w:r>
      <w:r w:rsidRPr="00DE6845">
        <w:rPr>
          <w:rFonts w:ascii="Arial" w:hAnsi="Arial" w:cs="Arial"/>
          <w:sz w:val="22"/>
          <w:szCs w:val="22"/>
          <w:lang w:val="es-PE"/>
        </w:rPr>
        <w:lastRenderedPageBreak/>
        <w:t>ambientales. Políticas que prioricen formación certificada, microcrédito accesible y una ventanilla única de trámites podrían mejorar ingresos y seguridad, reduciendo la brecha entre supervivencia y desarrollo sostenible.</w:t>
      </w:r>
    </w:p>
    <w:p w14:paraId="60D5DB80" w14:textId="4B5C2CAD" w:rsidR="00DE6845" w:rsidRPr="00DE6845" w:rsidRDefault="00DE6845" w:rsidP="007662D1">
      <w:p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DE6845">
        <w:rPr>
          <w:rFonts w:ascii="Arial" w:hAnsi="Arial" w:cs="Arial"/>
          <w:b/>
          <w:bCs/>
          <w:sz w:val="22"/>
          <w:szCs w:val="22"/>
          <w:lang w:val="es-PE"/>
        </w:rPr>
        <w:t>Bibliografía</w:t>
      </w:r>
    </w:p>
    <w:p w14:paraId="0752BA8F" w14:textId="019AE761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[1] </w:t>
      </w:r>
      <w:r w:rsidR="006B1C10" w:rsidRPr="00DE6845">
        <w:rPr>
          <w:rFonts w:ascii="Arial" w:hAnsi="Arial" w:cs="Arial"/>
          <w:sz w:val="20"/>
          <w:szCs w:val="20"/>
          <w:lang w:val="en-US"/>
        </w:rPr>
        <w:t>Organization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for Economic Co-operation and Development</w:t>
      </w:r>
      <w:r w:rsidR="006B1C10">
        <w:rPr>
          <w:rFonts w:ascii="Arial" w:hAnsi="Arial" w:cs="Arial"/>
          <w:sz w:val="20"/>
          <w:szCs w:val="20"/>
          <w:lang w:val="en-US"/>
        </w:rPr>
        <w:t xml:space="preserve"> (OCDE, 2023)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proofErr w:type="spellStart"/>
      <w:r w:rsidRPr="00DE6845">
        <w:rPr>
          <w:rFonts w:ascii="Arial" w:hAnsi="Arial" w:cs="Arial"/>
          <w:sz w:val="20"/>
          <w:szCs w:val="20"/>
          <w:lang w:val="en-US"/>
        </w:rPr>
        <w:t>Formalisation</w:t>
      </w:r>
      <w:proofErr w:type="spellEnd"/>
      <w:r w:rsidRPr="00DE6845">
        <w:rPr>
          <w:rFonts w:ascii="Arial" w:hAnsi="Arial" w:cs="Arial"/>
          <w:sz w:val="20"/>
          <w:szCs w:val="20"/>
          <w:lang w:val="en-US"/>
        </w:rPr>
        <w:t xml:space="preserve"> of Artisanal and Small-Scale Mining in Latin America. </w:t>
      </w:r>
      <w:r w:rsidRPr="00DE6845">
        <w:rPr>
          <w:rFonts w:ascii="Arial" w:hAnsi="Arial" w:cs="Arial"/>
          <w:sz w:val="20"/>
          <w:szCs w:val="20"/>
          <w:lang w:val="es-PE"/>
        </w:rPr>
        <w:t>Paris: OECD Development Centre.</w:t>
      </w:r>
      <w:r w:rsidR="006B1C10">
        <w:rPr>
          <w:rFonts w:ascii="Arial" w:hAnsi="Arial" w:cs="Arial"/>
          <w:sz w:val="20"/>
          <w:szCs w:val="20"/>
          <w:lang w:val="es-PE"/>
        </w:rPr>
        <w:t xml:space="preserve"> </w:t>
      </w:r>
      <w:hyperlink r:id="rId9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https://www.oecd.org/dev/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0BCBB97F" w14:textId="21C362D6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 xml:space="preserve">[2] </w:t>
      </w:r>
      <w:r w:rsidR="006B1C10">
        <w:rPr>
          <w:rFonts w:ascii="Arial" w:hAnsi="Arial" w:cs="Arial"/>
          <w:sz w:val="20"/>
          <w:szCs w:val="20"/>
          <w:lang w:val="en-US"/>
        </w:rPr>
        <w:t xml:space="preserve">Rubbers, B. (2020). 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The gold commodity frontier: a fresh perspective on change and continuity in the global political economy of gold mining. </w:t>
      </w:r>
      <w:r w:rsidR="006B1C10" w:rsidRPr="006B1C10">
        <w:rPr>
          <w:rFonts w:ascii="Arial" w:hAnsi="Arial" w:cs="Arial"/>
          <w:i/>
          <w:iCs/>
          <w:sz w:val="20"/>
          <w:szCs w:val="20"/>
          <w:lang w:val="en-US"/>
        </w:rPr>
        <w:t>The Extractive Industries and Society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.</w:t>
      </w:r>
      <w:r w:rsidR="006B1C10" w:rsidRPr="006B1C10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>7(2):</w:t>
      </w:r>
      <w:r w:rsidR="006B1C10" w:rsidRPr="006B1C10">
        <w:rPr>
          <w:rFonts w:ascii="Arial" w:hAnsi="Arial" w:cs="Arial"/>
          <w:sz w:val="20"/>
          <w:szCs w:val="20"/>
          <w:lang w:val="en-US"/>
        </w:rPr>
        <w:t>191-198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0" w:history="1">
        <w:r w:rsidR="006B1C10" w:rsidRPr="006B1C10">
          <w:rPr>
            <w:rStyle w:val="Hipervnculo"/>
            <w:rFonts w:ascii="Arial" w:hAnsi="Arial" w:cs="Arial"/>
            <w:sz w:val="20"/>
            <w:szCs w:val="20"/>
            <w:lang w:val="en-US"/>
          </w:rPr>
          <w:t>http://doi.org/10.1016/j.exis.2019.12.006</w:t>
        </w:r>
      </w:hyperlink>
      <w:r w:rsidR="006B1C10" w:rsidRPr="006B1C10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219803CC" w14:textId="67933D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[3] </w:t>
      </w:r>
      <w:r w:rsidR="00512DF1">
        <w:rPr>
          <w:rFonts w:ascii="Arial" w:hAnsi="Arial" w:cs="Arial"/>
          <w:sz w:val="20"/>
          <w:szCs w:val="20"/>
          <w:lang w:val="es-PE"/>
        </w:rPr>
        <w:t xml:space="preserve">Cano, A. (2021)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 xml:space="preserve">Formalización de la minería artesanal </w:t>
      </w:r>
      <w:r w:rsidR="00512DF1">
        <w:rPr>
          <w:rFonts w:ascii="Arial" w:hAnsi="Arial" w:cs="Arial"/>
          <w:i/>
          <w:iCs/>
          <w:sz w:val="20"/>
          <w:szCs w:val="20"/>
          <w:lang w:val="es-PE"/>
        </w:rPr>
        <w:t xml:space="preserve">y de pequeña escala en la amazonia </w:t>
      </w:r>
      <w:r w:rsidR="00512DF1" w:rsidRPr="00512DF1">
        <w:rPr>
          <w:rFonts w:ascii="Arial" w:hAnsi="Arial" w:cs="Arial"/>
          <w:i/>
          <w:iCs/>
          <w:sz w:val="20"/>
          <w:szCs w:val="20"/>
          <w:lang w:val="es-PE"/>
        </w:rPr>
        <w:t>peruana: lecciones aprendidas y propuestas de solución.</w:t>
      </w:r>
      <w:r w:rsidR="00512DF1">
        <w:rPr>
          <w:rFonts w:ascii="Arial" w:hAnsi="Arial" w:cs="Arial"/>
          <w:sz w:val="20"/>
          <w:szCs w:val="20"/>
          <w:lang w:val="es-PE"/>
        </w:rPr>
        <w:t xml:space="preserve">  </w:t>
      </w:r>
      <w:r w:rsidR="00512DF1" w:rsidRPr="00512DF1">
        <w:rPr>
          <w:rFonts w:ascii="Arial" w:hAnsi="Arial" w:cs="Arial"/>
          <w:sz w:val="20"/>
          <w:szCs w:val="20"/>
          <w:lang w:val="es-PE"/>
        </w:rPr>
        <w:t xml:space="preserve">USAID. </w:t>
      </w:r>
      <w:hyperlink r:id="rId11" w:history="1">
        <w:r w:rsidR="00512DF1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https://preveniramazonia.pe/wp-content/uploads/Formalización-de-la-minería-artesanal-y-de-pequeña-escala-en-la-Amazonía-peruana.pdf</w:t>
        </w:r>
      </w:hyperlink>
      <w:r w:rsidR="00512DF1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5FD66799" w14:textId="4DBFBF88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[4] </w:t>
      </w:r>
      <w:r w:rsidR="00150B09">
        <w:rPr>
          <w:rFonts w:ascii="Arial" w:hAnsi="Arial" w:cs="Arial"/>
          <w:sz w:val="20"/>
          <w:szCs w:val="20"/>
          <w:lang w:val="es-PE"/>
        </w:rPr>
        <w:t>Mendoza, A</w:t>
      </w:r>
      <w:r w:rsidRPr="00DE6845">
        <w:rPr>
          <w:rFonts w:ascii="Arial" w:hAnsi="Arial" w:cs="Arial"/>
          <w:sz w:val="20"/>
          <w:szCs w:val="20"/>
          <w:lang w:val="es-PE"/>
        </w:rPr>
        <w:t>.</w:t>
      </w:r>
      <w:r w:rsidR="00150B09">
        <w:rPr>
          <w:rFonts w:ascii="Arial" w:hAnsi="Arial" w:cs="Arial"/>
          <w:sz w:val="20"/>
          <w:szCs w:val="20"/>
          <w:lang w:val="es-PE"/>
        </w:rPr>
        <w:t>, Passuni, S. y De Echave, J. (2014</w:t>
      </w:r>
      <w:r w:rsidR="00150B09" w:rsidRPr="00150B09">
        <w:rPr>
          <w:rFonts w:ascii="Arial" w:hAnsi="Arial" w:cs="Arial"/>
          <w:i/>
          <w:iCs/>
          <w:sz w:val="20"/>
          <w:szCs w:val="20"/>
          <w:lang w:val="es-PE"/>
        </w:rPr>
        <w:t>). La minería en el sur andino: el caso de Cusco.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  <w:r w:rsidR="00150B09" w:rsidRPr="00150B09">
        <w:rPr>
          <w:rFonts w:ascii="Arial" w:hAnsi="Arial" w:cs="Arial"/>
          <w:sz w:val="20"/>
          <w:szCs w:val="20"/>
          <w:lang w:val="es-PE"/>
        </w:rPr>
        <w:t>CooperAcción – Acción Solidaria para el Desarrollo</w:t>
      </w:r>
      <w:r w:rsidR="00150B09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2" w:history="1">
        <w:r w:rsidR="00150B09" w:rsidRPr="00CB3276">
          <w:rPr>
            <w:rStyle w:val="Hipervnculo"/>
            <w:rFonts w:ascii="Arial" w:hAnsi="Arial" w:cs="Arial"/>
            <w:sz w:val="20"/>
            <w:szCs w:val="20"/>
            <w:lang w:val="es-PE"/>
          </w:rPr>
          <w:t>https://cooperaccion.org.pe/wp-content/uploads/2017/03/La-Minería-en-el-Sur-Andino-Cusco.pdf</w:t>
        </w:r>
      </w:hyperlink>
      <w:r w:rsidR="00150B09">
        <w:rPr>
          <w:rFonts w:ascii="Arial" w:hAnsi="Arial" w:cs="Arial"/>
          <w:sz w:val="20"/>
          <w:szCs w:val="20"/>
          <w:lang w:val="es-PE"/>
        </w:rPr>
        <w:t xml:space="preserve"> </w:t>
      </w:r>
    </w:p>
    <w:p w14:paraId="3F514527" w14:textId="64A5AA5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[5] </w:t>
      </w:r>
      <w:r w:rsidR="00150B09" w:rsidRPr="00150B09">
        <w:rPr>
          <w:rFonts w:ascii="Arial" w:hAnsi="Arial" w:cs="Arial"/>
          <w:sz w:val="20"/>
          <w:szCs w:val="20"/>
        </w:rPr>
        <w:t>Loayza, J. (2022). Condiciones laborales de la minería informal y su relación con la tuberculosis y la silicosis que padecen los obreros de la zona minera de Otoca – Lucanas Ayacucho – 2014.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IGOBERNANZA</w:t>
      </w:r>
      <w:r w:rsidR="00150B09" w:rsidRPr="00150B09">
        <w:rPr>
          <w:rFonts w:ascii="Arial" w:hAnsi="Arial" w:cs="Arial"/>
          <w:sz w:val="20"/>
          <w:szCs w:val="20"/>
        </w:rPr>
        <w:t>, </w:t>
      </w:r>
      <w:r w:rsidR="00150B09" w:rsidRPr="00150B09">
        <w:rPr>
          <w:rFonts w:ascii="Arial" w:hAnsi="Arial" w:cs="Arial"/>
          <w:i/>
          <w:iCs/>
          <w:sz w:val="20"/>
          <w:szCs w:val="20"/>
        </w:rPr>
        <w:t>5</w:t>
      </w:r>
      <w:r w:rsidR="00150B09" w:rsidRPr="00150B09">
        <w:rPr>
          <w:rFonts w:ascii="Arial" w:hAnsi="Arial" w:cs="Arial"/>
          <w:sz w:val="20"/>
          <w:szCs w:val="20"/>
        </w:rPr>
        <w:t xml:space="preserve">(17), 166–175. </w:t>
      </w:r>
      <w:hyperlink r:id="rId13" w:history="1">
        <w:r w:rsidR="00150B09" w:rsidRPr="00CB3276">
          <w:rPr>
            <w:rStyle w:val="Hipervnculo"/>
            <w:rFonts w:ascii="Arial" w:hAnsi="Arial" w:cs="Arial"/>
            <w:sz w:val="20"/>
            <w:szCs w:val="20"/>
          </w:rPr>
          <w:t>https://doi.org/10.47865/igob.vol5.n17.2022.173</w:t>
        </w:r>
      </w:hyperlink>
      <w:r w:rsidR="00150B09">
        <w:rPr>
          <w:rFonts w:ascii="Arial" w:hAnsi="Arial" w:cs="Arial"/>
          <w:sz w:val="20"/>
          <w:szCs w:val="20"/>
        </w:rPr>
        <w:t xml:space="preserve"> </w:t>
      </w:r>
    </w:p>
    <w:p w14:paraId="2BD6CA94" w14:textId="3F5BE81E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n-US"/>
        </w:rPr>
      </w:pPr>
      <w:r w:rsidRPr="00DE6845">
        <w:rPr>
          <w:rFonts w:ascii="Arial" w:hAnsi="Arial" w:cs="Arial"/>
          <w:sz w:val="20"/>
          <w:szCs w:val="20"/>
          <w:lang w:val="es-PE"/>
        </w:rPr>
        <w:t>[6] Ministerio de Energía y Minas</w:t>
      </w:r>
      <w:r w:rsidR="00150B09">
        <w:rPr>
          <w:rFonts w:ascii="Arial" w:hAnsi="Arial" w:cs="Arial"/>
          <w:sz w:val="20"/>
          <w:szCs w:val="20"/>
          <w:lang w:val="es-PE"/>
        </w:rPr>
        <w:t xml:space="preserve"> (</w:t>
      </w:r>
      <w:r w:rsidR="0010635B">
        <w:rPr>
          <w:rFonts w:ascii="Arial" w:hAnsi="Arial" w:cs="Arial"/>
          <w:sz w:val="20"/>
          <w:szCs w:val="20"/>
          <w:lang w:val="es-PE"/>
        </w:rPr>
        <w:t>Minem, 2023)</w:t>
      </w:r>
      <w:r w:rsidRPr="00DE6845">
        <w:rPr>
          <w:rFonts w:ascii="Arial" w:hAnsi="Arial" w:cs="Arial"/>
          <w:sz w:val="20"/>
          <w:szCs w:val="20"/>
          <w:lang w:val="es-PE"/>
        </w:rPr>
        <w:t xml:space="preserve">. </w:t>
      </w:r>
      <w:r w:rsidRPr="00DE6845">
        <w:rPr>
          <w:rFonts w:ascii="Arial" w:hAnsi="Arial" w:cs="Arial"/>
          <w:i/>
          <w:iCs/>
          <w:sz w:val="20"/>
          <w:szCs w:val="20"/>
          <w:lang w:val="es-PE"/>
        </w:rPr>
        <w:t>Reporte anual del sector minero artesanal y de pequeña escala</w:t>
      </w:r>
      <w:r w:rsidRPr="00DE6845">
        <w:rPr>
          <w:rFonts w:ascii="Arial" w:hAnsi="Arial" w:cs="Arial"/>
          <w:sz w:val="20"/>
          <w:szCs w:val="20"/>
          <w:lang w:val="es-PE"/>
        </w:rPr>
        <w:t>. Lima: Dirección General de Formalización Minera</w:t>
      </w:r>
      <w:r w:rsidR="0010635B">
        <w:rPr>
          <w:rFonts w:ascii="Arial" w:hAnsi="Arial" w:cs="Arial"/>
          <w:sz w:val="20"/>
          <w:szCs w:val="20"/>
          <w:lang w:val="es-PE"/>
        </w:rPr>
        <w:t xml:space="preserve">. </w:t>
      </w:r>
      <w:hyperlink r:id="rId14" w:history="1">
        <w:r w:rsidR="0010635B" w:rsidRPr="0010635B">
          <w:rPr>
            <w:rStyle w:val="Hipervnculo"/>
            <w:rFonts w:ascii="Arial" w:hAnsi="Arial" w:cs="Arial"/>
            <w:sz w:val="20"/>
            <w:szCs w:val="20"/>
            <w:lang w:val="en-US"/>
          </w:rPr>
          <w:t>https://www.gob.pe/institucion/minem/colecciones/6-boletin-estadistico-minero</w:t>
        </w:r>
      </w:hyperlink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A264856" w14:textId="1E97F615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10635B">
        <w:rPr>
          <w:rFonts w:ascii="Arial" w:hAnsi="Arial" w:cs="Arial"/>
          <w:sz w:val="20"/>
          <w:szCs w:val="20"/>
          <w:lang w:val="en-US"/>
        </w:rPr>
        <w:t xml:space="preserve">[7] </w:t>
      </w:r>
      <w:r w:rsidRPr="00DE6845">
        <w:rPr>
          <w:rFonts w:ascii="Arial" w:hAnsi="Arial" w:cs="Arial"/>
          <w:sz w:val="20"/>
          <w:szCs w:val="20"/>
          <w:lang w:val="en-US"/>
        </w:rPr>
        <w:t>Flick U.</w:t>
      </w:r>
      <w:r w:rsidR="0010635B" w:rsidRPr="0010635B">
        <w:rPr>
          <w:rFonts w:ascii="Arial" w:hAnsi="Arial" w:cs="Arial"/>
          <w:sz w:val="20"/>
          <w:szCs w:val="20"/>
          <w:lang w:val="en-US"/>
        </w:rPr>
        <w:t xml:space="preserve"> </w:t>
      </w:r>
      <w:r w:rsidR="0010635B">
        <w:rPr>
          <w:rFonts w:ascii="Arial" w:hAnsi="Arial" w:cs="Arial"/>
          <w:sz w:val="20"/>
          <w:szCs w:val="20"/>
          <w:lang w:val="en-US"/>
        </w:rPr>
        <w:t>(2018).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An Introduction to Qualitative Research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. 6th ed. </w:t>
      </w:r>
      <w:r w:rsidRPr="00DE6845">
        <w:rPr>
          <w:rFonts w:ascii="Arial" w:hAnsi="Arial" w:cs="Arial"/>
          <w:sz w:val="20"/>
          <w:szCs w:val="20"/>
          <w:lang w:val="es-PE"/>
        </w:rPr>
        <w:t>London: SAGE Publications</w:t>
      </w:r>
      <w:r w:rsidR="0010635B" w:rsidRPr="0010635B">
        <w:rPr>
          <w:rFonts w:ascii="Arial" w:hAnsi="Arial" w:cs="Arial"/>
          <w:sz w:val="20"/>
          <w:szCs w:val="20"/>
          <w:lang w:val="es-PE"/>
        </w:rPr>
        <w:t>.</w:t>
      </w:r>
    </w:p>
    <w:p w14:paraId="59B1EA66" w14:textId="7865F6CB" w:rsidR="00DE6845" w:rsidRPr="00DE6845" w:rsidRDefault="00DE6845" w:rsidP="007662D1">
      <w:pPr>
        <w:spacing w:after="0" w:line="360" w:lineRule="auto"/>
        <w:ind w:left="709" w:hanging="709"/>
        <w:jc w:val="both"/>
        <w:rPr>
          <w:rFonts w:ascii="Arial" w:hAnsi="Arial" w:cs="Arial"/>
          <w:sz w:val="20"/>
          <w:szCs w:val="20"/>
          <w:lang w:val="es-PE"/>
        </w:rPr>
      </w:pPr>
      <w:r w:rsidRPr="00DE6845">
        <w:rPr>
          <w:rFonts w:ascii="Arial" w:hAnsi="Arial" w:cs="Arial"/>
          <w:sz w:val="20"/>
          <w:szCs w:val="20"/>
          <w:lang w:val="es-PE"/>
        </w:rPr>
        <w:t xml:space="preserve">[8] </w:t>
      </w:r>
      <w:r w:rsidR="0010635B" w:rsidRPr="0010635B">
        <w:rPr>
          <w:rFonts w:ascii="Arial" w:hAnsi="Arial" w:cs="Arial"/>
          <w:sz w:val="20"/>
          <w:szCs w:val="20"/>
        </w:rPr>
        <w:t>Rosales, J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Malca, N</w:t>
      </w:r>
      <w:r w:rsidR="0010635B">
        <w:rPr>
          <w:rFonts w:ascii="Arial" w:hAnsi="Arial" w:cs="Arial"/>
          <w:sz w:val="20"/>
          <w:szCs w:val="20"/>
        </w:rPr>
        <w:t xml:space="preserve">., </w:t>
      </w:r>
      <w:r w:rsidR="0010635B" w:rsidRPr="0010635B">
        <w:rPr>
          <w:rFonts w:ascii="Arial" w:hAnsi="Arial" w:cs="Arial"/>
          <w:sz w:val="20"/>
          <w:szCs w:val="20"/>
        </w:rPr>
        <w:t>Alarcón, J</w:t>
      </w:r>
      <w:r w:rsidR="0010635B">
        <w:rPr>
          <w:rFonts w:ascii="Arial" w:hAnsi="Arial" w:cs="Arial"/>
          <w:sz w:val="20"/>
          <w:szCs w:val="20"/>
        </w:rPr>
        <w:t>., C</w:t>
      </w:r>
      <w:r w:rsidR="0010635B" w:rsidRPr="0010635B">
        <w:rPr>
          <w:rFonts w:ascii="Arial" w:hAnsi="Arial" w:cs="Arial"/>
          <w:sz w:val="20"/>
          <w:szCs w:val="20"/>
        </w:rPr>
        <w:t>hávez, M</w:t>
      </w:r>
      <w:r w:rsidR="0010635B">
        <w:rPr>
          <w:rFonts w:ascii="Arial" w:hAnsi="Arial" w:cs="Arial"/>
          <w:sz w:val="20"/>
          <w:szCs w:val="20"/>
        </w:rPr>
        <w:t xml:space="preserve">. y </w:t>
      </w:r>
      <w:r w:rsidR="0010635B" w:rsidRPr="0010635B">
        <w:rPr>
          <w:rFonts w:ascii="Arial" w:hAnsi="Arial" w:cs="Arial"/>
          <w:sz w:val="20"/>
          <w:szCs w:val="20"/>
        </w:rPr>
        <w:t>Gonzáles, M. (2013). Daño genotóxico en trabajadores de minería artesanal expuestos al mercurio.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Revista Peruana de Medicina Experimental y Salud Publica</w:t>
      </w:r>
      <w:r w:rsidR="0010635B" w:rsidRPr="0010635B">
        <w:rPr>
          <w:rFonts w:ascii="Arial" w:hAnsi="Arial" w:cs="Arial"/>
          <w:sz w:val="20"/>
          <w:szCs w:val="20"/>
        </w:rPr>
        <w:t>, </w:t>
      </w:r>
      <w:r w:rsidR="0010635B" w:rsidRPr="0010635B">
        <w:rPr>
          <w:rFonts w:ascii="Arial" w:hAnsi="Arial" w:cs="Arial"/>
          <w:i/>
          <w:iCs/>
          <w:sz w:val="20"/>
          <w:szCs w:val="20"/>
        </w:rPr>
        <w:t>30</w:t>
      </w:r>
      <w:r w:rsidR="0010635B" w:rsidRPr="0010635B">
        <w:rPr>
          <w:rFonts w:ascii="Arial" w:hAnsi="Arial" w:cs="Arial"/>
          <w:sz w:val="20"/>
          <w:szCs w:val="20"/>
        </w:rPr>
        <w:t xml:space="preserve">(4), 595-600. </w:t>
      </w:r>
      <w:hyperlink r:id="rId15" w:history="1">
        <w:r w:rsidR="0010635B" w:rsidRPr="00CB3276">
          <w:rPr>
            <w:rStyle w:val="Hipervnculo"/>
            <w:rFonts w:ascii="Arial" w:hAnsi="Arial" w:cs="Arial"/>
            <w:sz w:val="20"/>
            <w:szCs w:val="20"/>
          </w:rPr>
          <w:t>http://www.scielo.org.pe/scielo.php?script=sci_arttext&amp;pid=S1726-46342013000400009&amp;lng=es&amp;tlng=es</w:t>
        </w:r>
      </w:hyperlink>
      <w:r w:rsidR="0010635B">
        <w:rPr>
          <w:rFonts w:ascii="Arial" w:hAnsi="Arial" w:cs="Arial"/>
          <w:sz w:val="20"/>
          <w:szCs w:val="20"/>
        </w:rPr>
        <w:t xml:space="preserve"> </w:t>
      </w:r>
    </w:p>
    <w:p w14:paraId="31D4D3FC" w14:textId="1D466814" w:rsidR="002E1863" w:rsidRPr="00DE6845" w:rsidRDefault="00DE6845" w:rsidP="00DE2689">
      <w:pPr>
        <w:spacing w:after="0" w:line="360" w:lineRule="auto"/>
        <w:ind w:left="709" w:hanging="709"/>
        <w:jc w:val="both"/>
        <w:rPr>
          <w:rFonts w:ascii="Arial" w:hAnsi="Arial" w:cs="Arial"/>
          <w:sz w:val="22"/>
          <w:szCs w:val="22"/>
          <w:lang w:val="en-US"/>
        </w:rPr>
      </w:pPr>
      <w:r w:rsidRPr="00DE6845">
        <w:rPr>
          <w:rFonts w:ascii="Arial" w:hAnsi="Arial" w:cs="Arial"/>
          <w:sz w:val="20"/>
          <w:szCs w:val="20"/>
          <w:lang w:val="en-US"/>
        </w:rPr>
        <w:t>[9] Hentschel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T</w:t>
      </w:r>
      <w:r w:rsidR="0010635B">
        <w:rPr>
          <w:rFonts w:ascii="Arial" w:hAnsi="Arial" w:cs="Arial"/>
          <w:sz w:val="20"/>
          <w:szCs w:val="20"/>
          <w:lang w:val="en-US"/>
        </w:rPr>
        <w:t>.</w:t>
      </w:r>
      <w:r w:rsidRPr="00DE6845">
        <w:rPr>
          <w:rFonts w:ascii="Arial" w:hAnsi="Arial" w:cs="Arial"/>
          <w:sz w:val="20"/>
          <w:szCs w:val="20"/>
          <w:lang w:val="en-US"/>
        </w:rPr>
        <w:t>, Hruschka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F</w:t>
      </w:r>
      <w:r w:rsidR="0010635B">
        <w:rPr>
          <w:rFonts w:ascii="Arial" w:hAnsi="Arial" w:cs="Arial"/>
          <w:sz w:val="20"/>
          <w:szCs w:val="20"/>
          <w:lang w:val="en-US"/>
        </w:rPr>
        <w:t>. &amp;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Priester</w:t>
      </w:r>
      <w:r w:rsidR="0010635B">
        <w:rPr>
          <w:rFonts w:ascii="Arial" w:hAnsi="Arial" w:cs="Arial"/>
          <w:sz w:val="20"/>
          <w:szCs w:val="20"/>
          <w:lang w:val="en-US"/>
        </w:rPr>
        <w:t>,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M.</w:t>
      </w:r>
      <w:r w:rsidR="0010635B">
        <w:rPr>
          <w:rFonts w:ascii="Arial" w:hAnsi="Arial" w:cs="Arial"/>
          <w:sz w:val="20"/>
          <w:szCs w:val="20"/>
          <w:lang w:val="en-US"/>
        </w:rPr>
        <w:t xml:space="preserve"> (2021).</w:t>
      </w:r>
      <w:r w:rsidRPr="00DE6845">
        <w:rPr>
          <w:rFonts w:ascii="Arial" w:hAnsi="Arial" w:cs="Arial"/>
          <w:sz w:val="20"/>
          <w:szCs w:val="20"/>
          <w:lang w:val="en-US"/>
        </w:rPr>
        <w:t xml:space="preserve"> </w:t>
      </w:r>
      <w:r w:rsidRPr="00DE6845">
        <w:rPr>
          <w:rFonts w:ascii="Arial" w:hAnsi="Arial" w:cs="Arial"/>
          <w:i/>
          <w:iCs/>
          <w:sz w:val="20"/>
          <w:szCs w:val="20"/>
          <w:lang w:val="en-US"/>
        </w:rPr>
        <w:t>Artisanal and Small-Scale Mining: Challenges and Opportunities</w:t>
      </w:r>
      <w:r w:rsidRPr="00DE6845">
        <w:rPr>
          <w:rFonts w:ascii="Arial" w:hAnsi="Arial" w:cs="Arial"/>
          <w:sz w:val="20"/>
          <w:szCs w:val="20"/>
          <w:lang w:val="en-US"/>
        </w:rPr>
        <w:t>. London: International Institute for Environment and Development</w:t>
      </w:r>
      <w:r w:rsidR="0010635B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16" w:history="1">
        <w:r w:rsidR="0010635B" w:rsidRPr="00CB3276">
          <w:rPr>
            <w:rStyle w:val="Hipervnculo"/>
            <w:rFonts w:ascii="Arial" w:hAnsi="Arial" w:cs="Arial"/>
            <w:sz w:val="20"/>
            <w:szCs w:val="20"/>
            <w:lang w:val="en-US"/>
          </w:rPr>
          <w:t>http://www.iied.org/sites/default/files/pdfs/migrate/9268IIED.pdf</w:t>
        </w:r>
      </w:hyperlink>
      <w:r w:rsidR="0010635B">
        <w:rPr>
          <w:rFonts w:ascii="Arial" w:hAnsi="Arial" w:cs="Arial"/>
          <w:sz w:val="20"/>
          <w:szCs w:val="20"/>
          <w:lang w:val="en-US"/>
        </w:rPr>
        <w:t xml:space="preserve"> </w:t>
      </w:r>
    </w:p>
    <w:sectPr w:rsidR="002E1863" w:rsidRPr="00DE6845">
      <w:foot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D3BA" w14:textId="77777777" w:rsidR="003C75FD" w:rsidRDefault="003C75FD" w:rsidP="007662D1">
      <w:pPr>
        <w:spacing w:after="0" w:line="240" w:lineRule="auto"/>
      </w:pPr>
      <w:r>
        <w:separator/>
      </w:r>
    </w:p>
  </w:endnote>
  <w:endnote w:type="continuationSeparator" w:id="0">
    <w:p w14:paraId="55FBAE13" w14:textId="77777777" w:rsidR="003C75FD" w:rsidRDefault="003C75FD" w:rsidP="00766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2716784"/>
      <w:docPartObj>
        <w:docPartGallery w:val="Page Numbers (Bottom of Page)"/>
        <w:docPartUnique/>
      </w:docPartObj>
    </w:sdtPr>
    <w:sdtContent>
      <w:p w14:paraId="0C16B640" w14:textId="5705BD7A" w:rsidR="007662D1" w:rsidRDefault="007662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9170910" w14:textId="77777777" w:rsidR="007662D1" w:rsidRDefault="007662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BA51" w14:textId="77777777" w:rsidR="003C75FD" w:rsidRDefault="003C75FD" w:rsidP="007662D1">
      <w:pPr>
        <w:spacing w:after="0" w:line="240" w:lineRule="auto"/>
      </w:pPr>
      <w:r>
        <w:separator/>
      </w:r>
    </w:p>
  </w:footnote>
  <w:footnote w:type="continuationSeparator" w:id="0">
    <w:p w14:paraId="79DB824E" w14:textId="77777777" w:rsidR="003C75FD" w:rsidRDefault="003C75FD" w:rsidP="00766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578DC"/>
    <w:multiLevelType w:val="multilevel"/>
    <w:tmpl w:val="A07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E02AB"/>
    <w:multiLevelType w:val="multilevel"/>
    <w:tmpl w:val="25F2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416052">
    <w:abstractNumId w:val="0"/>
  </w:num>
  <w:num w:numId="2" w16cid:durableId="1540312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64"/>
    <w:rsid w:val="00010401"/>
    <w:rsid w:val="00096864"/>
    <w:rsid w:val="000B23D2"/>
    <w:rsid w:val="0010635B"/>
    <w:rsid w:val="001351E0"/>
    <w:rsid w:val="00150B09"/>
    <w:rsid w:val="001B2158"/>
    <w:rsid w:val="001E4D23"/>
    <w:rsid w:val="00235A45"/>
    <w:rsid w:val="00274C06"/>
    <w:rsid w:val="002B4599"/>
    <w:rsid w:val="002E1863"/>
    <w:rsid w:val="00355D3A"/>
    <w:rsid w:val="003C75FD"/>
    <w:rsid w:val="003D15B5"/>
    <w:rsid w:val="003D5EDA"/>
    <w:rsid w:val="004357FF"/>
    <w:rsid w:val="004B500D"/>
    <w:rsid w:val="00512DF1"/>
    <w:rsid w:val="006B1C10"/>
    <w:rsid w:val="007662D1"/>
    <w:rsid w:val="007738AE"/>
    <w:rsid w:val="007B3AA5"/>
    <w:rsid w:val="00870D00"/>
    <w:rsid w:val="00961C87"/>
    <w:rsid w:val="00A96C07"/>
    <w:rsid w:val="00BF3AC1"/>
    <w:rsid w:val="00C77D51"/>
    <w:rsid w:val="00DE2689"/>
    <w:rsid w:val="00DE6845"/>
    <w:rsid w:val="00F162EC"/>
    <w:rsid w:val="00F40D43"/>
    <w:rsid w:val="00F7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0AAC5"/>
  <w15:chartTrackingRefBased/>
  <w15:docId w15:val="{CAF8E327-6B32-4450-8A64-1490ACD5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6864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9686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8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8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8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8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8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8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86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96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E186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1C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B1C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2D1"/>
  </w:style>
  <w:style w:type="paragraph" w:styleId="Piedepgina">
    <w:name w:val="footer"/>
    <w:basedOn w:val="Normal"/>
    <w:link w:val="PiedepginaCar"/>
    <w:uiPriority w:val="99"/>
    <w:unhideWhenUsed/>
    <w:rsid w:val="007662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91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3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10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07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mybarreda@hotmail.com" TargetMode="External"/><Relationship Id="rId13" Type="http://schemas.openxmlformats.org/officeDocument/2006/relationships/hyperlink" Target="https://doi.org/10.47865/igob.vol5.n17.2022.173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gerencia@okcomputer.com.pe" TargetMode="External"/><Relationship Id="rId12" Type="http://schemas.openxmlformats.org/officeDocument/2006/relationships/hyperlink" Target="https://cooperaccion.org.pe/wp-content/uploads/2017/03/La-Miner&#237;a-en-el-Sur-Andino-Cusco.pdf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.iied.org/sites/default/files/pdfs/migrate/9268IIED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eveniramazonia.pe/wp-content/uploads/Formalizacio&#769;n-de-la-mineri&#769;a-artesanal-y-de-pequen&#771;a-escala-en-la-Amazoni&#769;a-peruana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cielo.org.pe/scielo.php?script=sci_arttext&amp;pid=S1726-46342013000400009&amp;lng=es&amp;tlng=es" TargetMode="External"/><Relationship Id="rId10" Type="http://schemas.openxmlformats.org/officeDocument/2006/relationships/hyperlink" Target="http://doi.org/10.1016/j.exis.2019.12.00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oecd.org/dev/" TargetMode="External"/><Relationship Id="rId14" Type="http://schemas.openxmlformats.org/officeDocument/2006/relationships/hyperlink" Target="https://www.gob.pe/institucion/minem/colecciones/6-boletin-estadistico-miner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1208</Words>
  <Characters>6645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leobardo viloria</dc:creator>
  <cp:keywords/>
  <dc:description/>
  <cp:lastModifiedBy>remy felipe barreda medina</cp:lastModifiedBy>
  <cp:revision>3</cp:revision>
  <dcterms:created xsi:type="dcterms:W3CDTF">2025-05-12T22:25:00Z</dcterms:created>
  <dcterms:modified xsi:type="dcterms:W3CDTF">2025-05-12T22:26:00Z</dcterms:modified>
</cp:coreProperties>
</file>