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numPr>
          <w:ilvl w:val="0"/>
          <w:numId w:val="1"/>
        </w:numPr>
        <w:tabs>
          <w:tab w:pos="741" w:val="left" w:leader="none"/>
        </w:tabs>
        <w:spacing w:line="240" w:lineRule="auto" w:before="81" w:after="0"/>
        <w:ind w:left="741" w:right="0" w:hanging="358"/>
        <w:jc w:val="left"/>
      </w:pPr>
      <w:r>
        <w:rPr>
          <w:spacing w:val="-2"/>
        </w:rPr>
        <w:t>Titulo</w:t>
      </w:r>
    </w:p>
    <w:p>
      <w:pPr>
        <w:pStyle w:val="BodyText"/>
        <w:spacing w:before="115"/>
        <w:rPr>
          <w:rFonts w:ascii="Arial"/>
          <w:b/>
        </w:rPr>
      </w:pPr>
    </w:p>
    <w:p>
      <w:pPr>
        <w:pStyle w:val="BodyText"/>
        <w:spacing w:line="357" w:lineRule="auto"/>
        <w:ind w:left="23" w:right="139" w:firstLine="568"/>
        <w:jc w:val="both"/>
      </w:pPr>
      <w:r>
        <w:rPr/>
        <w:t>Impacto de la perforación y voladura en la productividad para minas subterráneas </w:t>
      </w:r>
      <w:r>
        <w:rPr>
          <w:spacing w:val="-2"/>
        </w:rPr>
        <w:t>convencionales.</w:t>
      </w:r>
    </w:p>
    <w:p>
      <w:pPr>
        <w:pStyle w:val="BodyText"/>
      </w:pPr>
    </w:p>
    <w:p>
      <w:pPr>
        <w:pStyle w:val="BodyText"/>
        <w:spacing w:before="118"/>
      </w:pPr>
    </w:p>
    <w:p>
      <w:pPr>
        <w:pStyle w:val="Heading1"/>
        <w:numPr>
          <w:ilvl w:val="0"/>
          <w:numId w:val="1"/>
        </w:numPr>
        <w:tabs>
          <w:tab w:pos="741" w:val="left" w:leader="none"/>
        </w:tabs>
        <w:spacing w:line="240" w:lineRule="auto" w:before="0" w:after="0"/>
        <w:ind w:left="741" w:right="0" w:hanging="358"/>
        <w:jc w:val="left"/>
      </w:pPr>
      <w:r>
        <w:rPr>
          <w:spacing w:val="-2"/>
        </w:rPr>
        <w:t>Introducción</w:t>
      </w:r>
    </w:p>
    <w:p>
      <w:pPr>
        <w:pStyle w:val="BodyText"/>
        <w:spacing w:before="114"/>
        <w:rPr>
          <w:rFonts w:ascii="Arial"/>
          <w:b/>
        </w:rPr>
      </w:pPr>
    </w:p>
    <w:p>
      <w:pPr>
        <w:pStyle w:val="BodyText"/>
        <w:spacing w:line="360" w:lineRule="auto"/>
        <w:ind w:left="23" w:right="139" w:firstLine="568"/>
        <w:jc w:val="both"/>
      </w:pPr>
      <w:r>
        <w:rPr/>
        <w:t>La</w:t>
      </w:r>
      <w:r>
        <w:rPr>
          <w:spacing w:val="-7"/>
        </w:rPr>
        <w:t> </w:t>
      </w:r>
      <w:r>
        <w:rPr/>
        <w:t>perforación</w:t>
      </w:r>
      <w:r>
        <w:rPr>
          <w:spacing w:val="-7"/>
        </w:rPr>
        <w:t> </w:t>
      </w:r>
      <w:r>
        <w:rPr/>
        <w:t>y</w:t>
      </w:r>
      <w:r>
        <w:rPr>
          <w:spacing w:val="-7"/>
        </w:rPr>
        <w:t> </w:t>
      </w:r>
      <w:r>
        <w:rPr/>
        <w:t>voladura</w:t>
      </w:r>
      <w:r>
        <w:rPr>
          <w:spacing w:val="-7"/>
        </w:rPr>
        <w:t> </w:t>
      </w:r>
      <w:r>
        <w:rPr/>
        <w:t>(PV)</w:t>
      </w:r>
      <w:r>
        <w:rPr>
          <w:spacing w:val="-6"/>
        </w:rPr>
        <w:t> </w:t>
      </w:r>
      <w:r>
        <w:rPr/>
        <w:t>es</w:t>
      </w:r>
      <w:r>
        <w:rPr>
          <w:spacing w:val="-7"/>
        </w:rPr>
        <w:t> </w:t>
      </w:r>
      <w:r>
        <w:rPr/>
        <w:t>una</w:t>
      </w:r>
      <w:r>
        <w:rPr>
          <w:spacing w:val="-7"/>
        </w:rPr>
        <w:t> </w:t>
      </w:r>
      <w:r>
        <w:rPr/>
        <w:t>de</w:t>
      </w:r>
      <w:r>
        <w:rPr>
          <w:spacing w:val="-9"/>
        </w:rPr>
        <w:t> </w:t>
      </w:r>
      <w:r>
        <w:rPr/>
        <w:t>las</w:t>
      </w:r>
      <w:r>
        <w:rPr>
          <w:spacing w:val="-7"/>
        </w:rPr>
        <w:t> </w:t>
      </w:r>
      <w:r>
        <w:rPr/>
        <w:t>actividades</w:t>
      </w:r>
      <w:r>
        <w:rPr>
          <w:spacing w:val="-7"/>
        </w:rPr>
        <w:t> </w:t>
      </w:r>
      <w:r>
        <w:rPr/>
        <w:t>específicas</w:t>
      </w:r>
      <w:r>
        <w:rPr>
          <w:spacing w:val="-7"/>
        </w:rPr>
        <w:t> </w:t>
      </w:r>
      <w:r>
        <w:rPr/>
        <w:t>más</w:t>
      </w:r>
      <w:r>
        <w:rPr>
          <w:spacing w:val="-9"/>
        </w:rPr>
        <w:t> </w:t>
      </w:r>
      <w:r>
        <w:rPr/>
        <w:t>relevantes</w:t>
      </w:r>
      <w:r>
        <w:rPr>
          <w:spacing w:val="-7"/>
        </w:rPr>
        <w:t> </w:t>
      </w:r>
      <w:r>
        <w:rPr/>
        <w:t>de la minería subterránea, constituyen el eje del ciclo de minado, ya que de esta operación se obtienen los volúmenes de producción; pero además antecede al sostenimiento, ventilación, extracción,</w:t>
      </w:r>
      <w:r>
        <w:rPr>
          <w:spacing w:val="-6"/>
        </w:rPr>
        <w:t> </w:t>
      </w:r>
      <w:r>
        <w:rPr/>
        <w:t>desatado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rocas</w:t>
      </w:r>
      <w:r>
        <w:rPr>
          <w:spacing w:val="-6"/>
        </w:rPr>
        <w:t> </w:t>
      </w:r>
      <w:r>
        <w:rPr/>
        <w:t>e</w:t>
      </w:r>
      <w:r>
        <w:rPr>
          <w:spacing w:val="-7"/>
        </w:rPr>
        <w:t> </w:t>
      </w:r>
      <w:r>
        <w:rPr/>
        <w:t>incluso</w:t>
      </w:r>
      <w:r>
        <w:rPr>
          <w:spacing w:val="-7"/>
        </w:rPr>
        <w:t> </w:t>
      </w:r>
      <w:r>
        <w:rPr/>
        <w:t>a</w:t>
      </w:r>
      <w:r>
        <w:rPr>
          <w:spacing w:val="-5"/>
        </w:rPr>
        <w:t> </w:t>
      </w:r>
      <w:r>
        <w:rPr/>
        <w:t>las</w:t>
      </w:r>
      <w:r>
        <w:rPr>
          <w:spacing w:val="-7"/>
        </w:rPr>
        <w:t> </w:t>
      </w:r>
      <w:r>
        <w:rPr/>
        <w:t>características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planta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tratamiento,</w:t>
      </w:r>
      <w:r>
        <w:rPr>
          <w:spacing w:val="-6"/>
        </w:rPr>
        <w:t> </w:t>
      </w:r>
      <w:r>
        <w:rPr/>
        <w:t>para que</w:t>
      </w:r>
      <w:r>
        <w:rPr>
          <w:spacing w:val="-14"/>
        </w:rPr>
        <w:t> </w:t>
      </w:r>
      <w:r>
        <w:rPr/>
        <w:t>pueda</w:t>
      </w:r>
      <w:r>
        <w:rPr>
          <w:spacing w:val="-13"/>
        </w:rPr>
        <w:t> </w:t>
      </w:r>
      <w:r>
        <w:rPr/>
        <w:t>responder</w:t>
      </w:r>
      <w:r>
        <w:rPr>
          <w:spacing w:val="-12"/>
        </w:rPr>
        <w:t> </w:t>
      </w:r>
      <w:r>
        <w:rPr/>
        <w:t>a</w:t>
      </w:r>
      <w:r>
        <w:rPr>
          <w:spacing w:val="-15"/>
        </w:rPr>
        <w:t> </w:t>
      </w:r>
      <w:r>
        <w:rPr/>
        <w:t>los</w:t>
      </w:r>
      <w:r>
        <w:rPr>
          <w:spacing w:val="-13"/>
        </w:rPr>
        <w:t> </w:t>
      </w:r>
      <w:r>
        <w:rPr/>
        <w:t>volúmenes</w:t>
      </w:r>
      <w:r>
        <w:rPr>
          <w:spacing w:val="-13"/>
        </w:rPr>
        <w:t> </w:t>
      </w:r>
      <w:r>
        <w:rPr/>
        <w:t>de</w:t>
      </w:r>
      <w:r>
        <w:rPr>
          <w:spacing w:val="-15"/>
        </w:rPr>
        <w:t> </w:t>
      </w:r>
      <w:r>
        <w:rPr/>
        <w:t>fragmentación</w:t>
      </w:r>
      <w:r>
        <w:rPr>
          <w:spacing w:val="-13"/>
        </w:rPr>
        <w:t> </w:t>
      </w:r>
      <w:r>
        <w:rPr/>
        <w:t>generados</w:t>
      </w:r>
      <w:r>
        <w:rPr>
          <w:spacing w:val="-13"/>
        </w:rPr>
        <w:t> </w:t>
      </w:r>
      <w:r>
        <w:rPr/>
        <w:t>en</w:t>
      </w:r>
      <w:r>
        <w:rPr>
          <w:spacing w:val="-13"/>
        </w:rPr>
        <w:t> </w:t>
      </w:r>
      <w:r>
        <w:rPr/>
        <w:t>la</w:t>
      </w:r>
      <w:r>
        <w:rPr>
          <w:spacing w:val="-13"/>
        </w:rPr>
        <w:t> </w:t>
      </w:r>
      <w:r>
        <w:rPr/>
        <w:t>PV.</w:t>
      </w:r>
      <w:r>
        <w:rPr>
          <w:spacing w:val="-12"/>
        </w:rPr>
        <w:t> </w:t>
      </w:r>
      <w:r>
        <w:rPr/>
        <w:t>De</w:t>
      </w:r>
      <w:r>
        <w:rPr>
          <w:spacing w:val="-15"/>
        </w:rPr>
        <w:t> </w:t>
      </w:r>
      <w:r>
        <w:rPr/>
        <w:t>manera</w:t>
      </w:r>
      <w:r>
        <w:rPr>
          <w:spacing w:val="-13"/>
        </w:rPr>
        <w:t> </w:t>
      </w:r>
      <w:r>
        <w:rPr/>
        <w:t>que, si estas fallan, se verán afectados todos los procesos de la cadena de valor orientados a la productividad propiamente dicha.</w:t>
      </w:r>
    </w:p>
    <w:p>
      <w:pPr>
        <w:pStyle w:val="BodyText"/>
      </w:pPr>
    </w:p>
    <w:p>
      <w:pPr>
        <w:pStyle w:val="BodyText"/>
        <w:spacing w:before="114"/>
      </w:pPr>
    </w:p>
    <w:p>
      <w:pPr>
        <w:pStyle w:val="Heading1"/>
        <w:numPr>
          <w:ilvl w:val="0"/>
          <w:numId w:val="1"/>
        </w:numPr>
        <w:tabs>
          <w:tab w:pos="741" w:val="left" w:leader="none"/>
        </w:tabs>
        <w:spacing w:line="240" w:lineRule="auto" w:before="0" w:after="0"/>
        <w:ind w:left="741" w:right="0" w:hanging="358"/>
        <w:jc w:val="left"/>
      </w:pPr>
      <w:r>
        <w:rPr/>
        <w:t>Problemática</w:t>
      </w:r>
      <w:r>
        <w:rPr>
          <w:spacing w:val="-3"/>
        </w:rPr>
        <w:t> </w:t>
      </w:r>
      <w:r>
        <w:rPr/>
        <w:t>y</w:t>
      </w:r>
      <w:r>
        <w:rPr>
          <w:spacing w:val="-2"/>
        </w:rPr>
        <w:t> </w:t>
      </w:r>
      <w:r>
        <w:rPr/>
        <w:t>conceptos</w:t>
      </w:r>
      <w:r>
        <w:rPr>
          <w:spacing w:val="-2"/>
        </w:rPr>
        <w:t> importantes:</w:t>
      </w:r>
    </w:p>
    <w:p>
      <w:pPr>
        <w:pStyle w:val="BodyText"/>
        <w:spacing w:before="112"/>
        <w:rPr>
          <w:rFonts w:ascii="Arial"/>
          <w:b/>
        </w:rPr>
      </w:pPr>
    </w:p>
    <w:p>
      <w:pPr>
        <w:pStyle w:val="BodyText"/>
        <w:spacing w:line="360" w:lineRule="auto"/>
        <w:ind w:left="23" w:right="139" w:firstLine="568"/>
        <w:jc w:val="both"/>
      </w:pPr>
      <w:r>
        <w:rPr/>
        <w:t>En la gestión de actividades mineras, el interés por cumplir con la programación de explotación</w:t>
      </w:r>
      <w:r>
        <w:rPr>
          <w:spacing w:val="-11"/>
        </w:rPr>
        <w:t> </w:t>
      </w:r>
      <w:r>
        <w:rPr/>
        <w:t>y</w:t>
      </w:r>
      <w:r>
        <w:rPr>
          <w:spacing w:val="-11"/>
        </w:rPr>
        <w:t> </w:t>
      </w:r>
      <w:r>
        <w:rPr/>
        <w:t>los</w:t>
      </w:r>
      <w:r>
        <w:rPr>
          <w:spacing w:val="-11"/>
        </w:rPr>
        <w:t> </w:t>
      </w:r>
      <w:r>
        <w:rPr/>
        <w:t>avances</w:t>
      </w:r>
      <w:r>
        <w:rPr>
          <w:spacing w:val="-11"/>
        </w:rPr>
        <w:t> </w:t>
      </w:r>
      <w:r>
        <w:rPr/>
        <w:t>lineales</w:t>
      </w:r>
      <w:r>
        <w:rPr>
          <w:spacing w:val="-11"/>
        </w:rPr>
        <w:t> </w:t>
      </w:r>
      <w:r>
        <w:rPr/>
        <w:t>relacionados</w:t>
      </w:r>
      <w:r>
        <w:rPr>
          <w:spacing w:val="-11"/>
        </w:rPr>
        <w:t> </w:t>
      </w:r>
      <w:r>
        <w:rPr/>
        <w:t>con</w:t>
      </w:r>
      <w:r>
        <w:rPr>
          <w:spacing w:val="-11"/>
        </w:rPr>
        <w:t> </w:t>
      </w:r>
      <w:r>
        <w:rPr/>
        <w:t>la</w:t>
      </w:r>
      <w:r>
        <w:rPr>
          <w:spacing w:val="-11"/>
        </w:rPr>
        <w:t> </w:t>
      </w:r>
      <w:r>
        <w:rPr/>
        <w:t>preparación</w:t>
      </w:r>
      <w:r>
        <w:rPr>
          <w:spacing w:val="-11"/>
        </w:rPr>
        <w:t> </w:t>
      </w:r>
      <w:r>
        <w:rPr/>
        <w:t>y</w:t>
      </w:r>
      <w:r>
        <w:rPr>
          <w:spacing w:val="-11"/>
        </w:rPr>
        <w:t> </w:t>
      </w:r>
      <w:r>
        <w:rPr/>
        <w:t>desarrollo</w:t>
      </w:r>
      <w:r>
        <w:rPr>
          <w:spacing w:val="-11"/>
        </w:rPr>
        <w:t> </w:t>
      </w:r>
      <w:r>
        <w:rPr/>
        <w:t>bajo</w:t>
      </w:r>
      <w:r>
        <w:rPr>
          <w:spacing w:val="-11"/>
        </w:rPr>
        <w:t> </w:t>
      </w:r>
      <w:r>
        <w:rPr/>
        <w:t>un</w:t>
      </w:r>
      <w:r>
        <w:rPr>
          <w:spacing w:val="-11"/>
        </w:rPr>
        <w:t> </w:t>
      </w:r>
      <w:r>
        <w:rPr/>
        <w:t>marco de</w:t>
      </w:r>
      <w:r>
        <w:rPr>
          <w:spacing w:val="-14"/>
        </w:rPr>
        <w:t> </w:t>
      </w:r>
      <w:r>
        <w:rPr/>
        <w:t>eficiencia</w:t>
      </w:r>
      <w:r>
        <w:rPr>
          <w:spacing w:val="-14"/>
        </w:rPr>
        <w:t> </w:t>
      </w:r>
      <w:r>
        <w:rPr/>
        <w:t>y</w:t>
      </w:r>
      <w:r>
        <w:rPr>
          <w:spacing w:val="-14"/>
        </w:rPr>
        <w:t> </w:t>
      </w:r>
      <w:r>
        <w:rPr/>
        <w:t>control</w:t>
      </w:r>
      <w:r>
        <w:rPr>
          <w:spacing w:val="-15"/>
        </w:rPr>
        <w:t> </w:t>
      </w:r>
      <w:r>
        <w:rPr/>
        <w:t>de</w:t>
      </w:r>
      <w:r>
        <w:rPr>
          <w:spacing w:val="-14"/>
        </w:rPr>
        <w:t> </w:t>
      </w:r>
      <w:r>
        <w:rPr/>
        <w:t>costos,</w:t>
      </w:r>
      <w:r>
        <w:rPr>
          <w:spacing w:val="-13"/>
        </w:rPr>
        <w:t> </w:t>
      </w:r>
      <w:r>
        <w:rPr/>
        <w:t>han</w:t>
      </w:r>
      <w:r>
        <w:rPr>
          <w:spacing w:val="-15"/>
        </w:rPr>
        <w:t> </w:t>
      </w:r>
      <w:r>
        <w:rPr/>
        <w:t>motivado</w:t>
      </w:r>
      <w:r>
        <w:rPr>
          <w:spacing w:val="-14"/>
        </w:rPr>
        <w:t> </w:t>
      </w:r>
      <w:r>
        <w:rPr/>
        <w:t>al</w:t>
      </w:r>
      <w:r>
        <w:rPr>
          <w:spacing w:val="-15"/>
        </w:rPr>
        <w:t> </w:t>
      </w:r>
      <w:r>
        <w:rPr/>
        <w:t>desarrollo</w:t>
      </w:r>
      <w:r>
        <w:rPr>
          <w:spacing w:val="-14"/>
        </w:rPr>
        <w:t> </w:t>
      </w:r>
      <w:r>
        <w:rPr/>
        <w:t>de</w:t>
      </w:r>
      <w:r>
        <w:rPr>
          <w:spacing w:val="-13"/>
        </w:rPr>
        <w:t> </w:t>
      </w:r>
      <w:r>
        <w:rPr/>
        <w:t>modalidades</w:t>
      </w:r>
      <w:r>
        <w:rPr>
          <w:spacing w:val="-14"/>
        </w:rPr>
        <w:t> </w:t>
      </w:r>
      <w:r>
        <w:rPr/>
        <w:t>innovadoras</w:t>
      </w:r>
      <w:r>
        <w:rPr>
          <w:spacing w:val="-14"/>
        </w:rPr>
        <w:t> </w:t>
      </w:r>
      <w:r>
        <w:rPr/>
        <w:t>para contribuir</w:t>
      </w:r>
      <w:r>
        <w:rPr>
          <w:spacing w:val="-2"/>
        </w:rPr>
        <w:t> </w:t>
      </w:r>
      <w:r>
        <w:rPr/>
        <w:t>con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productividad.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este</w:t>
      </w:r>
      <w:r>
        <w:rPr>
          <w:spacing w:val="-2"/>
        </w:rPr>
        <w:t> </w:t>
      </w:r>
      <w:r>
        <w:rPr/>
        <w:t>sentido,</w:t>
      </w:r>
      <w:r>
        <w:rPr>
          <w:spacing w:val="-2"/>
        </w:rPr>
        <w:t> </w:t>
      </w:r>
      <w:r>
        <w:rPr/>
        <w:t>una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las</w:t>
      </w:r>
      <w:r>
        <w:rPr>
          <w:spacing w:val="-2"/>
        </w:rPr>
        <w:t> </w:t>
      </w:r>
      <w:r>
        <w:rPr/>
        <w:t>más</w:t>
      </w:r>
      <w:r>
        <w:rPr>
          <w:spacing w:val="-2"/>
        </w:rPr>
        <w:t> </w:t>
      </w:r>
      <w:r>
        <w:rPr/>
        <w:t>importantes</w:t>
      </w:r>
      <w:r>
        <w:rPr>
          <w:spacing w:val="-2"/>
        </w:rPr>
        <w:t> </w:t>
      </w:r>
      <w:r>
        <w:rPr/>
        <w:t>es</w:t>
      </w:r>
      <w:r>
        <w:rPr>
          <w:spacing w:val="-2"/>
        </w:rPr>
        <w:t> </w:t>
      </w:r>
      <w:r>
        <w:rPr/>
        <w:t>la</w:t>
      </w:r>
      <w:r>
        <w:rPr>
          <w:spacing w:val="-4"/>
        </w:rPr>
        <w:t> </w:t>
      </w:r>
      <w:r>
        <w:rPr/>
        <w:t>PV,</w:t>
      </w:r>
      <w:r>
        <w:rPr>
          <w:spacing w:val="-2"/>
        </w:rPr>
        <w:t> </w:t>
      </w:r>
      <w:r>
        <w:rPr/>
        <w:t>qué</w:t>
      </w:r>
      <w:r>
        <w:rPr>
          <w:spacing w:val="-3"/>
        </w:rPr>
        <w:t> </w:t>
      </w:r>
      <w:r>
        <w:rPr/>
        <w:t>se puede definir como los mecanismos orientados a la fragmentación de la roca en las labores mineras (Bernaola et al., 2013). En vista de ello, con esta investigación se propone alcanzar una mejoría en la actividad de PV a partir del incremento de avances por disparo, el control del área de las labores, los resultados de granulometría y la eficiencia en el uso de recursos para esta actividad.</w:t>
      </w:r>
    </w:p>
    <w:p>
      <w:pPr>
        <w:pStyle w:val="BodyText"/>
      </w:pPr>
    </w:p>
    <w:p>
      <w:pPr>
        <w:pStyle w:val="BodyText"/>
        <w:spacing w:before="115"/>
      </w:pPr>
    </w:p>
    <w:p>
      <w:pPr>
        <w:pStyle w:val="Heading1"/>
        <w:numPr>
          <w:ilvl w:val="0"/>
          <w:numId w:val="1"/>
        </w:numPr>
        <w:tabs>
          <w:tab w:pos="741" w:val="left" w:leader="none"/>
        </w:tabs>
        <w:spacing w:line="240" w:lineRule="auto" w:before="1" w:after="0"/>
        <w:ind w:left="741" w:right="0" w:hanging="358"/>
        <w:jc w:val="left"/>
      </w:pPr>
      <w:r>
        <w:rPr/>
        <w:t>Objetivos</w:t>
      </w:r>
      <w:r>
        <w:rPr>
          <w:spacing w:val="-3"/>
        </w:rPr>
        <w:t> </w:t>
      </w:r>
      <w:r>
        <w:rPr/>
        <w:t>y</w:t>
      </w:r>
      <w:r>
        <w:rPr>
          <w:spacing w:val="-1"/>
        </w:rPr>
        <w:t> </w:t>
      </w:r>
      <w:r>
        <w:rPr>
          <w:spacing w:val="-2"/>
        </w:rPr>
        <w:t>metodología</w:t>
      </w:r>
    </w:p>
    <w:p>
      <w:pPr>
        <w:pStyle w:val="BodyText"/>
        <w:spacing w:before="111"/>
        <w:rPr>
          <w:rFonts w:ascii="Arial"/>
          <w:b/>
        </w:rPr>
      </w:pPr>
    </w:p>
    <w:p>
      <w:pPr>
        <w:pStyle w:val="BodyText"/>
        <w:spacing w:line="360" w:lineRule="auto" w:before="1"/>
        <w:ind w:left="23" w:right="141" w:firstLine="568"/>
        <w:jc w:val="both"/>
      </w:pPr>
      <w:r>
        <w:rPr/>
        <w:t>La</w:t>
      </w:r>
      <w:r>
        <w:rPr>
          <w:spacing w:val="-16"/>
        </w:rPr>
        <w:t> </w:t>
      </w:r>
      <w:r>
        <w:rPr/>
        <w:t>presente</w:t>
      </w:r>
      <w:r>
        <w:rPr>
          <w:spacing w:val="-15"/>
        </w:rPr>
        <w:t> </w:t>
      </w:r>
      <w:r>
        <w:rPr/>
        <w:t>investigación</w:t>
      </w:r>
      <w:r>
        <w:rPr>
          <w:spacing w:val="-15"/>
        </w:rPr>
        <w:t> </w:t>
      </w:r>
      <w:r>
        <w:rPr/>
        <w:t>tuvo</w:t>
      </w:r>
      <w:r>
        <w:rPr>
          <w:spacing w:val="-16"/>
        </w:rPr>
        <w:t> </w:t>
      </w:r>
      <w:r>
        <w:rPr/>
        <w:t>como</w:t>
      </w:r>
      <w:r>
        <w:rPr>
          <w:spacing w:val="-15"/>
        </w:rPr>
        <w:t> </w:t>
      </w:r>
      <w:r>
        <w:rPr/>
        <w:t>objetivo</w:t>
      </w:r>
      <w:r>
        <w:rPr>
          <w:spacing w:val="-15"/>
        </w:rPr>
        <w:t> </w:t>
      </w:r>
      <w:r>
        <w:rPr/>
        <w:t>principal</w:t>
      </w:r>
      <w:r>
        <w:rPr>
          <w:spacing w:val="-15"/>
        </w:rPr>
        <w:t> </w:t>
      </w:r>
      <w:r>
        <w:rPr/>
        <w:t>determinar</w:t>
      </w:r>
      <w:r>
        <w:rPr>
          <w:spacing w:val="-16"/>
        </w:rPr>
        <w:t> </w:t>
      </w:r>
      <w:r>
        <w:rPr/>
        <w:t>modelos</w:t>
      </w:r>
      <w:r>
        <w:rPr>
          <w:spacing w:val="-15"/>
        </w:rPr>
        <w:t> </w:t>
      </w:r>
      <w:r>
        <w:rPr/>
        <w:t>matemáticos para el diseño correcto de mallas de PV en minería subterránea convencional. El estudio se enfocó</w:t>
      </w:r>
      <w:r>
        <w:rPr>
          <w:spacing w:val="-8"/>
        </w:rPr>
        <w:t> </w:t>
      </w:r>
      <w:r>
        <w:rPr/>
        <w:t>en</w:t>
      </w:r>
      <w:r>
        <w:rPr>
          <w:spacing w:val="-8"/>
        </w:rPr>
        <w:t> </w:t>
      </w:r>
      <w:r>
        <w:rPr/>
        <w:t>mejorar</w:t>
      </w:r>
      <w:r>
        <w:rPr>
          <w:spacing w:val="-7"/>
        </w:rPr>
        <w:t> </w:t>
      </w:r>
      <w:r>
        <w:rPr/>
        <w:t>la</w:t>
      </w:r>
      <w:r>
        <w:rPr>
          <w:spacing w:val="-8"/>
        </w:rPr>
        <w:t> </w:t>
      </w:r>
      <w:r>
        <w:rPr/>
        <w:t>eficiencia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las</w:t>
      </w:r>
      <w:r>
        <w:rPr>
          <w:spacing w:val="-8"/>
        </w:rPr>
        <w:t> </w:t>
      </w:r>
      <w:r>
        <w:rPr/>
        <w:t>operaciones</w:t>
      </w:r>
      <w:r>
        <w:rPr>
          <w:spacing w:val="-8"/>
        </w:rPr>
        <w:t> </w:t>
      </w:r>
      <w:r>
        <w:rPr/>
        <w:t>unitarias</w:t>
      </w:r>
      <w:r>
        <w:rPr>
          <w:spacing w:val="-8"/>
        </w:rPr>
        <w:t> </w:t>
      </w:r>
      <w:r>
        <w:rPr/>
        <w:t>y</w:t>
      </w:r>
      <w:r>
        <w:rPr>
          <w:spacing w:val="-8"/>
        </w:rPr>
        <w:t> </w:t>
      </w:r>
      <w:r>
        <w:rPr/>
        <w:t>reducir</w:t>
      </w:r>
      <w:r>
        <w:rPr>
          <w:spacing w:val="-7"/>
        </w:rPr>
        <w:t> </w:t>
      </w:r>
      <w:r>
        <w:rPr/>
        <w:t>los</w:t>
      </w:r>
      <w:r>
        <w:rPr>
          <w:spacing w:val="-8"/>
        </w:rPr>
        <w:t> </w:t>
      </w:r>
      <w:r>
        <w:rPr/>
        <w:t>costos</w:t>
      </w:r>
      <w:r>
        <w:rPr>
          <w:spacing w:val="-8"/>
        </w:rPr>
        <w:t> </w:t>
      </w:r>
      <w:r>
        <w:rPr/>
        <w:t>operativos.</w:t>
      </w:r>
      <w:r>
        <w:rPr>
          <w:spacing w:val="-7"/>
        </w:rPr>
        <w:t> </w:t>
      </w:r>
      <w:r>
        <w:rPr/>
        <w:t>El modelo matemático integra parámetros técnicos del macizo rocoso, simetría del disparo, diámetro del taladro, características del explosivo y técnicas de carguío.</w:t>
      </w:r>
    </w:p>
    <w:p>
      <w:pPr>
        <w:pStyle w:val="BodyText"/>
        <w:spacing w:line="360" w:lineRule="auto" w:before="240"/>
        <w:ind w:left="23" w:right="141" w:firstLine="568"/>
        <w:jc w:val="both"/>
      </w:pPr>
      <w:r>
        <w:rPr/>
        <w:t>La investigación se realizó en dos etapas: una revisión documental y un conjunto de ensayos en campo para mitigar las voladuras deficientes.</w:t>
      </w:r>
    </w:p>
    <w:p>
      <w:pPr>
        <w:pStyle w:val="BodyText"/>
        <w:spacing w:after="0" w:line="360" w:lineRule="auto"/>
        <w:jc w:val="both"/>
        <w:sectPr>
          <w:type w:val="continuous"/>
          <w:pgSz w:w="11910" w:h="16840"/>
          <w:pgMar w:top="1320" w:bottom="280" w:left="1417" w:right="1275"/>
        </w:sectPr>
      </w:pPr>
    </w:p>
    <w:p>
      <w:pPr>
        <w:pStyle w:val="Heading1"/>
        <w:numPr>
          <w:ilvl w:val="0"/>
          <w:numId w:val="1"/>
        </w:numPr>
        <w:tabs>
          <w:tab w:pos="741" w:val="left" w:leader="none"/>
        </w:tabs>
        <w:spacing w:line="240" w:lineRule="auto" w:before="81" w:after="0"/>
        <w:ind w:left="741" w:right="0" w:hanging="358"/>
        <w:jc w:val="left"/>
      </w:pPr>
      <w:r>
        <w:rPr>
          <w:spacing w:val="-2"/>
        </w:rPr>
        <w:t>Resultados</w:t>
      </w:r>
    </w:p>
    <w:p>
      <w:pPr>
        <w:pStyle w:val="BodyText"/>
        <w:spacing w:before="183"/>
        <w:rPr>
          <w:rFonts w:ascii="Arial"/>
          <w:b/>
          <w:sz w:val="20"/>
        </w:rPr>
      </w:pPr>
    </w:p>
    <w:p>
      <w:pPr>
        <w:pStyle w:val="BodyText"/>
        <w:spacing w:after="0"/>
        <w:rPr>
          <w:rFonts w:ascii="Arial"/>
          <w:b/>
          <w:sz w:val="20"/>
        </w:rPr>
        <w:sectPr>
          <w:pgSz w:w="11910" w:h="16840"/>
          <w:pgMar w:top="1320" w:bottom="280" w:left="1417" w:right="1275"/>
        </w:sectPr>
      </w:pPr>
    </w:p>
    <w:p>
      <w:pPr>
        <w:pStyle w:val="ListParagraph"/>
        <w:numPr>
          <w:ilvl w:val="1"/>
          <w:numId w:val="1"/>
        </w:numPr>
        <w:tabs>
          <w:tab w:pos="861" w:val="left" w:leader="none"/>
          <w:tab w:pos="863" w:val="left" w:leader="none"/>
        </w:tabs>
        <w:spacing w:line="360" w:lineRule="auto" w:before="93" w:after="0"/>
        <w:ind w:left="863" w:right="1" w:hanging="360"/>
        <w:jc w:val="left"/>
        <w:rPr>
          <w:b/>
          <w:sz w:val="22"/>
        </w:rPr>
      </w:pPr>
      <w:r>
        <w:rPr>
          <w:b/>
          <w:sz w:val="22"/>
        </w:rPr>
        <w:t>Diagnóstico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los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procesos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de Perforación y Voladura</w:t>
      </w:r>
    </w:p>
    <w:p>
      <w:pPr>
        <w:pStyle w:val="BodyText"/>
        <w:spacing w:line="360" w:lineRule="auto" w:before="241"/>
        <w:ind w:left="23" w:firstLine="568"/>
        <w:jc w:val="both"/>
      </w:pPr>
      <w:r>
        <w:rPr/>
        <w:t>El 40% de voladuras deficientes se da por mala simetría del disparo y el 60% por otros factores distintos.</w:t>
      </w:r>
    </w:p>
    <w:p>
      <w:pPr>
        <w:pStyle w:val="BodyText"/>
        <w:spacing w:line="197" w:lineRule="exact"/>
        <w:ind w:left="1499"/>
        <w:rPr>
          <w:rFonts w:ascii="Cambria Math" w:hAnsi="Cambria Math" w:eastAsia="Cambria Math"/>
        </w:rPr>
      </w:pPr>
      <w:r>
        <w:rPr>
          <w:rFonts w:ascii="Cambria Math" w:hAnsi="Cambria Math" w:eastAsia="Cambria Math"/>
          <w:position w:val="1"/>
        </w:rPr>
        <w:t>∑</w:t>
      </w:r>
      <w:r>
        <w:rPr>
          <w:rFonts w:ascii="Cambria Math" w:hAnsi="Cambria Math" w:eastAsia="Cambria Math"/>
          <w:spacing w:val="-13"/>
          <w:position w:val="1"/>
        </w:rPr>
        <w:t> </w:t>
      </w:r>
      <w:r>
        <w:rPr>
          <w:rFonts w:ascii="Cambria Math" w:hAnsi="Cambria Math" w:eastAsia="Cambria Math"/>
          <w:spacing w:val="-2"/>
        </w:rPr>
        <w:t>𝐷𝑖𝑎𝑔𝑛ó𝑠𝑡𝑖𝑐𝑜</w:t>
      </w:r>
    </w:p>
    <w:p>
      <w:pPr>
        <w:tabs>
          <w:tab w:pos="3511" w:val="left" w:leader="none"/>
        </w:tabs>
        <w:spacing w:line="157" w:lineRule="exact" w:before="0"/>
        <w:ind w:left="511" w:right="0" w:firstLine="0"/>
        <w:jc w:val="left"/>
        <w:rPr>
          <w:rFonts w:ascii="Cambria Math" w:eastAsia="Cambria Math"/>
          <w:sz w:val="22"/>
        </w:rPr>
      </w:pPr>
      <w:r>
        <w:rPr>
          <w:rFonts w:ascii="Cambria Math" w:eastAsia="Cambria Math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18720">
                <wp:simplePos x="0" y="0"/>
                <wp:positionH relativeFrom="page">
                  <wp:posOffset>1485011</wp:posOffset>
                </wp:positionH>
                <wp:positionV relativeFrom="paragraph">
                  <wp:posOffset>60471</wp:posOffset>
                </wp:positionV>
                <wp:extent cx="1621790" cy="889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62179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21790" h="8890">
                              <a:moveTo>
                                <a:pt x="1621789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1621789" y="8890"/>
                              </a:lnTo>
                              <a:lnTo>
                                <a:pt x="1621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6.93pt;margin-top:4.761571pt;width:127.7pt;height:.7pt;mso-position-horizontal-relative:page;mso-position-vertical-relative:paragraph;z-index:-15797760" id="docshape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z w:val="22"/>
        </w:rPr>
        <w:t>𝑥</w:t>
      </w:r>
      <w:r>
        <w:rPr>
          <w:rFonts w:ascii="Cambria Math" w:eastAsia="Cambria Math"/>
          <w:spacing w:val="18"/>
          <w:sz w:val="22"/>
        </w:rPr>
        <w:t> </w:t>
      </w:r>
      <w:r>
        <w:rPr>
          <w:rFonts w:ascii="Cambria Math" w:eastAsia="Cambria Math"/>
          <w:spacing w:val="-10"/>
          <w:sz w:val="22"/>
        </w:rPr>
        <w:t>=</w:t>
      </w:r>
      <w:r>
        <w:rPr>
          <w:rFonts w:ascii="Cambria Math" w:eastAsia="Cambria Math"/>
          <w:sz w:val="22"/>
        </w:rPr>
        <w:tab/>
      </w:r>
      <w:r>
        <w:rPr>
          <w:rFonts w:ascii="Cambria Math" w:eastAsia="Cambria Math"/>
          <w:spacing w:val="-10"/>
          <w:sz w:val="22"/>
        </w:rPr>
        <w:t>%</w:t>
      </w:r>
    </w:p>
    <w:p>
      <w:pPr>
        <w:spacing w:line="203" w:lineRule="exact" w:before="0"/>
        <w:ind w:left="921" w:right="0" w:firstLine="0"/>
        <w:jc w:val="left"/>
        <w:rPr>
          <w:rFonts w:ascii="Cambria Math" w:eastAsia="Cambria Math"/>
          <w:sz w:val="22"/>
        </w:rPr>
      </w:pPr>
      <w:r>
        <w:rPr>
          <w:rFonts w:ascii="Cambria Math" w:eastAsia="Cambria Math"/>
          <w:sz w:val="22"/>
        </w:rPr>
        <w:t>𝑇𝑜𝑡𝑎𝑠</w:t>
      </w:r>
      <w:r>
        <w:rPr>
          <w:rFonts w:ascii="Cambria Math" w:eastAsia="Cambria Math"/>
          <w:spacing w:val="1"/>
          <w:sz w:val="22"/>
        </w:rPr>
        <w:t> </w:t>
      </w:r>
      <w:r>
        <w:rPr>
          <w:rFonts w:ascii="Cambria Math" w:eastAsia="Cambria Math"/>
          <w:sz w:val="22"/>
        </w:rPr>
        <w:t>𝑑𝑖𝑠𝑝𝑎𝑟𝑜𝑠</w:t>
      </w:r>
      <w:r>
        <w:rPr>
          <w:rFonts w:ascii="Cambria Math" w:eastAsia="Cambria Math"/>
          <w:spacing w:val="2"/>
          <w:sz w:val="22"/>
        </w:rPr>
        <w:t> </w:t>
      </w:r>
      <w:r>
        <w:rPr>
          <w:rFonts w:ascii="Cambria Math" w:eastAsia="Cambria Math"/>
          <w:spacing w:val="-2"/>
          <w:sz w:val="22"/>
        </w:rPr>
        <w:t>𝑒𝑣𝑎𝑙𝑢𝑎𝑑𝑜𝑠</w:t>
      </w:r>
    </w:p>
    <w:p>
      <w:pPr>
        <w:pStyle w:val="BodyText"/>
        <w:spacing w:before="237"/>
        <w:rPr>
          <w:rFonts w:ascii="Cambria Math"/>
        </w:rPr>
      </w:pPr>
    </w:p>
    <w:p>
      <w:pPr>
        <w:spacing w:before="1"/>
        <w:ind w:left="63" w:right="0" w:firstLine="0"/>
        <w:jc w:val="left"/>
        <w:rPr>
          <w:rFonts w:ascii="Arial" w:hAnsi="Arial" w:eastAsia="Arial"/>
          <w:i/>
          <w:sz w:val="20"/>
        </w:rPr>
      </w:pPr>
      <w:r>
        <w:rPr>
          <w:rFonts w:ascii="Arial" w:hAnsi="Arial" w:eastAsia="Arial"/>
          <w:i/>
          <w:sz w:val="20"/>
        </w:rPr>
        <w:t>Ecuación</w:t>
      </w:r>
      <w:r>
        <w:rPr>
          <w:rFonts w:ascii="Arial" w:hAnsi="Arial" w:eastAsia="Arial"/>
          <w:i/>
          <w:spacing w:val="-4"/>
          <w:sz w:val="20"/>
        </w:rPr>
        <w:t> </w:t>
      </w:r>
      <w:r>
        <w:rPr>
          <w:rFonts w:ascii="Arial" w:hAnsi="Arial" w:eastAsia="Arial"/>
          <w:i/>
          <w:sz w:val="20"/>
        </w:rPr>
        <w:t>1.</w:t>
      </w:r>
      <w:r>
        <w:rPr>
          <w:rFonts w:ascii="Arial" w:hAnsi="Arial" w:eastAsia="Arial"/>
          <w:i/>
          <w:spacing w:val="-5"/>
          <w:sz w:val="20"/>
        </w:rPr>
        <w:t> </w:t>
      </w:r>
      <w:r>
        <w:rPr>
          <w:rFonts w:ascii="Arial" w:hAnsi="Arial" w:eastAsia="Arial"/>
          <w:i/>
          <w:sz w:val="20"/>
        </w:rPr>
        <w:t>Ponderado</w:t>
      </w:r>
      <w:r>
        <w:rPr>
          <w:rFonts w:ascii="Arial" w:hAnsi="Arial" w:eastAsia="Arial"/>
          <w:i/>
          <w:spacing w:val="-3"/>
          <w:sz w:val="20"/>
        </w:rPr>
        <w:t> </w:t>
      </w:r>
      <w:r>
        <w:rPr>
          <w:rFonts w:ascii="Arial" w:hAnsi="Arial" w:eastAsia="Arial"/>
          <w:i/>
          <w:sz w:val="20"/>
        </w:rPr>
        <w:t>del</w:t>
      </w:r>
      <w:r>
        <w:rPr>
          <w:rFonts w:ascii="Arial" w:hAnsi="Arial" w:eastAsia="Arial"/>
          <w:i/>
          <w:spacing w:val="-5"/>
          <w:sz w:val="20"/>
        </w:rPr>
        <w:t> </w:t>
      </w:r>
      <w:r>
        <w:rPr>
          <w:rFonts w:ascii="Arial" w:hAnsi="Arial" w:eastAsia="Arial"/>
          <w:i/>
          <w:sz w:val="20"/>
        </w:rPr>
        <w:t>diagnóstico</w:t>
      </w:r>
      <w:r>
        <w:rPr>
          <w:rFonts w:ascii="Arial" w:hAnsi="Arial" w:eastAsia="Arial"/>
          <w:i/>
          <w:spacing w:val="-5"/>
          <w:sz w:val="20"/>
        </w:rPr>
        <w:t> </w:t>
      </w:r>
      <w:r>
        <w:rPr>
          <w:rFonts w:ascii="Arial" w:hAnsi="Arial" w:eastAsia="Arial"/>
          <w:i/>
          <w:sz w:val="20"/>
        </w:rPr>
        <w:t>PV</w:t>
      </w:r>
      <w:r>
        <w:rPr>
          <w:rFonts w:ascii="Arial" w:hAnsi="Arial" w:eastAsia="Arial"/>
          <w:i/>
          <w:spacing w:val="-3"/>
          <w:sz w:val="20"/>
        </w:rPr>
        <w:t> </w:t>
      </w:r>
      <w:r>
        <w:rPr>
          <w:rFonts w:ascii="Arial" w:hAnsi="Arial" w:eastAsia="Arial"/>
          <w:i/>
          <w:spacing w:val="-5"/>
          <w:sz w:val="20"/>
        </w:rPr>
        <w:t>(</w:t>
      </w:r>
      <w:r>
        <w:rPr>
          <w:rFonts w:ascii="Cambria Math" w:hAnsi="Cambria Math" w:eastAsia="Cambria Math"/>
          <w:spacing w:val="-5"/>
          <w:sz w:val="21"/>
        </w:rPr>
        <w:t>𝑥</w:t>
      </w:r>
      <w:r>
        <w:rPr>
          <w:rFonts w:ascii="Arial" w:hAnsi="Arial" w:eastAsia="Arial"/>
          <w:i/>
          <w:spacing w:val="-5"/>
          <w:sz w:val="20"/>
        </w:rPr>
        <w:t>)</w: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200"/>
        <w:rPr>
          <w:rFonts w:ascii="Arial"/>
          <w:i/>
          <w:sz w:val="20"/>
        </w:rPr>
      </w:pPr>
    </w:p>
    <w:p>
      <w:pPr>
        <w:pStyle w:val="Heading1"/>
        <w:numPr>
          <w:ilvl w:val="1"/>
          <w:numId w:val="1"/>
        </w:numPr>
        <w:tabs>
          <w:tab w:pos="860" w:val="left" w:leader="none"/>
          <w:tab w:pos="863" w:val="left" w:leader="none"/>
          <w:tab w:pos="1816" w:val="left" w:leader="none"/>
          <w:tab w:pos="2294" w:val="left" w:leader="none"/>
          <w:tab w:pos="3152" w:val="left" w:leader="none"/>
          <w:tab w:pos="3937" w:val="left" w:leader="none"/>
        </w:tabs>
        <w:spacing w:line="360" w:lineRule="auto" w:before="1" w:after="0"/>
        <w:ind w:left="863" w:right="0" w:hanging="360"/>
        <w:jc w:val="left"/>
      </w:pPr>
      <w:r>
        <w:rPr>
          <w:spacing w:val="-2"/>
        </w:rPr>
        <w:t>Diseño</w:t>
      </w:r>
      <w:r>
        <w:rPr/>
        <w:tab/>
      </w:r>
      <w:r>
        <w:rPr>
          <w:spacing w:val="-6"/>
        </w:rPr>
        <w:t>de</w:t>
      </w:r>
      <w:r>
        <w:rPr/>
        <w:tab/>
      </w:r>
      <w:r>
        <w:rPr>
          <w:spacing w:val="-4"/>
        </w:rPr>
        <w:t>nueva</w:t>
      </w:r>
      <w:r>
        <w:rPr/>
        <w:tab/>
      </w:r>
      <w:r>
        <w:rPr>
          <w:spacing w:val="-4"/>
        </w:rPr>
        <w:t>malla</w:t>
      </w:r>
      <w:r>
        <w:rPr/>
        <w:tab/>
      </w:r>
      <w:r>
        <w:rPr>
          <w:spacing w:val="-6"/>
        </w:rPr>
        <w:t>de </w:t>
      </w:r>
      <w:r>
        <w:rPr/>
        <w:t>perforación y voladura</w:t>
      </w:r>
    </w:p>
    <w:p>
      <w:pPr>
        <w:pStyle w:val="Heading2"/>
        <w:spacing w:before="241"/>
        <w:ind w:left="591"/>
      </w:pPr>
      <w:r>
        <w:rPr/>
        <w:t>Cálculo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N.º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taladros</w:t>
      </w:r>
      <w:r>
        <w:rPr>
          <w:spacing w:val="-1"/>
        </w:rPr>
        <w:t> </w:t>
      </w:r>
      <w:r>
        <w:rPr>
          <w:spacing w:val="-4"/>
        </w:rPr>
        <w:t>(N):</w:t>
      </w:r>
    </w:p>
    <w:p>
      <w:pPr>
        <w:pStyle w:val="BodyText"/>
        <w:spacing w:line="208" w:lineRule="exact" w:before="155"/>
        <w:ind w:left="1561"/>
        <w:rPr>
          <w:rFonts w:ascii="Cambria Math" w:hAnsi="Cambria Math" w:eastAsia="Cambria Math"/>
          <w:position w:val="1"/>
        </w:rPr>
      </w:pPr>
      <w:r>
        <w:rPr>
          <w:rFonts w:ascii="Cambria Math" w:hAnsi="Cambria Math" w:eastAsia="Cambria Math"/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2342260</wp:posOffset>
                </wp:positionH>
                <wp:positionV relativeFrom="paragraph">
                  <wp:posOffset>109143</wp:posOffset>
                </wp:positionV>
                <wp:extent cx="472440" cy="889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47244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2440" h="8890">
                              <a:moveTo>
                                <a:pt x="472439" y="0"/>
                              </a:moveTo>
                              <a:lnTo>
                                <a:pt x="0" y="0"/>
                              </a:lnTo>
                              <a:lnTo>
                                <a:pt x="0" y="8889"/>
                              </a:lnTo>
                              <a:lnTo>
                                <a:pt x="472439" y="8889"/>
                              </a:lnTo>
                              <a:lnTo>
                                <a:pt x="4724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4.429993pt;margin-top:8.594014pt;width:37.2pt;height:.69998pt;mso-position-horizontal-relative:page;mso-position-vertical-relative:paragraph;z-index:15730176" id="docshape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spacing w:val="-2"/>
          <w:position w:val="1"/>
        </w:rPr>
        <w:t>(𝑅𝑀𝑅</w:t>
      </w:r>
      <w:r>
        <w:rPr>
          <w:rFonts w:ascii="Cambria Math" w:hAnsi="Cambria Math" w:eastAsia="Cambria Math"/>
          <w:spacing w:val="-2"/>
        </w:rPr>
        <w:t>√</w:t>
      </w:r>
      <w:r>
        <w:rPr>
          <w:rFonts w:ascii="Cambria Math" w:hAnsi="Cambria Math" w:eastAsia="Cambria Math"/>
          <w:spacing w:val="-2"/>
          <w:position w:val="1"/>
        </w:rPr>
        <w:t>𝑆𝑒𝑐𝑐𝑖ó𝑛)</w:t>
      </w:r>
    </w:p>
    <w:p>
      <w:pPr>
        <w:pStyle w:val="BodyText"/>
        <w:spacing w:line="360" w:lineRule="auto" w:before="93"/>
        <w:ind w:left="23" w:right="168" w:firstLine="708"/>
      </w:pPr>
      <w:r>
        <w:rPr/>
        <w:br w:type="column"/>
      </w:r>
      <w:r>
        <w:rPr>
          <w:rFonts w:ascii="Arial" w:hAnsi="Arial"/>
          <w:b/>
          <w:i/>
        </w:rPr>
        <w:t>Cálculo</w:t>
      </w:r>
      <w:r>
        <w:rPr>
          <w:rFonts w:ascii="Arial" w:hAnsi="Arial"/>
          <w:b/>
          <w:i/>
          <w:spacing w:val="-7"/>
        </w:rPr>
        <w:t> </w:t>
      </w:r>
      <w:r>
        <w:rPr>
          <w:rFonts w:ascii="Arial" w:hAnsi="Arial"/>
          <w:b/>
          <w:i/>
        </w:rPr>
        <w:t>del</w:t>
      </w:r>
      <w:r>
        <w:rPr>
          <w:rFonts w:ascii="Arial" w:hAnsi="Arial"/>
          <w:b/>
          <w:i/>
          <w:spacing w:val="-6"/>
        </w:rPr>
        <w:t> </w:t>
      </w:r>
      <w:r>
        <w:rPr>
          <w:rFonts w:ascii="Arial" w:hAnsi="Arial"/>
          <w:b/>
          <w:i/>
        </w:rPr>
        <w:t>Burden</w:t>
      </w:r>
      <w:r>
        <w:rPr>
          <w:rFonts w:ascii="Arial" w:hAnsi="Arial"/>
          <w:b/>
          <w:i/>
          <w:spacing w:val="-7"/>
        </w:rPr>
        <w:t> </w:t>
      </w:r>
      <w:r>
        <w:rPr>
          <w:rFonts w:ascii="Arial" w:hAnsi="Arial"/>
          <w:b/>
          <w:i/>
        </w:rPr>
        <w:t>(B</w:t>
      </w:r>
      <w:r>
        <w:rPr/>
        <w:t>):</w:t>
      </w:r>
      <w:r>
        <w:rPr>
          <w:spacing w:val="-8"/>
        </w:rPr>
        <w:t> </w:t>
      </w:r>
      <w:r>
        <w:rPr/>
        <w:t>El</w:t>
      </w:r>
      <w:r>
        <w:rPr>
          <w:spacing w:val="-8"/>
        </w:rPr>
        <w:t> </w:t>
      </w:r>
      <w:r>
        <w:rPr/>
        <w:t>burden máximo en esta labor lineal obedece a la capacidad de fragmentación y barrido de la cara libre inicial calibrado con el radio de influencia del explosivo, se calculó con la siguiente fórmula.</w:t>
      </w:r>
    </w:p>
    <w:p>
      <w:pPr>
        <w:pStyle w:val="BodyText"/>
        <w:spacing w:before="3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5103495</wp:posOffset>
                </wp:positionH>
                <wp:positionV relativeFrom="paragraph">
                  <wp:posOffset>68347</wp:posOffset>
                </wp:positionV>
                <wp:extent cx="201930" cy="889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20193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1930" h="8890">
                              <a:moveTo>
                                <a:pt x="201929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201929" y="8890"/>
                              </a:lnTo>
                              <a:lnTo>
                                <a:pt x="2019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1.850006pt;margin-top:5.381719pt;width:15.9pt;height:.7pt;mso-position-horizontal-relative:page;mso-position-vertical-relative:paragraph;z-index:-15728640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ind w:left="5" w:right="121"/>
        <w:jc w:val="center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𝐵</w:t>
      </w:r>
      <w:r>
        <w:rPr>
          <w:rFonts w:ascii="Cambria Math" w:hAnsi="Cambria Math" w:eastAsia="Cambria Math"/>
          <w:spacing w:val="17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4"/>
        </w:rPr>
        <w:t> </w:t>
      </w:r>
      <w:r>
        <w:rPr>
          <w:rFonts w:ascii="Cambria Math" w:hAnsi="Cambria Math" w:eastAsia="Cambria Math"/>
        </w:rPr>
        <w:t>(√𝐷𝐻</w:t>
      </w:r>
      <w:r>
        <w:rPr>
          <w:rFonts w:ascii="Cambria Math" w:hAnsi="Cambria Math" w:eastAsia="Cambria Math"/>
          <w:spacing w:val="5"/>
        </w:rPr>
        <w:t> </w:t>
      </w:r>
      <w:r>
        <w:rPr>
          <w:rFonts w:ascii="Cambria Math" w:hAnsi="Cambria Math" w:eastAsia="Cambria Math"/>
        </w:rPr>
        <w:t>∗</w:t>
      </w:r>
      <w:r>
        <w:rPr>
          <w:rFonts w:ascii="Cambria Math" w:hAnsi="Cambria Math" w:eastAsia="Cambria Math"/>
          <w:spacing w:val="2"/>
        </w:rPr>
        <w:t> </w:t>
      </w:r>
      <w:r>
        <w:rPr>
          <w:rFonts w:ascii="Cambria Math" w:hAnsi="Cambria Math" w:eastAsia="Cambria Math"/>
        </w:rPr>
        <w:t>𝐿) ± </w:t>
      </w:r>
      <w:r>
        <w:rPr>
          <w:rFonts w:ascii="Cambria Math" w:hAnsi="Cambria Math" w:eastAsia="Cambria Math"/>
          <w:spacing w:val="-4"/>
        </w:rPr>
        <w:t>0.05</w:t>
      </w:r>
    </w:p>
    <w:p>
      <w:pPr>
        <w:pStyle w:val="BodyText"/>
        <w:spacing w:before="224"/>
        <w:rPr>
          <w:rFonts w:ascii="Cambria Math"/>
        </w:rPr>
      </w:pPr>
    </w:p>
    <w:p>
      <w:pPr>
        <w:spacing w:before="0"/>
        <w:ind w:left="4" w:right="121" w:firstLine="0"/>
        <w:jc w:val="center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  <w:t>Ecuación</w:t>
      </w:r>
      <w:r>
        <w:rPr>
          <w:rFonts w:ascii="Arial" w:hAnsi="Arial"/>
          <w:i/>
          <w:spacing w:val="-3"/>
          <w:sz w:val="20"/>
        </w:rPr>
        <w:t> </w:t>
      </w:r>
      <w:r>
        <w:rPr>
          <w:rFonts w:ascii="Arial" w:hAnsi="Arial"/>
          <w:i/>
          <w:sz w:val="20"/>
        </w:rPr>
        <w:t>2.</w:t>
      </w:r>
      <w:r>
        <w:rPr>
          <w:rFonts w:ascii="Arial" w:hAnsi="Arial"/>
          <w:i/>
          <w:spacing w:val="-5"/>
          <w:sz w:val="20"/>
        </w:rPr>
        <w:t> </w:t>
      </w:r>
      <w:r>
        <w:rPr>
          <w:rFonts w:ascii="Arial" w:hAnsi="Arial"/>
          <w:i/>
          <w:sz w:val="20"/>
        </w:rPr>
        <w:t>Cálculo</w:t>
      </w:r>
      <w:r>
        <w:rPr>
          <w:rFonts w:ascii="Arial" w:hAnsi="Arial"/>
          <w:i/>
          <w:spacing w:val="-4"/>
          <w:sz w:val="20"/>
        </w:rPr>
        <w:t> </w:t>
      </w:r>
      <w:r>
        <w:rPr>
          <w:rFonts w:ascii="Arial" w:hAnsi="Arial"/>
          <w:i/>
          <w:sz w:val="20"/>
        </w:rPr>
        <w:t>del</w:t>
      </w:r>
      <w:r>
        <w:rPr>
          <w:rFonts w:ascii="Arial" w:hAnsi="Arial"/>
          <w:i/>
          <w:spacing w:val="-3"/>
          <w:sz w:val="20"/>
        </w:rPr>
        <w:t> </w:t>
      </w:r>
      <w:r>
        <w:rPr>
          <w:rFonts w:ascii="Arial" w:hAnsi="Arial"/>
          <w:i/>
          <w:sz w:val="20"/>
        </w:rPr>
        <w:t>Burden</w:t>
      </w:r>
      <w:r>
        <w:rPr>
          <w:rFonts w:ascii="Arial" w:hAnsi="Arial"/>
          <w:i/>
          <w:spacing w:val="-3"/>
          <w:sz w:val="20"/>
        </w:rPr>
        <w:t> </w:t>
      </w:r>
      <w:r>
        <w:rPr>
          <w:rFonts w:ascii="Arial" w:hAnsi="Arial"/>
          <w:i/>
          <w:spacing w:val="-5"/>
          <w:sz w:val="20"/>
        </w:rPr>
        <w:t>(B)</w:t>
      </w:r>
    </w:p>
    <w:p>
      <w:pPr>
        <w:pStyle w:val="BodyText"/>
        <w:spacing w:before="86"/>
        <w:rPr>
          <w:rFonts w:ascii="Arial"/>
          <w:i/>
          <w:sz w:val="20"/>
        </w:rPr>
      </w:pPr>
    </w:p>
    <w:p>
      <w:pPr>
        <w:pStyle w:val="BodyText"/>
        <w:ind w:left="23"/>
      </w:pPr>
      <w:r>
        <w:rPr>
          <w:spacing w:val="-2"/>
        </w:rPr>
        <w:t>Donde:</w:t>
      </w:r>
    </w:p>
    <w:p>
      <w:pPr>
        <w:pStyle w:val="BodyText"/>
        <w:spacing w:before="187"/>
        <w:ind w:left="23"/>
      </w:pPr>
      <w:r>
        <w:rPr/>
        <w:t>DH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Ø vado</w:t>
      </w:r>
      <w:r>
        <w:rPr>
          <w:spacing w:val="-2"/>
        </w:rPr>
        <w:t> </w:t>
      </w:r>
      <w:r>
        <w:rPr/>
        <w:t>en</w:t>
      </w:r>
      <w:r>
        <w:rPr>
          <w:spacing w:val="-1"/>
        </w:rPr>
        <w:t> </w:t>
      </w:r>
      <w:r>
        <w:rPr>
          <w:spacing w:val="-5"/>
        </w:rPr>
        <w:t>(m)</w:t>
      </w:r>
    </w:p>
    <w:p>
      <w:pPr>
        <w:pStyle w:val="BodyText"/>
        <w:spacing w:before="187"/>
        <w:ind w:left="23"/>
      </w:pPr>
      <w:r>
        <w:rPr/>
        <w:t>L</w:t>
      </w:r>
      <w:r>
        <w:rPr>
          <w:spacing w:val="-10"/>
        </w:rPr>
        <w:t> </w:t>
      </w:r>
      <w:r>
        <w:rPr/>
        <w:t>=</w:t>
      </w:r>
      <w:r>
        <w:rPr>
          <w:spacing w:val="-2"/>
        </w:rPr>
        <w:t> </w:t>
      </w:r>
      <w:r>
        <w:rPr/>
        <w:t>Longitud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perforación</w:t>
      </w:r>
    </w:p>
    <w:p>
      <w:pPr>
        <w:pStyle w:val="BodyText"/>
        <w:spacing w:line="360" w:lineRule="auto" w:before="145"/>
        <w:ind w:left="23" w:right="227"/>
      </w:pPr>
      <w:r>
        <w:rPr/>
        <w:t>La variante para calcular el burden mínimo</w:t>
      </w:r>
      <w:r>
        <w:rPr>
          <w:spacing w:val="-7"/>
        </w:rPr>
        <w:t> </w:t>
      </w:r>
      <w:r>
        <w:rPr/>
        <w:t>ubicado</w:t>
      </w:r>
      <w:r>
        <w:rPr>
          <w:spacing w:val="-8"/>
        </w:rPr>
        <w:t> </w:t>
      </w:r>
      <w:r>
        <w:rPr/>
        <w:t>en</w:t>
      </w:r>
      <w:r>
        <w:rPr>
          <w:spacing w:val="-7"/>
        </w:rPr>
        <w:t> </w:t>
      </w:r>
      <w:r>
        <w:rPr/>
        <w:t>el</w:t>
      </w:r>
      <w:r>
        <w:rPr>
          <w:spacing w:val="-8"/>
        </w:rPr>
        <w:t> </w:t>
      </w:r>
      <w:r>
        <w:rPr/>
        <w:t>arranque,</w:t>
      </w:r>
      <w:r>
        <w:rPr>
          <w:spacing w:val="-7"/>
        </w:rPr>
        <w:t> </w:t>
      </w:r>
      <w:r>
        <w:rPr/>
        <w:t>es:</w:t>
      </w:r>
    </w:p>
    <w:p>
      <w:pPr>
        <w:pStyle w:val="BodyText"/>
        <w:spacing w:after="0" w:line="360" w:lineRule="auto"/>
        <w:sectPr>
          <w:type w:val="continuous"/>
          <w:pgSz w:w="11910" w:h="16840"/>
          <w:pgMar w:top="1320" w:bottom="280" w:left="1417" w:right="1275"/>
          <w:cols w:num="2" w:equalWidth="0">
            <w:col w:w="4195" w:space="684"/>
            <w:col w:w="4339"/>
          </w:cols>
        </w:sectPr>
      </w:pPr>
    </w:p>
    <w:p>
      <w:pPr>
        <w:spacing w:line="213" w:lineRule="exact" w:before="0"/>
        <w:ind w:left="0" w:right="0" w:firstLine="0"/>
        <w:jc w:val="right"/>
        <w:rPr>
          <w:rFonts w:ascii="Cambria Math" w:eastAsia="Cambria Math"/>
          <w:sz w:val="22"/>
        </w:rPr>
      </w:pPr>
      <w:r>
        <w:rPr>
          <w:rFonts w:ascii="Cambria Math" w:eastAsia="Cambria Math"/>
          <w:sz w:val="22"/>
        </w:rPr>
        <w:t>𝑁</w:t>
      </w:r>
      <w:r>
        <w:rPr>
          <w:rFonts w:ascii="Cambria Math" w:eastAsia="Cambria Math"/>
          <w:spacing w:val="18"/>
          <w:sz w:val="22"/>
        </w:rPr>
        <w:t> </w:t>
      </w:r>
      <w:r>
        <w:rPr>
          <w:rFonts w:ascii="Cambria Math" w:eastAsia="Cambria Math"/>
          <w:spacing w:val="-10"/>
          <w:sz w:val="22"/>
        </w:rPr>
        <w:t>=</w:t>
      </w:r>
    </w:p>
    <w:p>
      <w:pPr>
        <w:spacing w:line="240" w:lineRule="auto" w:before="2" w:after="0"/>
        <w:rPr>
          <w:rFonts w:ascii="Cambria Math"/>
          <w:sz w:val="8"/>
        </w:rPr>
      </w:pPr>
      <w:r>
        <w:rPr/>
        <w:br w:type="column"/>
      </w:r>
      <w:r>
        <w:rPr>
          <w:rFonts w:ascii="Cambria Math"/>
          <w:sz w:val="8"/>
        </w:rPr>
      </w:r>
    </w:p>
    <w:p>
      <w:pPr>
        <w:pStyle w:val="BodyText"/>
        <w:spacing w:line="20" w:lineRule="exact"/>
        <w:ind w:left="19" w:right="-375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981710" cy="8890"/>
                <wp:effectExtent l="0" t="0" r="0" b="0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981710" cy="8890"/>
                          <a:chExt cx="981710" cy="889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9817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1710" h="8890">
                                <a:moveTo>
                                  <a:pt x="9817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981710" y="8890"/>
                                </a:lnTo>
                                <a:lnTo>
                                  <a:pt x="9817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7.3pt;height:.7pt;mso-position-horizontal-relative:char;mso-position-vertical-relative:line" id="docshapegroup4" coordorigin="0,0" coordsize="1546,14">
                <v:rect style="position:absolute;left:0;top:0;width:1546;height:14" id="docshape5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before="0"/>
        <w:ind w:left="365" w:right="0" w:firstLine="0"/>
        <w:jc w:val="left"/>
        <w:rPr>
          <w:rFonts w:ascii="Cambria Math" w:hAnsi="Cambria Math" w:eastAsia="Cambria Math"/>
          <w:sz w:val="22"/>
        </w:rPr>
      </w:pPr>
      <w:r>
        <w:rPr>
          <w:rFonts w:ascii="Cambria Math" w:hAnsi="Cambria Math" w:eastAsia="Cambria Math"/>
          <w:sz w:val="22"/>
        </w:rPr>
        <w:t>(∅𝑚</w:t>
      </w:r>
      <w:r>
        <w:rPr>
          <w:rFonts w:ascii="Cambria Math" w:hAnsi="Cambria Math" w:eastAsia="Cambria Math"/>
          <w:spacing w:val="4"/>
          <w:sz w:val="22"/>
        </w:rPr>
        <w:t> </w:t>
      </w:r>
      <w:r>
        <w:rPr>
          <w:rFonts w:ascii="Cambria Math" w:hAnsi="Cambria Math" w:eastAsia="Cambria Math"/>
          <w:sz w:val="22"/>
        </w:rPr>
        <w:t>∗</w:t>
      </w:r>
      <w:r>
        <w:rPr>
          <w:rFonts w:ascii="Cambria Math" w:hAnsi="Cambria Math" w:eastAsia="Cambria Math"/>
          <w:spacing w:val="-1"/>
          <w:sz w:val="22"/>
        </w:rPr>
        <w:t> </w:t>
      </w:r>
      <w:r>
        <w:rPr>
          <w:rFonts w:ascii="Cambria Math" w:hAnsi="Cambria Math" w:eastAsia="Cambria Math"/>
          <w:spacing w:val="-5"/>
          <w:sz w:val="22"/>
        </w:rPr>
        <w:t>𝐶)</w:t>
      </w:r>
    </w:p>
    <w:p>
      <w:pPr>
        <w:pStyle w:val="BodyText"/>
        <w:spacing w:before="101"/>
        <w:ind w:left="625"/>
        <w:jc w:val="center"/>
        <w:rPr>
          <w:rFonts w:ascii="Cambria Math" w:hAnsi="Cambria Math" w:eastAsia="Cambria Math"/>
        </w:rPr>
      </w:pPr>
      <w:r>
        <w:rPr/>
        <w:br w:type="column"/>
      </w:r>
      <w:r>
        <w:rPr>
          <w:rFonts w:ascii="Cambria Math" w:hAnsi="Cambria Math" w:eastAsia="Cambria Math"/>
        </w:rPr>
        <w:t>𝐵1</w:t>
      </w:r>
      <w:r>
        <w:rPr>
          <w:rFonts w:ascii="Cambria Math" w:hAnsi="Cambria Math" w:eastAsia="Cambria Math"/>
          <w:spacing w:val="10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2"/>
        </w:rPr>
        <w:t> </w:t>
      </w:r>
      <w:r>
        <w:rPr>
          <w:rFonts w:ascii="Cambria Math" w:hAnsi="Cambria Math" w:eastAsia="Cambria Math"/>
        </w:rPr>
        <w:t>(𝐷𝐻</w:t>
      </w:r>
      <w:r>
        <w:rPr>
          <w:rFonts w:ascii="Cambria Math" w:hAnsi="Cambria Math" w:eastAsia="Cambria Math"/>
          <w:spacing w:val="5"/>
        </w:rPr>
        <w:t> </w:t>
      </w:r>
      <w:r>
        <w:rPr>
          <w:rFonts w:ascii="Cambria Math" w:hAnsi="Cambria Math" w:eastAsia="Cambria Math"/>
        </w:rPr>
        <w:t>∗</w:t>
      </w:r>
      <w:r>
        <w:rPr>
          <w:rFonts w:ascii="Cambria Math" w:hAnsi="Cambria Math" w:eastAsia="Cambria Math"/>
          <w:spacing w:val="1"/>
        </w:rPr>
        <w:t> </w:t>
      </w:r>
      <w:r>
        <w:rPr>
          <w:rFonts w:ascii="Cambria Math" w:hAnsi="Cambria Math" w:eastAsia="Cambria Math"/>
          <w:spacing w:val="-5"/>
        </w:rPr>
        <w:t>𝐿)</w:t>
      </w:r>
    </w:p>
    <w:p>
      <w:pPr>
        <w:spacing w:before="127"/>
        <w:ind w:left="625" w:right="4" w:firstLine="0"/>
        <w:jc w:val="center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  <w:t>Ecuación</w:t>
      </w:r>
      <w:r>
        <w:rPr>
          <w:rFonts w:ascii="Arial" w:hAnsi="Arial"/>
          <w:i/>
          <w:spacing w:val="-3"/>
          <w:sz w:val="20"/>
        </w:rPr>
        <w:t> </w:t>
      </w:r>
      <w:r>
        <w:rPr>
          <w:rFonts w:ascii="Arial" w:hAnsi="Arial"/>
          <w:i/>
          <w:sz w:val="20"/>
        </w:rPr>
        <w:t>3.</w:t>
      </w:r>
      <w:r>
        <w:rPr>
          <w:rFonts w:ascii="Arial" w:hAnsi="Arial"/>
          <w:i/>
          <w:spacing w:val="-5"/>
          <w:sz w:val="20"/>
        </w:rPr>
        <w:t> </w:t>
      </w:r>
      <w:r>
        <w:rPr>
          <w:rFonts w:ascii="Arial" w:hAnsi="Arial"/>
          <w:i/>
          <w:sz w:val="20"/>
        </w:rPr>
        <w:t>Cálculo</w:t>
      </w:r>
      <w:r>
        <w:rPr>
          <w:rFonts w:ascii="Arial" w:hAnsi="Arial"/>
          <w:i/>
          <w:spacing w:val="-4"/>
          <w:sz w:val="20"/>
        </w:rPr>
        <w:t> </w:t>
      </w:r>
      <w:r>
        <w:rPr>
          <w:rFonts w:ascii="Arial" w:hAnsi="Arial"/>
          <w:i/>
          <w:sz w:val="20"/>
        </w:rPr>
        <w:t>del</w:t>
      </w:r>
      <w:r>
        <w:rPr>
          <w:rFonts w:ascii="Arial" w:hAnsi="Arial"/>
          <w:i/>
          <w:spacing w:val="-3"/>
          <w:sz w:val="20"/>
        </w:rPr>
        <w:t> </w:t>
      </w:r>
      <w:r>
        <w:rPr>
          <w:rFonts w:ascii="Arial" w:hAnsi="Arial"/>
          <w:i/>
          <w:sz w:val="20"/>
        </w:rPr>
        <w:t>burden</w:t>
      </w:r>
      <w:r>
        <w:rPr>
          <w:rFonts w:ascii="Arial" w:hAnsi="Arial"/>
          <w:i/>
          <w:spacing w:val="-3"/>
          <w:sz w:val="20"/>
        </w:rPr>
        <w:t> </w:t>
      </w:r>
      <w:r>
        <w:rPr>
          <w:rFonts w:ascii="Arial" w:hAnsi="Arial"/>
          <w:i/>
          <w:spacing w:val="-2"/>
          <w:sz w:val="20"/>
        </w:rPr>
        <w:t>mínimo</w:t>
      </w:r>
    </w:p>
    <w:p>
      <w:pPr>
        <w:spacing w:after="0"/>
        <w:jc w:val="center"/>
        <w:rPr>
          <w:rFonts w:ascii="Arial" w:hAnsi="Arial"/>
          <w:i/>
          <w:sz w:val="20"/>
        </w:rPr>
        <w:sectPr>
          <w:type w:val="continuous"/>
          <w:pgSz w:w="11910" w:h="16840"/>
          <w:pgMar w:top="1320" w:bottom="280" w:left="1417" w:right="1275"/>
          <w:cols w:num="3" w:equalWidth="0">
            <w:col w:w="1502" w:space="40"/>
            <w:col w:w="1261" w:space="1333"/>
            <w:col w:w="5082"/>
          </w:cols>
        </w:sectPr>
      </w:pPr>
    </w:p>
    <w:p>
      <w:pPr>
        <w:spacing w:before="152"/>
        <w:ind w:left="289" w:right="0" w:firstLine="0"/>
        <w:jc w:val="left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  <w:t>Ecuación</w:t>
      </w:r>
      <w:r>
        <w:rPr>
          <w:rFonts w:ascii="Arial" w:hAnsi="Arial"/>
          <w:i/>
          <w:spacing w:val="-5"/>
          <w:sz w:val="20"/>
        </w:rPr>
        <w:t> </w:t>
      </w:r>
      <w:r>
        <w:rPr>
          <w:rFonts w:ascii="Arial" w:hAnsi="Arial"/>
          <w:i/>
          <w:sz w:val="20"/>
        </w:rPr>
        <w:t>2.</w:t>
      </w:r>
      <w:r>
        <w:rPr>
          <w:rFonts w:ascii="Arial" w:hAnsi="Arial"/>
          <w:i/>
          <w:spacing w:val="-4"/>
          <w:sz w:val="20"/>
        </w:rPr>
        <w:t> </w:t>
      </w:r>
      <w:r>
        <w:rPr>
          <w:rFonts w:ascii="Arial" w:hAnsi="Arial"/>
          <w:i/>
          <w:sz w:val="20"/>
        </w:rPr>
        <w:t>Cálculo</w:t>
      </w:r>
      <w:r>
        <w:rPr>
          <w:rFonts w:ascii="Arial" w:hAnsi="Arial"/>
          <w:i/>
          <w:spacing w:val="-3"/>
          <w:sz w:val="20"/>
        </w:rPr>
        <w:t> </w:t>
      </w:r>
      <w:r>
        <w:rPr>
          <w:rFonts w:ascii="Arial" w:hAnsi="Arial"/>
          <w:i/>
          <w:sz w:val="20"/>
        </w:rPr>
        <w:t>del</w:t>
      </w:r>
      <w:r>
        <w:rPr>
          <w:rFonts w:ascii="Arial" w:hAnsi="Arial"/>
          <w:i/>
          <w:spacing w:val="-1"/>
          <w:sz w:val="20"/>
        </w:rPr>
        <w:t> </w:t>
      </w:r>
      <w:r>
        <w:rPr>
          <w:rFonts w:ascii="Arial" w:hAnsi="Arial"/>
          <w:i/>
          <w:sz w:val="20"/>
        </w:rPr>
        <w:t>#</w:t>
      </w:r>
      <w:r>
        <w:rPr>
          <w:rFonts w:ascii="Arial" w:hAnsi="Arial"/>
          <w:i/>
          <w:spacing w:val="-1"/>
          <w:sz w:val="20"/>
        </w:rPr>
        <w:t> </w:t>
      </w:r>
      <w:r>
        <w:rPr>
          <w:rFonts w:ascii="Arial" w:hAnsi="Arial"/>
          <w:i/>
          <w:sz w:val="20"/>
        </w:rPr>
        <w:t>de</w:t>
      </w:r>
      <w:r>
        <w:rPr>
          <w:rFonts w:ascii="Arial" w:hAnsi="Arial"/>
          <w:i/>
          <w:spacing w:val="-4"/>
          <w:sz w:val="20"/>
        </w:rPr>
        <w:t> </w:t>
      </w:r>
      <w:r>
        <w:rPr>
          <w:rFonts w:ascii="Arial" w:hAnsi="Arial"/>
          <w:i/>
          <w:sz w:val="20"/>
        </w:rPr>
        <w:t>taladros</w:t>
      </w:r>
      <w:r>
        <w:rPr>
          <w:rFonts w:ascii="Arial" w:hAnsi="Arial"/>
          <w:i/>
          <w:spacing w:val="-2"/>
          <w:sz w:val="20"/>
        </w:rPr>
        <w:t> </w:t>
      </w:r>
      <w:r>
        <w:rPr>
          <w:rFonts w:ascii="Arial" w:hAnsi="Arial"/>
          <w:i/>
          <w:spacing w:val="-5"/>
          <w:sz w:val="20"/>
        </w:rPr>
        <w:t>(N)</w:t>
      </w:r>
    </w:p>
    <w:p>
      <w:pPr>
        <w:pStyle w:val="BodyText"/>
        <w:spacing w:before="87"/>
        <w:rPr>
          <w:rFonts w:ascii="Arial"/>
          <w:i/>
          <w:sz w:val="20"/>
        </w:rPr>
      </w:pPr>
    </w:p>
    <w:p>
      <w:pPr>
        <w:pStyle w:val="BodyText"/>
        <w:ind w:left="23"/>
      </w:pPr>
      <w:r>
        <w:rPr>
          <w:spacing w:val="-2"/>
        </w:rPr>
        <w:t>Donde:</w:t>
      </w:r>
    </w:p>
    <w:p>
      <w:pPr>
        <w:pStyle w:val="BodyText"/>
        <w:spacing w:before="185"/>
        <w:ind w:left="23"/>
      </w:pPr>
      <w:r>
        <w:rPr/>
        <w:t>N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número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taladros</w:t>
      </w:r>
      <w:r>
        <w:rPr>
          <w:spacing w:val="-1"/>
        </w:rPr>
        <w:t> </w:t>
      </w:r>
      <w:r>
        <w:rPr>
          <w:spacing w:val="-2"/>
        </w:rPr>
        <w:t>perforados</w:t>
      </w:r>
    </w:p>
    <w:p>
      <w:pPr>
        <w:pStyle w:val="BodyText"/>
        <w:spacing w:line="360" w:lineRule="auto" w:before="187"/>
        <w:ind w:left="23"/>
      </w:pPr>
      <w:r>
        <w:rPr/>
        <w:t>Sección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ancho</w:t>
      </w:r>
      <w:r>
        <w:rPr>
          <w:spacing w:val="-6"/>
        </w:rPr>
        <w:t> </w:t>
      </w:r>
      <w:r>
        <w:rPr/>
        <w:t>*</w:t>
      </w:r>
      <w:r>
        <w:rPr>
          <w:spacing w:val="-5"/>
        </w:rPr>
        <w:t> </w:t>
      </w:r>
      <w:r>
        <w:rPr/>
        <w:t>altura</w:t>
      </w:r>
      <w:r>
        <w:rPr>
          <w:spacing w:val="-6"/>
        </w:rPr>
        <w:t> </w:t>
      </w:r>
      <w:r>
        <w:rPr/>
        <w:t>*</w:t>
      </w:r>
      <w:r>
        <w:rPr>
          <w:spacing w:val="-7"/>
        </w:rPr>
        <w:t> </w:t>
      </w:r>
      <w:r>
        <w:rPr/>
        <w:t>factor</w:t>
      </w:r>
      <w:r>
        <w:rPr>
          <w:spacing w:val="-7"/>
        </w:rPr>
        <w:t> </w:t>
      </w:r>
      <w:r>
        <w:rPr/>
        <w:t>de corrección geométrica</w:t>
      </w:r>
    </w:p>
    <w:p>
      <w:pPr>
        <w:pStyle w:val="BodyText"/>
        <w:spacing w:line="415" w:lineRule="auto" w:before="62"/>
        <w:ind w:left="23" w:right="352"/>
      </w:pPr>
      <w:r>
        <w:rPr/>
        <w:t>Ꝋm</w:t>
      </w:r>
      <w:r>
        <w:rPr>
          <w:spacing w:val="-13"/>
        </w:rPr>
        <w:t> </w:t>
      </w:r>
      <w:r>
        <w:rPr/>
        <w:t>=</w:t>
      </w:r>
      <w:r>
        <w:rPr>
          <w:spacing w:val="-14"/>
        </w:rPr>
        <w:t> </w:t>
      </w:r>
      <w:r>
        <w:rPr/>
        <w:t>diámetro</w:t>
      </w:r>
      <w:r>
        <w:rPr>
          <w:spacing w:val="-14"/>
        </w:rPr>
        <w:t> </w:t>
      </w:r>
      <w:r>
        <w:rPr/>
        <w:t>del</w:t>
      </w:r>
      <w:r>
        <w:rPr>
          <w:spacing w:val="-15"/>
        </w:rPr>
        <w:t> </w:t>
      </w:r>
      <w:r>
        <w:rPr/>
        <w:t>taladro</w:t>
      </w:r>
      <w:r>
        <w:rPr>
          <w:spacing w:val="-14"/>
        </w:rPr>
        <w:t> </w:t>
      </w:r>
      <w:r>
        <w:rPr/>
        <w:t>en</w:t>
      </w:r>
      <w:r>
        <w:rPr>
          <w:spacing w:val="-14"/>
        </w:rPr>
        <w:t> </w:t>
      </w:r>
      <w:r>
        <w:rPr/>
        <w:t>metros C = constante (77)</w:t>
      </w:r>
    </w:p>
    <w:p>
      <w:pPr>
        <w:pStyle w:val="BodyText"/>
        <w:spacing w:before="129"/>
      </w:pPr>
    </w:p>
    <w:p>
      <w:pPr>
        <w:pStyle w:val="Heading1"/>
        <w:spacing w:line="247" w:lineRule="exact" w:before="1"/>
        <w:ind w:left="731" w:firstLine="0"/>
      </w:pPr>
      <w:r>
        <w:rPr/>
        <w:t>Cálculo</w:t>
      </w:r>
      <w:r>
        <w:rPr>
          <w:spacing w:val="-2"/>
        </w:rPr>
        <w:t> </w:t>
      </w:r>
      <w:r>
        <w:rPr/>
        <w:t>del</w:t>
      </w:r>
      <w:r>
        <w:rPr>
          <w:spacing w:val="-1"/>
        </w:rPr>
        <w:t> </w:t>
      </w:r>
      <w:r>
        <w:rPr/>
        <w:t>diámetro</w:t>
      </w:r>
      <w:r>
        <w:rPr>
          <w:spacing w:val="-1"/>
        </w:rPr>
        <w:t> </w:t>
      </w:r>
      <w:r>
        <w:rPr/>
        <w:t>vado</w:t>
      </w:r>
      <w:r>
        <w:rPr>
          <w:spacing w:val="-3"/>
        </w:rPr>
        <w:t> </w:t>
      </w:r>
      <w:r>
        <w:rPr>
          <w:spacing w:val="-4"/>
        </w:rPr>
        <w:t>(DH):</w:t>
      </w:r>
    </w:p>
    <w:p>
      <w:pPr>
        <w:spacing w:before="116"/>
        <w:ind w:left="4" w:right="121" w:firstLine="0"/>
        <w:jc w:val="center"/>
        <w:rPr>
          <w:rFonts w:ascii="Arial"/>
          <w:i/>
          <w:sz w:val="20"/>
        </w:rPr>
      </w:pPr>
      <w:r>
        <w:rPr/>
        <w:br w:type="column"/>
      </w:r>
      <w:r>
        <w:rPr>
          <w:rFonts w:ascii="Arial"/>
          <w:i/>
          <w:sz w:val="20"/>
        </w:rPr>
        <w:t>ubicado</w:t>
      </w:r>
      <w:r>
        <w:rPr>
          <w:rFonts w:ascii="Arial"/>
          <w:i/>
          <w:spacing w:val="-2"/>
          <w:sz w:val="20"/>
        </w:rPr>
        <w:t> </w:t>
      </w:r>
      <w:r>
        <w:rPr>
          <w:rFonts w:ascii="Arial"/>
          <w:i/>
          <w:sz w:val="20"/>
        </w:rPr>
        <w:t>en</w:t>
      </w:r>
      <w:r>
        <w:rPr>
          <w:rFonts w:ascii="Arial"/>
          <w:i/>
          <w:spacing w:val="-2"/>
          <w:sz w:val="20"/>
        </w:rPr>
        <w:t> </w:t>
      </w:r>
      <w:r>
        <w:rPr>
          <w:rFonts w:ascii="Arial"/>
          <w:i/>
          <w:sz w:val="20"/>
        </w:rPr>
        <w:t>el</w:t>
      </w:r>
      <w:r>
        <w:rPr>
          <w:rFonts w:ascii="Arial"/>
          <w:i/>
          <w:spacing w:val="-3"/>
          <w:sz w:val="20"/>
        </w:rPr>
        <w:t> </w:t>
      </w:r>
      <w:r>
        <w:rPr>
          <w:rFonts w:ascii="Arial"/>
          <w:i/>
          <w:spacing w:val="-2"/>
          <w:sz w:val="20"/>
        </w:rPr>
        <w:t>arranque</w:t>
      </w:r>
    </w:p>
    <w:p>
      <w:pPr>
        <w:pStyle w:val="BodyText"/>
        <w:spacing w:before="85"/>
        <w:rPr>
          <w:rFonts w:ascii="Arial"/>
          <w:i/>
          <w:sz w:val="20"/>
        </w:rPr>
      </w:pPr>
    </w:p>
    <w:p>
      <w:pPr>
        <w:pStyle w:val="Heading2"/>
        <w:ind w:right="121"/>
        <w:jc w:val="center"/>
      </w:pPr>
      <w:r>
        <w:rPr/>
        <w:t>Cálculo</w:t>
      </w:r>
      <w:r>
        <w:rPr>
          <w:spacing w:val="-2"/>
        </w:rPr>
        <w:t> </w:t>
      </w:r>
      <w:r>
        <w:rPr/>
        <w:t>del </w:t>
      </w:r>
      <w:r>
        <w:rPr>
          <w:spacing w:val="-2"/>
        </w:rPr>
        <w:t>Espaciamiento</w:t>
      </w:r>
    </w:p>
    <w:p>
      <w:pPr>
        <w:pStyle w:val="BodyText"/>
        <w:spacing w:line="360" w:lineRule="auto" w:before="127"/>
        <w:ind w:left="23"/>
      </w:pPr>
      <w:r>
        <w:rPr>
          <w:rFonts w:ascii="Arial" w:hAnsi="Arial"/>
          <w:b/>
          <w:i/>
        </w:rPr>
        <w:t>promedio</w:t>
      </w:r>
      <w:r>
        <w:rPr>
          <w:rFonts w:ascii="Arial" w:hAnsi="Arial"/>
          <w:b/>
          <w:i/>
          <w:spacing w:val="-9"/>
        </w:rPr>
        <w:t> </w:t>
      </w:r>
      <w:r>
        <w:rPr>
          <w:rFonts w:ascii="Arial" w:hAnsi="Arial"/>
          <w:b/>
          <w:i/>
        </w:rPr>
        <w:t>(E):</w:t>
      </w:r>
      <w:r>
        <w:rPr>
          <w:rFonts w:ascii="Arial" w:hAnsi="Arial"/>
          <w:b/>
          <w:i/>
          <w:spacing w:val="-8"/>
        </w:rPr>
        <w:t> </w:t>
      </w:r>
      <w:r>
        <w:rPr/>
        <w:t>El</w:t>
      </w:r>
      <w:r>
        <w:rPr>
          <w:spacing w:val="-10"/>
        </w:rPr>
        <w:t> </w:t>
      </w:r>
      <w:r>
        <w:rPr/>
        <w:t>espaciamiento</w:t>
      </w:r>
      <w:r>
        <w:rPr>
          <w:spacing w:val="-9"/>
        </w:rPr>
        <w:t> </w:t>
      </w:r>
      <w:r>
        <w:rPr/>
        <w:t>depende directamente del burden y la técnica de iniciación utilizada, se calculó con la siguiente fórmula.</w:t>
      </w:r>
    </w:p>
    <w:p>
      <w:pPr>
        <w:pStyle w:val="BodyText"/>
        <w:spacing w:before="60"/>
        <w:ind w:left="7" w:right="121"/>
        <w:jc w:val="center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𝐸</w:t>
      </w:r>
      <w:r>
        <w:rPr>
          <w:rFonts w:ascii="Cambria Math" w:hAnsi="Cambria Math" w:eastAsia="Cambria Math"/>
          <w:spacing w:val="21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2"/>
        </w:rPr>
        <w:t> </w:t>
      </w:r>
      <w:r>
        <w:rPr>
          <w:rFonts w:ascii="Cambria Math" w:hAnsi="Cambria Math" w:eastAsia="Cambria Math"/>
        </w:rPr>
        <w:t>(𝐾𝑒</w:t>
      </w:r>
      <w:r>
        <w:rPr>
          <w:rFonts w:ascii="Cambria Math" w:hAnsi="Cambria Math" w:eastAsia="Cambria Math"/>
          <w:spacing w:val="5"/>
        </w:rPr>
        <w:t> </w:t>
      </w:r>
      <w:r>
        <w:rPr>
          <w:rFonts w:ascii="Cambria Math" w:hAnsi="Cambria Math" w:eastAsia="Cambria Math"/>
        </w:rPr>
        <w:t>∗</w:t>
      </w:r>
      <w:r>
        <w:rPr>
          <w:rFonts w:ascii="Cambria Math" w:hAnsi="Cambria Math" w:eastAsia="Cambria Math"/>
          <w:spacing w:val="2"/>
        </w:rPr>
        <w:t> </w:t>
      </w:r>
      <w:r>
        <w:rPr>
          <w:rFonts w:ascii="Cambria Math" w:hAnsi="Cambria Math" w:eastAsia="Cambria Math"/>
        </w:rPr>
        <w:t>𝐵)</w:t>
      </w:r>
      <w:r>
        <w:rPr>
          <w:rFonts w:ascii="Cambria Math" w:hAnsi="Cambria Math" w:eastAsia="Cambria Math"/>
          <w:spacing w:val="1"/>
        </w:rPr>
        <w:t> </w:t>
      </w:r>
      <w:r>
        <w:rPr>
          <w:rFonts w:ascii="Cambria Math" w:hAnsi="Cambria Math" w:eastAsia="Cambria Math"/>
        </w:rPr>
        <w:t>±</w:t>
      </w:r>
      <w:r>
        <w:rPr>
          <w:rFonts w:ascii="Cambria Math" w:hAnsi="Cambria Math" w:eastAsia="Cambria Math"/>
          <w:spacing w:val="2"/>
        </w:rPr>
        <w:t> </w:t>
      </w:r>
      <w:r>
        <w:rPr>
          <w:rFonts w:ascii="Cambria Math" w:hAnsi="Cambria Math" w:eastAsia="Cambria Math"/>
          <w:spacing w:val="-4"/>
        </w:rPr>
        <w:t>0.05</w:t>
      </w:r>
    </w:p>
    <w:p>
      <w:pPr>
        <w:spacing w:line="362" w:lineRule="auto" w:before="128"/>
        <w:ind w:left="1" w:right="121" w:firstLine="0"/>
        <w:jc w:val="center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  <w:t>Ecuación</w:t>
      </w:r>
      <w:r>
        <w:rPr>
          <w:rFonts w:ascii="Arial" w:hAnsi="Arial"/>
          <w:i/>
          <w:spacing w:val="-8"/>
          <w:sz w:val="20"/>
        </w:rPr>
        <w:t> </w:t>
      </w:r>
      <w:r>
        <w:rPr>
          <w:rFonts w:ascii="Arial" w:hAnsi="Arial"/>
          <w:i/>
          <w:sz w:val="20"/>
        </w:rPr>
        <w:t>4.</w:t>
      </w:r>
      <w:r>
        <w:rPr>
          <w:rFonts w:ascii="Arial" w:hAnsi="Arial"/>
          <w:i/>
          <w:spacing w:val="-10"/>
          <w:sz w:val="20"/>
        </w:rPr>
        <w:t> </w:t>
      </w:r>
      <w:r>
        <w:rPr>
          <w:rFonts w:ascii="Arial" w:hAnsi="Arial"/>
          <w:i/>
          <w:sz w:val="20"/>
        </w:rPr>
        <w:t>Cálculo</w:t>
      </w:r>
      <w:r>
        <w:rPr>
          <w:rFonts w:ascii="Arial" w:hAnsi="Arial"/>
          <w:i/>
          <w:spacing w:val="-9"/>
          <w:sz w:val="20"/>
        </w:rPr>
        <w:t> </w:t>
      </w:r>
      <w:r>
        <w:rPr>
          <w:rFonts w:ascii="Arial" w:hAnsi="Arial"/>
          <w:i/>
          <w:sz w:val="20"/>
        </w:rPr>
        <w:t>del</w:t>
      </w:r>
      <w:r>
        <w:rPr>
          <w:rFonts w:ascii="Arial" w:hAnsi="Arial"/>
          <w:i/>
          <w:spacing w:val="-8"/>
          <w:sz w:val="20"/>
        </w:rPr>
        <w:t> </w:t>
      </w:r>
      <w:r>
        <w:rPr>
          <w:rFonts w:ascii="Arial" w:hAnsi="Arial"/>
          <w:i/>
          <w:sz w:val="20"/>
        </w:rPr>
        <w:t>Espaciamiento promedio (E)</w:t>
      </w:r>
    </w:p>
    <w:p>
      <w:pPr>
        <w:spacing w:after="0" w:line="362" w:lineRule="auto"/>
        <w:jc w:val="center"/>
        <w:rPr>
          <w:rFonts w:ascii="Arial" w:hAnsi="Arial"/>
          <w:i/>
          <w:sz w:val="20"/>
        </w:rPr>
        <w:sectPr>
          <w:type w:val="continuous"/>
          <w:pgSz w:w="11910" w:h="16840"/>
          <w:pgMar w:top="1320" w:bottom="280" w:left="1417" w:right="1275"/>
          <w:cols w:num="2" w:equalWidth="0">
            <w:col w:w="4068" w:space="811"/>
            <w:col w:w="4339"/>
          </w:cols>
        </w:sectPr>
      </w:pPr>
    </w:p>
    <w:p>
      <w:pPr>
        <w:pStyle w:val="BodyText"/>
        <w:spacing w:before="218"/>
        <w:ind w:left="163"/>
        <w:jc w:val="center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𝐷𝐻</w:t>
      </w:r>
      <w:r>
        <w:rPr>
          <w:rFonts w:ascii="Cambria Math" w:hAnsi="Cambria Math" w:eastAsia="Cambria Math"/>
          <w:spacing w:val="16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3"/>
        </w:rPr>
        <w:t> </w:t>
      </w:r>
      <w:r>
        <w:rPr>
          <w:rFonts w:ascii="Cambria Math" w:hAnsi="Cambria Math" w:eastAsia="Cambria Math"/>
          <w:spacing w:val="-4"/>
        </w:rPr>
        <w:t>𝑑ℎ√𝑛</w:t>
      </w:r>
    </w:p>
    <w:p>
      <w:pPr>
        <w:spacing w:before="187"/>
        <w:ind w:left="161" w:right="0" w:firstLine="0"/>
        <w:jc w:val="center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  <w:t>Ecuación</w:t>
      </w:r>
      <w:r>
        <w:rPr>
          <w:rFonts w:ascii="Arial" w:hAnsi="Arial"/>
          <w:i/>
          <w:spacing w:val="-2"/>
          <w:sz w:val="20"/>
        </w:rPr>
        <w:t> </w:t>
      </w:r>
      <w:r>
        <w:rPr>
          <w:rFonts w:ascii="Arial" w:hAnsi="Arial"/>
          <w:i/>
          <w:sz w:val="20"/>
        </w:rPr>
        <w:t>1.</w:t>
      </w:r>
      <w:r>
        <w:rPr>
          <w:rFonts w:ascii="Arial" w:hAnsi="Arial"/>
          <w:i/>
          <w:spacing w:val="-5"/>
          <w:sz w:val="20"/>
        </w:rPr>
        <w:t> </w:t>
      </w:r>
      <w:r>
        <w:rPr>
          <w:rFonts w:ascii="Arial" w:hAnsi="Arial"/>
          <w:i/>
          <w:sz w:val="20"/>
        </w:rPr>
        <w:t>Cálculo</w:t>
      </w:r>
      <w:r>
        <w:rPr>
          <w:rFonts w:ascii="Arial" w:hAnsi="Arial"/>
          <w:i/>
          <w:spacing w:val="-4"/>
          <w:sz w:val="20"/>
        </w:rPr>
        <w:t> </w:t>
      </w:r>
      <w:r>
        <w:rPr>
          <w:rFonts w:ascii="Arial" w:hAnsi="Arial"/>
          <w:i/>
          <w:sz w:val="20"/>
        </w:rPr>
        <w:t>del</w:t>
      </w:r>
      <w:r>
        <w:rPr>
          <w:rFonts w:ascii="Arial" w:hAnsi="Arial"/>
          <w:i/>
          <w:spacing w:val="-3"/>
          <w:sz w:val="20"/>
        </w:rPr>
        <w:t> </w:t>
      </w:r>
      <w:r>
        <w:rPr>
          <w:rFonts w:ascii="Arial" w:hAnsi="Arial"/>
          <w:i/>
          <w:sz w:val="20"/>
        </w:rPr>
        <w:t>diámetro</w:t>
      </w:r>
      <w:r>
        <w:rPr>
          <w:rFonts w:ascii="Arial" w:hAnsi="Arial"/>
          <w:i/>
          <w:spacing w:val="-3"/>
          <w:sz w:val="20"/>
        </w:rPr>
        <w:t> </w:t>
      </w:r>
      <w:r>
        <w:rPr>
          <w:rFonts w:ascii="Arial" w:hAnsi="Arial"/>
          <w:i/>
          <w:sz w:val="20"/>
        </w:rPr>
        <w:t>vado</w:t>
      </w:r>
      <w:r>
        <w:rPr>
          <w:rFonts w:ascii="Arial" w:hAnsi="Arial"/>
          <w:i/>
          <w:spacing w:val="-5"/>
          <w:sz w:val="20"/>
        </w:rPr>
        <w:t> </w:t>
      </w:r>
      <w:r>
        <w:rPr>
          <w:rFonts w:ascii="Arial" w:hAnsi="Arial"/>
          <w:i/>
          <w:spacing w:val="-4"/>
          <w:sz w:val="20"/>
        </w:rPr>
        <w:t>(DH)</w:t>
      </w:r>
    </w:p>
    <w:p>
      <w:pPr>
        <w:pStyle w:val="BodyText"/>
        <w:spacing w:before="85"/>
        <w:rPr>
          <w:rFonts w:ascii="Arial"/>
          <w:i/>
          <w:sz w:val="20"/>
        </w:rPr>
      </w:pPr>
    </w:p>
    <w:p>
      <w:pPr>
        <w:pStyle w:val="BodyText"/>
        <w:spacing w:before="1"/>
        <w:ind w:left="23"/>
      </w:pPr>
      <w:r>
        <w:rPr>
          <w:spacing w:val="-2"/>
        </w:rPr>
        <w:t>Donde:</w:t>
      </w:r>
    </w:p>
    <w:p>
      <w:pPr>
        <w:pStyle w:val="BodyText"/>
        <w:spacing w:line="417" w:lineRule="auto" w:before="187"/>
        <w:ind w:left="23" w:right="585"/>
      </w:pPr>
      <w:r>
        <w:rPr/>
        <w:t>dh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Ø</w:t>
      </w:r>
      <w:r>
        <w:rPr>
          <w:spacing w:val="-4"/>
        </w:rPr>
        <w:t> </w:t>
      </w:r>
      <w:r>
        <w:rPr/>
        <w:t>de</w:t>
      </w:r>
      <w:r>
        <w:rPr>
          <w:spacing w:val="-7"/>
        </w:rPr>
        <w:t> </w:t>
      </w:r>
      <w:r>
        <w:rPr/>
        <w:t>taladros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alivio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(m) n = número de taladros de alivio</w:t>
      </w:r>
    </w:p>
    <w:p>
      <w:pPr>
        <w:pStyle w:val="BodyText"/>
        <w:spacing w:line="246" w:lineRule="exact"/>
        <w:ind w:left="85"/>
      </w:pPr>
      <w:r>
        <w:rPr/>
        <w:br w:type="column"/>
      </w:r>
      <w:r>
        <w:rPr>
          <w:spacing w:val="-2"/>
        </w:rPr>
        <w:t>Donde:</w:t>
      </w:r>
    </w:p>
    <w:p>
      <w:pPr>
        <w:pStyle w:val="BodyText"/>
        <w:spacing w:before="187"/>
        <w:ind w:left="23"/>
      </w:pPr>
      <w:r>
        <w:rPr/>
        <w:t>Ke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Constante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iniciación</w:t>
      </w:r>
    </w:p>
    <w:p>
      <w:pPr>
        <w:pStyle w:val="BodyText"/>
        <w:spacing w:before="34"/>
      </w:pPr>
    </w:p>
    <w:p>
      <w:pPr>
        <w:pStyle w:val="BodyText"/>
        <w:spacing w:line="360" w:lineRule="auto"/>
        <w:ind w:left="23"/>
      </w:pPr>
      <w:r>
        <w:rPr/>
        <w:t>2.00</w:t>
      </w:r>
      <w:r>
        <w:rPr>
          <w:spacing w:val="-6"/>
        </w:rPr>
        <w:t> </w:t>
      </w:r>
      <w:r>
        <w:rPr/>
        <w:t>para</w:t>
      </w:r>
      <w:r>
        <w:rPr>
          <w:spacing w:val="-6"/>
        </w:rPr>
        <w:t> </w:t>
      </w:r>
      <w:r>
        <w:rPr/>
        <w:t>iniciación</w:t>
      </w:r>
      <w:r>
        <w:rPr>
          <w:spacing w:val="-6"/>
        </w:rPr>
        <w:t> </w:t>
      </w:r>
      <w:r>
        <w:rPr/>
        <w:t>con</w:t>
      </w:r>
      <w:r>
        <w:rPr>
          <w:spacing w:val="-6"/>
        </w:rPr>
        <w:t> </w:t>
      </w:r>
      <w:r>
        <w:rPr/>
        <w:t>periodos</w:t>
      </w:r>
      <w:r>
        <w:rPr>
          <w:spacing w:val="-6"/>
        </w:rPr>
        <w:t> </w:t>
      </w:r>
      <w:r>
        <w:rPr/>
        <w:t>cortos</w:t>
      </w:r>
      <w:r>
        <w:rPr>
          <w:spacing w:val="-6"/>
        </w:rPr>
        <w:t> </w:t>
      </w:r>
      <w:r>
        <w:rPr/>
        <w:t>o simultánea de taladros</w:t>
      </w:r>
    </w:p>
    <w:p>
      <w:pPr>
        <w:pStyle w:val="BodyText"/>
        <w:spacing w:line="360" w:lineRule="auto" w:before="159"/>
        <w:ind w:left="23"/>
      </w:pPr>
      <w:r>
        <w:rPr/>
        <w:t>1.50</w:t>
      </w:r>
      <w:r>
        <w:rPr>
          <w:spacing w:val="-7"/>
        </w:rPr>
        <w:t> </w:t>
      </w:r>
      <w:r>
        <w:rPr/>
        <w:t>para</w:t>
      </w:r>
      <w:r>
        <w:rPr>
          <w:spacing w:val="-7"/>
        </w:rPr>
        <w:t> </w:t>
      </w:r>
      <w:r>
        <w:rPr/>
        <w:t>iniciación</w:t>
      </w:r>
      <w:r>
        <w:rPr>
          <w:spacing w:val="-7"/>
        </w:rPr>
        <w:t> </w:t>
      </w:r>
      <w:r>
        <w:rPr/>
        <w:t>con</w:t>
      </w:r>
      <w:r>
        <w:rPr>
          <w:spacing w:val="-7"/>
        </w:rPr>
        <w:t> </w:t>
      </w:r>
      <w:r>
        <w:rPr/>
        <w:t>periodos</w:t>
      </w:r>
      <w:r>
        <w:rPr>
          <w:spacing w:val="-7"/>
        </w:rPr>
        <w:t> </w:t>
      </w:r>
      <w:r>
        <w:rPr/>
        <w:t>largos</w:t>
      </w:r>
      <w:r>
        <w:rPr>
          <w:spacing w:val="-5"/>
        </w:rPr>
        <w:t> </w:t>
      </w:r>
      <w:r>
        <w:rPr/>
        <w:t>o cronometrado de taladros</w:t>
      </w:r>
    </w:p>
    <w:p>
      <w:pPr>
        <w:pStyle w:val="BodyText"/>
        <w:spacing w:after="0" w:line="360" w:lineRule="auto"/>
        <w:sectPr>
          <w:type w:val="continuous"/>
          <w:pgSz w:w="11910" w:h="16840"/>
          <w:pgMar w:top="1320" w:bottom="280" w:left="1417" w:right="1275"/>
          <w:cols w:num="2" w:equalWidth="0">
            <w:col w:w="4051" w:space="828"/>
            <w:col w:w="4339"/>
          </w:cols>
        </w:sectPr>
      </w:pPr>
    </w:p>
    <w:p>
      <w:pPr>
        <w:pStyle w:val="Heading1"/>
        <w:numPr>
          <w:ilvl w:val="0"/>
          <w:numId w:val="1"/>
        </w:numPr>
        <w:tabs>
          <w:tab w:pos="741" w:val="left" w:leader="none"/>
        </w:tabs>
        <w:spacing w:line="240" w:lineRule="auto" w:before="81" w:after="0"/>
        <w:ind w:left="741" w:right="0" w:hanging="358"/>
        <w:jc w:val="left"/>
      </w:pPr>
      <w:r>
        <w:rPr>
          <w:spacing w:val="-2"/>
        </w:rPr>
        <w:t>Conclusiones</w:t>
      </w:r>
    </w:p>
    <w:p>
      <w:pPr>
        <w:pStyle w:val="BodyText"/>
        <w:spacing w:before="113"/>
        <w:rPr>
          <w:rFonts w:ascii="Arial"/>
          <w:b/>
        </w:rPr>
      </w:pPr>
    </w:p>
    <w:p>
      <w:pPr>
        <w:pStyle w:val="BodyText"/>
        <w:spacing w:line="360" w:lineRule="auto"/>
        <w:ind w:left="23" w:right="141" w:firstLine="568"/>
        <w:jc w:val="both"/>
      </w:pPr>
      <w:r>
        <w:rPr/>
        <w:t>La experiencia minera a nivel mundial muestra claramente que la máxima ganancia corresponde a la eficiente fragmentación por voladura. Del mismo modo la implementación de modelos matemáticos para el diseño de una nueva malla de perforación y voladura en la mina objeto de estudio permitió una notable reducción del opex.</w:t>
      </w:r>
    </w:p>
    <w:p>
      <w:pPr>
        <w:pStyle w:val="BodyText"/>
        <w:spacing w:line="360" w:lineRule="auto" w:before="240"/>
        <w:ind w:left="23" w:right="137" w:firstLine="568"/>
        <w:jc w:val="both"/>
      </w:pPr>
      <w:r>
        <w:rPr/>
        <w:t>Así mismo la investigación realizada deja evidencia clara de que los resultados obtenidos después de una voladura no sólo dependen de la simetría del disparo como es el concepto tradicional; si no que además depende de identificar el tipo de roca y sobre todo conocer</w:t>
      </w:r>
      <w:r>
        <w:rPr>
          <w:spacing w:val="-9"/>
        </w:rPr>
        <w:t> </w:t>
      </w:r>
      <w:r>
        <w:rPr/>
        <w:t>las</w:t>
      </w:r>
      <w:r>
        <w:rPr>
          <w:spacing w:val="-10"/>
        </w:rPr>
        <w:t> </w:t>
      </w:r>
      <w:r>
        <w:rPr/>
        <w:t>características</w:t>
      </w:r>
      <w:r>
        <w:rPr>
          <w:spacing w:val="-10"/>
        </w:rPr>
        <w:t> </w:t>
      </w:r>
      <w:r>
        <w:rPr/>
        <w:t>del</w:t>
      </w:r>
      <w:r>
        <w:rPr>
          <w:spacing w:val="-11"/>
        </w:rPr>
        <w:t> </w:t>
      </w:r>
      <w:r>
        <w:rPr/>
        <w:t>explosivo</w:t>
      </w:r>
      <w:r>
        <w:rPr>
          <w:spacing w:val="-10"/>
        </w:rPr>
        <w:t> </w:t>
      </w:r>
      <w:r>
        <w:rPr/>
        <w:t>para</w:t>
      </w:r>
      <w:r>
        <w:rPr>
          <w:spacing w:val="-10"/>
        </w:rPr>
        <w:t> </w:t>
      </w:r>
      <w:r>
        <w:rPr/>
        <w:t>garantizar</w:t>
      </w:r>
      <w:r>
        <w:rPr>
          <w:spacing w:val="-9"/>
        </w:rPr>
        <w:t> </w:t>
      </w:r>
      <w:r>
        <w:rPr/>
        <w:t>un</w:t>
      </w:r>
      <w:r>
        <w:rPr>
          <w:spacing w:val="-12"/>
        </w:rPr>
        <w:t> </w:t>
      </w:r>
      <w:r>
        <w:rPr/>
        <w:t>correcto</w:t>
      </w:r>
      <w:r>
        <w:rPr>
          <w:spacing w:val="-10"/>
        </w:rPr>
        <w:t> </w:t>
      </w:r>
      <w:r>
        <w:rPr/>
        <w:t>carguío</w:t>
      </w:r>
      <w:r>
        <w:rPr>
          <w:spacing w:val="-10"/>
        </w:rPr>
        <w:t> </w:t>
      </w:r>
      <w:r>
        <w:rPr/>
        <w:t>y</w:t>
      </w:r>
      <w:r>
        <w:rPr>
          <w:spacing w:val="-11"/>
        </w:rPr>
        <w:t> </w:t>
      </w:r>
      <w:r>
        <w:rPr/>
        <w:t>secuenciación.</w:t>
      </w:r>
    </w:p>
    <w:p>
      <w:pPr>
        <w:pStyle w:val="BodyText"/>
        <w:spacing w:before="127"/>
      </w:pPr>
    </w:p>
    <w:p>
      <w:pPr>
        <w:pStyle w:val="Heading1"/>
        <w:numPr>
          <w:ilvl w:val="0"/>
          <w:numId w:val="1"/>
        </w:numPr>
        <w:tabs>
          <w:tab w:pos="741" w:val="left" w:leader="none"/>
        </w:tabs>
        <w:spacing w:line="240" w:lineRule="auto" w:before="0" w:after="0"/>
        <w:ind w:left="741" w:right="0" w:hanging="358"/>
        <w:jc w:val="left"/>
      </w:pPr>
      <w:r>
        <w:rPr>
          <w:spacing w:val="-2"/>
        </w:rPr>
        <w:t>Referencias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"/>
        <w:rPr>
          <w:rFonts w:ascii="Arial"/>
          <w:b/>
        </w:rPr>
      </w:pPr>
    </w:p>
    <w:p>
      <w:pPr>
        <w:spacing w:line="360" w:lineRule="auto" w:before="0"/>
        <w:ind w:left="503" w:right="141" w:hanging="481"/>
        <w:jc w:val="both"/>
        <w:rPr>
          <w:rFonts w:ascii="Arial" w:hAnsi="Arial"/>
          <w:i/>
          <w:sz w:val="22"/>
        </w:rPr>
      </w:pPr>
      <w:r>
        <w:rPr>
          <w:sz w:val="22"/>
        </w:rPr>
        <w:t>Briones,</w:t>
      </w:r>
      <w:r>
        <w:rPr>
          <w:spacing w:val="-12"/>
          <w:sz w:val="22"/>
        </w:rPr>
        <w:t> </w:t>
      </w:r>
      <w:r>
        <w:rPr>
          <w:sz w:val="22"/>
        </w:rPr>
        <w:t>Y.,</w:t>
      </w:r>
      <w:r>
        <w:rPr>
          <w:spacing w:val="-12"/>
          <w:sz w:val="22"/>
        </w:rPr>
        <w:t> </w:t>
      </w:r>
      <w:r>
        <w:rPr>
          <w:sz w:val="22"/>
        </w:rPr>
        <w:t>Peña,</w:t>
      </w:r>
      <w:r>
        <w:rPr>
          <w:spacing w:val="-12"/>
          <w:sz w:val="22"/>
        </w:rPr>
        <w:t> </w:t>
      </w:r>
      <w:r>
        <w:rPr>
          <w:sz w:val="22"/>
        </w:rPr>
        <w:t>D.,</w:t>
      </w:r>
      <w:r>
        <w:rPr>
          <w:spacing w:val="-12"/>
          <w:sz w:val="22"/>
        </w:rPr>
        <w:t> </w:t>
      </w:r>
      <w:r>
        <w:rPr>
          <w:sz w:val="22"/>
        </w:rPr>
        <w:t>&amp;</w:t>
      </w:r>
      <w:r>
        <w:rPr>
          <w:spacing w:val="-13"/>
          <w:sz w:val="22"/>
        </w:rPr>
        <w:t> </w:t>
      </w:r>
      <w:r>
        <w:rPr>
          <w:sz w:val="22"/>
        </w:rPr>
        <w:t>Morán,</w:t>
      </w:r>
      <w:r>
        <w:rPr>
          <w:spacing w:val="-14"/>
          <w:sz w:val="22"/>
        </w:rPr>
        <w:t> </w:t>
      </w:r>
      <w:r>
        <w:rPr>
          <w:sz w:val="22"/>
        </w:rPr>
        <w:t>J.</w:t>
      </w:r>
      <w:r>
        <w:rPr>
          <w:spacing w:val="-14"/>
          <w:sz w:val="22"/>
        </w:rPr>
        <w:t> </w:t>
      </w:r>
      <w:r>
        <w:rPr>
          <w:sz w:val="22"/>
        </w:rPr>
        <w:t>(2020).</w:t>
      </w:r>
      <w:r>
        <w:rPr>
          <w:spacing w:val="-14"/>
          <w:sz w:val="22"/>
        </w:rPr>
        <w:t> </w:t>
      </w:r>
      <w:r>
        <w:rPr>
          <w:sz w:val="22"/>
        </w:rPr>
        <w:t>Los</w:t>
      </w:r>
      <w:r>
        <w:rPr>
          <w:spacing w:val="-13"/>
          <w:sz w:val="22"/>
        </w:rPr>
        <w:t> </w:t>
      </w:r>
      <w:r>
        <w:rPr>
          <w:sz w:val="22"/>
        </w:rPr>
        <w:t>cambios</w:t>
      </w:r>
      <w:r>
        <w:rPr>
          <w:spacing w:val="-13"/>
          <w:sz w:val="22"/>
        </w:rPr>
        <w:t> </w:t>
      </w:r>
      <w:r>
        <w:rPr>
          <w:sz w:val="22"/>
        </w:rPr>
        <w:t>de</w:t>
      </w:r>
      <w:r>
        <w:rPr>
          <w:spacing w:val="-13"/>
          <w:sz w:val="22"/>
        </w:rPr>
        <w:t> </w:t>
      </w:r>
      <w:r>
        <w:rPr>
          <w:sz w:val="22"/>
        </w:rPr>
        <w:t>paradigma</w:t>
      </w:r>
      <w:r>
        <w:rPr>
          <w:spacing w:val="-13"/>
          <w:sz w:val="22"/>
        </w:rPr>
        <w:t> </w:t>
      </w:r>
      <w:r>
        <w:rPr>
          <w:sz w:val="22"/>
        </w:rPr>
        <w:t>en</w:t>
      </w:r>
      <w:r>
        <w:rPr>
          <w:spacing w:val="-13"/>
          <w:sz w:val="22"/>
        </w:rPr>
        <w:t> </w:t>
      </w:r>
      <w:r>
        <w:rPr>
          <w:sz w:val="22"/>
        </w:rPr>
        <w:t>la</w:t>
      </w:r>
      <w:r>
        <w:rPr>
          <w:spacing w:val="-13"/>
          <w:sz w:val="22"/>
        </w:rPr>
        <w:t> </w:t>
      </w:r>
      <w:r>
        <w:rPr>
          <w:sz w:val="22"/>
        </w:rPr>
        <w:t>gerencia</w:t>
      </w:r>
      <w:r>
        <w:rPr>
          <w:spacing w:val="-11"/>
          <w:sz w:val="22"/>
        </w:rPr>
        <w:t> </w:t>
      </w:r>
      <w:r>
        <w:rPr>
          <w:sz w:val="22"/>
        </w:rPr>
        <w:t>moderna. </w:t>
      </w:r>
      <w:r>
        <w:rPr>
          <w:rFonts w:ascii="Arial" w:hAnsi="Arial"/>
          <w:i/>
          <w:sz w:val="22"/>
        </w:rPr>
        <w:t>Bernaola, J. et al. (2013). Diseño de mallas de perforación y voladura para minería subterránea. Revista de la Facultad de Ingeniería, 28(2), 123-135.</w:t>
      </w:r>
    </w:p>
    <w:p>
      <w:pPr>
        <w:pStyle w:val="BodyText"/>
        <w:spacing w:before="124"/>
        <w:rPr>
          <w:rFonts w:ascii="Arial"/>
          <w:i/>
        </w:rPr>
      </w:pPr>
    </w:p>
    <w:p>
      <w:pPr>
        <w:spacing w:line="360" w:lineRule="auto" w:before="0"/>
        <w:ind w:left="503" w:right="138" w:hanging="481"/>
        <w:jc w:val="both"/>
        <w:rPr>
          <w:rFonts w:ascii="Arial" w:hAnsi="Arial"/>
          <w:i/>
          <w:sz w:val="22"/>
        </w:rPr>
      </w:pPr>
      <w:r>
        <w:rPr>
          <w:rFonts w:ascii="Arial" w:hAnsi="Arial"/>
          <w:i/>
          <w:sz w:val="22"/>
        </w:rPr>
        <w:t>Correa, J. y Martínez, L. (2017). Análisis de la influencia de la perforación y voladura en la productividad</w:t>
      </w:r>
      <w:r>
        <w:rPr>
          <w:rFonts w:ascii="Arial" w:hAnsi="Arial"/>
          <w:i/>
          <w:spacing w:val="-1"/>
          <w:sz w:val="22"/>
        </w:rPr>
        <w:t> </w:t>
      </w:r>
      <w:r>
        <w:rPr>
          <w:rFonts w:ascii="Arial" w:hAnsi="Arial"/>
          <w:i/>
          <w:sz w:val="22"/>
        </w:rPr>
        <w:t>de una mina</w:t>
      </w:r>
      <w:r>
        <w:rPr>
          <w:rFonts w:ascii="Arial" w:hAnsi="Arial"/>
          <w:i/>
          <w:spacing w:val="-1"/>
          <w:sz w:val="22"/>
        </w:rPr>
        <w:t> </w:t>
      </w:r>
      <w:r>
        <w:rPr>
          <w:rFonts w:ascii="Arial" w:hAnsi="Arial"/>
          <w:i/>
          <w:sz w:val="22"/>
        </w:rPr>
        <w:t>subterránea. Revista de</w:t>
      </w:r>
      <w:r>
        <w:rPr>
          <w:rFonts w:ascii="Arial" w:hAnsi="Arial"/>
          <w:i/>
          <w:spacing w:val="-1"/>
          <w:sz w:val="22"/>
        </w:rPr>
        <w:t> </w:t>
      </w:r>
      <w:r>
        <w:rPr>
          <w:rFonts w:ascii="Arial" w:hAnsi="Arial"/>
          <w:i/>
          <w:sz w:val="22"/>
        </w:rPr>
        <w:t>la Facultad</w:t>
      </w:r>
      <w:r>
        <w:rPr>
          <w:rFonts w:ascii="Arial" w:hAnsi="Arial"/>
          <w:i/>
          <w:spacing w:val="-1"/>
          <w:sz w:val="22"/>
        </w:rPr>
        <w:t> </w:t>
      </w:r>
      <w:r>
        <w:rPr>
          <w:rFonts w:ascii="Arial" w:hAnsi="Arial"/>
          <w:i/>
          <w:sz w:val="22"/>
        </w:rPr>
        <w:t>de</w:t>
      </w:r>
      <w:r>
        <w:rPr>
          <w:rFonts w:ascii="Arial" w:hAnsi="Arial"/>
          <w:i/>
          <w:spacing w:val="-1"/>
          <w:sz w:val="22"/>
        </w:rPr>
        <w:t> </w:t>
      </w:r>
      <w:r>
        <w:rPr>
          <w:rFonts w:ascii="Arial" w:hAnsi="Arial"/>
          <w:i/>
          <w:sz w:val="22"/>
        </w:rPr>
        <w:t>Ingeniería, 32(1), 45- </w:t>
      </w:r>
      <w:r>
        <w:rPr>
          <w:rFonts w:ascii="Arial" w:hAnsi="Arial"/>
          <w:i/>
          <w:spacing w:val="-4"/>
          <w:sz w:val="22"/>
        </w:rPr>
        <w:t>55.</w:t>
      </w:r>
    </w:p>
    <w:p>
      <w:pPr>
        <w:pStyle w:val="BodyText"/>
        <w:spacing w:before="127"/>
        <w:rPr>
          <w:rFonts w:ascii="Arial"/>
          <w:i/>
        </w:rPr>
      </w:pPr>
    </w:p>
    <w:p>
      <w:pPr>
        <w:spacing w:line="360" w:lineRule="auto" w:before="0"/>
        <w:ind w:left="503" w:right="145" w:hanging="481"/>
        <w:jc w:val="both"/>
        <w:rPr>
          <w:rFonts w:ascii="Arial" w:hAnsi="Arial"/>
          <w:i/>
          <w:sz w:val="22"/>
        </w:rPr>
      </w:pPr>
      <w:r>
        <w:rPr>
          <w:rFonts w:ascii="Arial" w:hAnsi="Arial"/>
          <w:i/>
          <w:sz w:val="22"/>
        </w:rPr>
        <w:t>Chávez,</w:t>
      </w:r>
      <w:r>
        <w:rPr>
          <w:rFonts w:ascii="Arial" w:hAnsi="Arial"/>
          <w:i/>
          <w:spacing w:val="-9"/>
          <w:sz w:val="22"/>
        </w:rPr>
        <w:t> </w:t>
      </w:r>
      <w:r>
        <w:rPr>
          <w:rFonts w:ascii="Arial" w:hAnsi="Arial"/>
          <w:i/>
          <w:sz w:val="22"/>
        </w:rPr>
        <w:t>A.</w:t>
      </w:r>
      <w:r>
        <w:rPr>
          <w:rFonts w:ascii="Arial" w:hAnsi="Arial"/>
          <w:i/>
          <w:spacing w:val="-9"/>
          <w:sz w:val="22"/>
        </w:rPr>
        <w:t> </w:t>
      </w:r>
      <w:r>
        <w:rPr>
          <w:rFonts w:ascii="Arial" w:hAnsi="Arial"/>
          <w:i/>
          <w:sz w:val="22"/>
        </w:rPr>
        <w:t>(2018).</w:t>
      </w:r>
      <w:r>
        <w:rPr>
          <w:rFonts w:ascii="Arial" w:hAnsi="Arial"/>
          <w:i/>
          <w:spacing w:val="-9"/>
          <w:sz w:val="22"/>
        </w:rPr>
        <w:t> </w:t>
      </w:r>
      <w:r>
        <w:rPr>
          <w:rFonts w:ascii="Arial" w:hAnsi="Arial"/>
          <w:i/>
          <w:sz w:val="22"/>
        </w:rPr>
        <w:t>Diseño</w:t>
      </w:r>
      <w:r>
        <w:rPr>
          <w:rFonts w:ascii="Arial" w:hAnsi="Arial"/>
          <w:i/>
          <w:spacing w:val="-11"/>
          <w:sz w:val="22"/>
        </w:rPr>
        <w:t> </w:t>
      </w:r>
      <w:r>
        <w:rPr>
          <w:rFonts w:ascii="Arial" w:hAnsi="Arial"/>
          <w:i/>
          <w:sz w:val="22"/>
        </w:rPr>
        <w:t>de</w:t>
      </w:r>
      <w:r>
        <w:rPr>
          <w:rFonts w:ascii="Arial" w:hAnsi="Arial"/>
          <w:i/>
          <w:spacing w:val="-8"/>
          <w:sz w:val="22"/>
        </w:rPr>
        <w:t> </w:t>
      </w:r>
      <w:r>
        <w:rPr>
          <w:rFonts w:ascii="Arial" w:hAnsi="Arial"/>
          <w:i/>
          <w:sz w:val="22"/>
        </w:rPr>
        <w:t>una</w:t>
      </w:r>
      <w:r>
        <w:rPr>
          <w:rFonts w:ascii="Arial" w:hAnsi="Arial"/>
          <w:i/>
          <w:spacing w:val="-11"/>
          <w:sz w:val="22"/>
        </w:rPr>
        <w:t> </w:t>
      </w:r>
      <w:r>
        <w:rPr>
          <w:rFonts w:ascii="Arial" w:hAnsi="Arial"/>
          <w:i/>
          <w:sz w:val="22"/>
        </w:rPr>
        <w:t>malla</w:t>
      </w:r>
      <w:r>
        <w:rPr>
          <w:rFonts w:ascii="Arial" w:hAnsi="Arial"/>
          <w:i/>
          <w:spacing w:val="-10"/>
          <w:sz w:val="22"/>
        </w:rPr>
        <w:t> </w:t>
      </w:r>
      <w:r>
        <w:rPr>
          <w:rFonts w:ascii="Arial" w:hAnsi="Arial"/>
          <w:i/>
          <w:sz w:val="22"/>
        </w:rPr>
        <w:t>de</w:t>
      </w:r>
      <w:r>
        <w:rPr>
          <w:rFonts w:ascii="Arial" w:hAnsi="Arial"/>
          <w:i/>
          <w:spacing w:val="-10"/>
          <w:sz w:val="22"/>
        </w:rPr>
        <w:t> </w:t>
      </w:r>
      <w:r>
        <w:rPr>
          <w:rFonts w:ascii="Arial" w:hAnsi="Arial"/>
          <w:i/>
          <w:sz w:val="22"/>
        </w:rPr>
        <w:t>perforación</w:t>
      </w:r>
      <w:r>
        <w:rPr>
          <w:rFonts w:ascii="Arial" w:hAnsi="Arial"/>
          <w:i/>
          <w:spacing w:val="-10"/>
          <w:sz w:val="22"/>
        </w:rPr>
        <w:t> </w:t>
      </w:r>
      <w:r>
        <w:rPr>
          <w:rFonts w:ascii="Arial" w:hAnsi="Arial"/>
          <w:i/>
          <w:sz w:val="22"/>
        </w:rPr>
        <w:t>y</w:t>
      </w:r>
      <w:r>
        <w:rPr>
          <w:rFonts w:ascii="Arial" w:hAnsi="Arial"/>
          <w:i/>
          <w:spacing w:val="-10"/>
          <w:sz w:val="22"/>
        </w:rPr>
        <w:t> </w:t>
      </w:r>
      <w:r>
        <w:rPr>
          <w:rFonts w:ascii="Arial" w:hAnsi="Arial"/>
          <w:i/>
          <w:sz w:val="22"/>
        </w:rPr>
        <w:t>voladura</w:t>
      </w:r>
      <w:r>
        <w:rPr>
          <w:rFonts w:ascii="Arial" w:hAnsi="Arial"/>
          <w:i/>
          <w:spacing w:val="-10"/>
          <w:sz w:val="22"/>
        </w:rPr>
        <w:t> </w:t>
      </w:r>
      <w:r>
        <w:rPr>
          <w:rFonts w:ascii="Arial" w:hAnsi="Arial"/>
          <w:i/>
          <w:sz w:val="22"/>
        </w:rPr>
        <w:t>para</w:t>
      </w:r>
      <w:r>
        <w:rPr>
          <w:rFonts w:ascii="Arial" w:hAnsi="Arial"/>
          <w:i/>
          <w:spacing w:val="-10"/>
          <w:sz w:val="22"/>
        </w:rPr>
        <w:t> </w:t>
      </w:r>
      <w:r>
        <w:rPr>
          <w:rFonts w:ascii="Arial" w:hAnsi="Arial"/>
          <w:i/>
          <w:sz w:val="22"/>
        </w:rPr>
        <w:t>una</w:t>
      </w:r>
      <w:r>
        <w:rPr>
          <w:rFonts w:ascii="Arial" w:hAnsi="Arial"/>
          <w:i/>
          <w:spacing w:val="-11"/>
          <w:sz w:val="22"/>
        </w:rPr>
        <w:t> </w:t>
      </w:r>
      <w:r>
        <w:rPr>
          <w:rFonts w:ascii="Arial" w:hAnsi="Arial"/>
          <w:i/>
          <w:sz w:val="22"/>
        </w:rPr>
        <w:t>mina</w:t>
      </w:r>
      <w:r>
        <w:rPr>
          <w:rFonts w:ascii="Arial" w:hAnsi="Arial"/>
          <w:i/>
          <w:spacing w:val="-10"/>
          <w:sz w:val="22"/>
        </w:rPr>
        <w:t> </w:t>
      </w:r>
      <w:r>
        <w:rPr>
          <w:rFonts w:ascii="Arial" w:hAnsi="Arial"/>
          <w:i/>
          <w:sz w:val="22"/>
        </w:rPr>
        <w:t>subterránea en Perú. Tesis de maestría, Universidad Nacional de Ingeniería.</w:t>
      </w:r>
    </w:p>
    <w:p>
      <w:pPr>
        <w:pStyle w:val="BodyText"/>
        <w:spacing w:before="128"/>
        <w:rPr>
          <w:rFonts w:ascii="Arial"/>
          <w:i/>
        </w:rPr>
      </w:pPr>
    </w:p>
    <w:p>
      <w:pPr>
        <w:spacing w:line="357" w:lineRule="auto" w:before="0"/>
        <w:ind w:left="503" w:right="147" w:hanging="481"/>
        <w:jc w:val="both"/>
        <w:rPr>
          <w:rFonts w:ascii="Arial" w:hAnsi="Arial"/>
          <w:i/>
          <w:sz w:val="22"/>
        </w:rPr>
      </w:pPr>
      <w:r>
        <w:rPr>
          <w:rFonts w:ascii="Arial" w:hAnsi="Arial"/>
          <w:i/>
          <w:sz w:val="22"/>
        </w:rPr>
        <w:t>Romani, M. (2018). Análisis de la influencia de la geomecánica en el diseño de mallas de perforación y voladura. Revista de la Facultad de Ingeniería, 33(2), 123-135.</w:t>
      </w:r>
    </w:p>
    <w:p>
      <w:pPr>
        <w:pStyle w:val="BodyText"/>
        <w:spacing w:before="131"/>
        <w:rPr>
          <w:rFonts w:ascii="Arial"/>
          <w:i/>
        </w:rPr>
      </w:pPr>
    </w:p>
    <w:p>
      <w:pPr>
        <w:spacing w:line="360" w:lineRule="auto" w:before="1"/>
        <w:ind w:left="503" w:right="143" w:hanging="481"/>
        <w:jc w:val="both"/>
        <w:rPr>
          <w:rFonts w:ascii="Arial" w:hAnsi="Arial"/>
          <w:i/>
          <w:sz w:val="22"/>
        </w:rPr>
      </w:pPr>
      <w:r>
        <w:rPr>
          <w:rFonts w:ascii="Arial" w:hAnsi="Arial"/>
          <w:i/>
          <w:sz w:val="22"/>
        </w:rPr>
        <w:t>Yakubovskiy,</w:t>
      </w:r>
      <w:r>
        <w:rPr>
          <w:rFonts w:ascii="Arial" w:hAnsi="Arial"/>
          <w:i/>
          <w:spacing w:val="-6"/>
          <w:sz w:val="22"/>
        </w:rPr>
        <w:t> </w:t>
      </w:r>
      <w:r>
        <w:rPr>
          <w:rFonts w:ascii="Arial" w:hAnsi="Arial"/>
          <w:i/>
          <w:sz w:val="22"/>
        </w:rPr>
        <w:t>A.</w:t>
      </w:r>
      <w:r>
        <w:rPr>
          <w:rFonts w:ascii="Arial" w:hAnsi="Arial"/>
          <w:i/>
          <w:spacing w:val="-6"/>
          <w:sz w:val="22"/>
        </w:rPr>
        <w:t> </w:t>
      </w:r>
      <w:r>
        <w:rPr>
          <w:rFonts w:ascii="Arial" w:hAnsi="Arial"/>
          <w:i/>
          <w:sz w:val="22"/>
        </w:rPr>
        <w:t>y</w:t>
      </w:r>
      <w:r>
        <w:rPr>
          <w:rFonts w:ascii="Arial" w:hAnsi="Arial"/>
          <w:i/>
          <w:spacing w:val="-7"/>
          <w:sz w:val="22"/>
        </w:rPr>
        <w:t> </w:t>
      </w:r>
      <w:r>
        <w:rPr>
          <w:rFonts w:ascii="Arial" w:hAnsi="Arial"/>
          <w:i/>
          <w:sz w:val="22"/>
        </w:rPr>
        <w:t>Sankovski,</w:t>
      </w:r>
      <w:r>
        <w:rPr>
          <w:rFonts w:ascii="Arial" w:hAnsi="Arial"/>
          <w:i/>
          <w:spacing w:val="-6"/>
          <w:sz w:val="22"/>
        </w:rPr>
        <w:t> </w:t>
      </w:r>
      <w:r>
        <w:rPr>
          <w:rFonts w:ascii="Arial" w:hAnsi="Arial"/>
          <w:i/>
          <w:sz w:val="22"/>
        </w:rPr>
        <w:t>A.</w:t>
      </w:r>
      <w:r>
        <w:rPr>
          <w:rFonts w:ascii="Arial" w:hAnsi="Arial"/>
          <w:i/>
          <w:spacing w:val="-6"/>
          <w:sz w:val="22"/>
        </w:rPr>
        <w:t> </w:t>
      </w:r>
      <w:r>
        <w:rPr>
          <w:rFonts w:ascii="Arial" w:hAnsi="Arial"/>
          <w:i/>
          <w:sz w:val="22"/>
        </w:rPr>
        <w:t>(2017).</w:t>
      </w:r>
      <w:r>
        <w:rPr>
          <w:rFonts w:ascii="Arial" w:hAnsi="Arial"/>
          <w:i/>
          <w:spacing w:val="-7"/>
          <w:sz w:val="22"/>
        </w:rPr>
        <w:t> </w:t>
      </w:r>
      <w:r>
        <w:rPr>
          <w:rFonts w:ascii="Arial" w:hAnsi="Arial"/>
          <w:i/>
          <w:sz w:val="22"/>
        </w:rPr>
        <w:t>Influencia</w:t>
      </w:r>
      <w:r>
        <w:rPr>
          <w:rFonts w:ascii="Arial" w:hAnsi="Arial"/>
          <w:i/>
          <w:spacing w:val="-7"/>
          <w:sz w:val="22"/>
        </w:rPr>
        <w:t> </w:t>
      </w:r>
      <w:r>
        <w:rPr>
          <w:rFonts w:ascii="Arial" w:hAnsi="Arial"/>
          <w:i/>
          <w:sz w:val="22"/>
        </w:rPr>
        <w:t>de</w:t>
      </w:r>
      <w:r>
        <w:rPr>
          <w:rFonts w:ascii="Arial" w:hAnsi="Arial"/>
          <w:i/>
          <w:spacing w:val="-7"/>
          <w:sz w:val="22"/>
        </w:rPr>
        <w:t> </w:t>
      </w:r>
      <w:r>
        <w:rPr>
          <w:rFonts w:ascii="Arial" w:hAnsi="Arial"/>
          <w:i/>
          <w:sz w:val="22"/>
        </w:rPr>
        <w:t>la</w:t>
      </w:r>
      <w:r>
        <w:rPr>
          <w:rFonts w:ascii="Arial" w:hAnsi="Arial"/>
          <w:i/>
          <w:spacing w:val="-7"/>
          <w:sz w:val="22"/>
        </w:rPr>
        <w:t> </w:t>
      </w:r>
      <w:r>
        <w:rPr>
          <w:rFonts w:ascii="Arial" w:hAnsi="Arial"/>
          <w:i/>
          <w:sz w:val="22"/>
        </w:rPr>
        <w:t>fragmentación</w:t>
      </w:r>
      <w:r>
        <w:rPr>
          <w:rFonts w:ascii="Arial" w:hAnsi="Arial"/>
          <w:i/>
          <w:spacing w:val="-7"/>
          <w:sz w:val="22"/>
        </w:rPr>
        <w:t> </w:t>
      </w:r>
      <w:r>
        <w:rPr>
          <w:rFonts w:ascii="Arial" w:hAnsi="Arial"/>
          <w:i/>
          <w:sz w:val="22"/>
        </w:rPr>
        <w:t>en</w:t>
      </w:r>
      <w:r>
        <w:rPr>
          <w:rFonts w:ascii="Arial" w:hAnsi="Arial"/>
          <w:i/>
          <w:spacing w:val="-7"/>
          <w:sz w:val="22"/>
        </w:rPr>
        <w:t> </w:t>
      </w:r>
      <w:r>
        <w:rPr>
          <w:rFonts w:ascii="Arial" w:hAnsi="Arial"/>
          <w:i/>
          <w:sz w:val="22"/>
        </w:rPr>
        <w:t>la</w:t>
      </w:r>
      <w:r>
        <w:rPr>
          <w:rFonts w:ascii="Arial" w:hAnsi="Arial"/>
          <w:i/>
          <w:spacing w:val="-7"/>
          <w:sz w:val="22"/>
        </w:rPr>
        <w:t> </w:t>
      </w:r>
      <w:r>
        <w:rPr>
          <w:rFonts w:ascii="Arial" w:hAnsi="Arial"/>
          <w:i/>
          <w:sz w:val="22"/>
        </w:rPr>
        <w:t>productividad</w:t>
      </w:r>
      <w:r>
        <w:rPr>
          <w:rFonts w:ascii="Arial" w:hAnsi="Arial"/>
          <w:i/>
          <w:spacing w:val="-7"/>
          <w:sz w:val="22"/>
        </w:rPr>
        <w:t> </w:t>
      </w:r>
      <w:r>
        <w:rPr>
          <w:rFonts w:ascii="Arial" w:hAnsi="Arial"/>
          <w:i/>
          <w:sz w:val="22"/>
        </w:rPr>
        <w:t>de una mina subterránea. Revista de la Facultad de Ingeniería, 32(2), 67-77.</w:t>
      </w:r>
    </w:p>
    <w:sectPr>
      <w:pgSz w:w="11910" w:h="16840"/>
      <w:pgMar w:top="1700" w:bottom="280" w:left="1417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mbria Math">
    <w:altName w:val="Cambria Math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863" w:hanging="36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230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601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971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2342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2712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083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3453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741" w:hanging="358"/>
      <w:outlineLvl w:val="1"/>
    </w:pPr>
    <w:rPr>
      <w:rFonts w:ascii="Arial" w:hAnsi="Arial" w:eastAsia="Arial" w:cs="Arial"/>
      <w:b/>
      <w:bCs/>
      <w:sz w:val="22"/>
      <w:szCs w:val="22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39"/>
      <w:outlineLvl w:val="2"/>
    </w:pPr>
    <w:rPr>
      <w:rFonts w:ascii="Arial" w:hAnsi="Arial" w:eastAsia="Arial" w:cs="Arial"/>
      <w:b/>
      <w:bCs/>
      <w:i/>
      <w:iCs/>
      <w:sz w:val="22"/>
      <w:szCs w:val="22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741" w:hanging="358"/>
    </w:pPr>
    <w:rPr>
      <w:rFonts w:ascii="Arial" w:hAnsi="Arial" w:eastAsia="Arial" w:cs="Arial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OSCAR CARUAJULCA MATARA</dc:creator>
  <dcterms:created xsi:type="dcterms:W3CDTF">2025-04-30T19:08:25Z</dcterms:created>
  <dcterms:modified xsi:type="dcterms:W3CDTF">2025-04-30T19:08:25Z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2025-04-30T00:00:00Z</vt:filetime>
  </property>
  <property fmtid="{D5CDD505-2E9C-101B-9397-08002B2CF9AE}" pid="5" name="Producer">
    <vt:lpwstr>Microsoft® Word 2019</vt:lpwstr>
  </property>
</Properties>
</file>