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EFFF9" w14:textId="219ACA78" w:rsidR="00562DAE" w:rsidRDefault="00562DAE" w:rsidP="00E41953">
      <w:pPr>
        <w:spacing w:after="0" w:line="240" w:lineRule="auto"/>
        <w:jc w:val="center"/>
        <w:rPr>
          <w:rFonts w:ascii="Arial" w:eastAsiaTheme="minorHAnsi" w:hAnsi="Arial" w:cs="Arial"/>
          <w:b/>
          <w:bCs/>
          <w:kern w:val="2"/>
          <w:lang w:val="es-PE" w:eastAsia="en-US"/>
          <w14:ligatures w14:val="standardContextual"/>
        </w:rPr>
      </w:pPr>
      <w:r>
        <w:rPr>
          <w:rFonts w:ascii="Arial" w:eastAsiaTheme="minorHAnsi" w:hAnsi="Arial" w:cs="Arial"/>
          <w:b/>
          <w:bCs/>
          <w:kern w:val="2"/>
          <w:lang w:val="es-PE" w:eastAsia="en-US"/>
          <w14:ligatures w14:val="standardContextual"/>
        </w:rPr>
        <w:t>DISEÑO ÓPTIMO DE CHIMENEAS DE VENTILACIÓN EN MINERÍA SUBTERRÁNEA: CRITERIOS DE SELECCIÓN DEL DIÁMETRO</w:t>
      </w:r>
    </w:p>
    <w:p w14:paraId="43F59FBE" w14:textId="77777777" w:rsidR="00E41953" w:rsidRPr="00E41953" w:rsidRDefault="00E41953" w:rsidP="00E41953">
      <w:pPr>
        <w:spacing w:after="0" w:line="240" w:lineRule="auto"/>
        <w:jc w:val="center"/>
        <w:rPr>
          <w:rFonts w:ascii="Arial" w:eastAsiaTheme="minorHAnsi" w:hAnsi="Arial" w:cs="Arial"/>
          <w:b/>
          <w:bCs/>
          <w:kern w:val="2"/>
          <w:lang w:val="es-PE" w:eastAsia="en-US"/>
          <w14:ligatures w14:val="standardContextual"/>
        </w:rPr>
      </w:pPr>
      <w:r w:rsidRPr="00E41953">
        <w:rPr>
          <w:rFonts w:ascii="Arial" w:eastAsiaTheme="minorHAnsi" w:hAnsi="Arial" w:cs="Arial"/>
          <w:b/>
          <w:bCs/>
          <w:kern w:val="2"/>
          <w:lang w:val="es-PE" w:eastAsia="en-US"/>
          <w14:ligatures w14:val="standardContextual"/>
        </w:rPr>
        <w:t>(Operaciones Mineras y Gestión Activos - Servicios auxiliares)</w:t>
      </w:r>
    </w:p>
    <w:p w14:paraId="40FE22C0" w14:textId="77777777" w:rsidR="00E41953" w:rsidRPr="00E41953" w:rsidRDefault="00E41953" w:rsidP="00E41953">
      <w:pPr>
        <w:spacing w:after="0" w:line="240" w:lineRule="auto"/>
        <w:jc w:val="center"/>
        <w:rPr>
          <w:rFonts w:ascii="Arial" w:eastAsiaTheme="minorHAnsi" w:hAnsi="Arial" w:cs="Arial"/>
          <w:b/>
          <w:bCs/>
          <w:kern w:val="2"/>
          <w:lang w:val="es-PE" w:eastAsia="en-US"/>
          <w14:ligatures w14:val="standardContextual"/>
        </w:rPr>
      </w:pPr>
    </w:p>
    <w:p w14:paraId="7087FAB6" w14:textId="77777777" w:rsidR="00E41953" w:rsidRPr="00E41953" w:rsidRDefault="00E41953" w:rsidP="00E41953">
      <w:pPr>
        <w:spacing w:line="276" w:lineRule="auto"/>
        <w:jc w:val="center"/>
        <w:rPr>
          <w:rFonts w:ascii="Arial" w:eastAsiaTheme="minorHAnsi" w:hAnsi="Arial" w:cs="Arial"/>
          <w:b/>
          <w:bCs/>
          <w:kern w:val="2"/>
          <w:sz w:val="18"/>
          <w:szCs w:val="18"/>
          <w:lang w:val="es-PE" w:eastAsia="en-US"/>
          <w14:ligatures w14:val="standardContextual"/>
        </w:rPr>
      </w:pPr>
      <w:r w:rsidRPr="00E41953">
        <w:rPr>
          <w:rFonts w:ascii="Arial" w:eastAsiaTheme="minorHAnsi" w:hAnsi="Arial" w:cs="Arial"/>
          <w:b/>
          <w:bCs/>
          <w:kern w:val="2"/>
          <w:sz w:val="18"/>
          <w:szCs w:val="18"/>
          <w:lang w:val="es-PE" w:eastAsia="en-US"/>
          <w14:ligatures w14:val="standardContextual"/>
        </w:rPr>
        <w:t>Frank Renso Mariluz Falcon</w:t>
      </w:r>
      <w:r w:rsidRPr="00E41953">
        <w:rPr>
          <w:rFonts w:ascii="Arial" w:eastAsiaTheme="minorHAnsi" w:hAnsi="Arial" w:cs="Arial"/>
          <w:b/>
          <w:bCs/>
          <w:kern w:val="2"/>
          <w:sz w:val="18"/>
          <w:szCs w:val="18"/>
          <w:vertAlign w:val="superscript"/>
          <w:lang w:val="es-PE" w:eastAsia="en-US"/>
          <w14:ligatures w14:val="standardContextual"/>
        </w:rPr>
        <w:t>1</w:t>
      </w:r>
      <w:r w:rsidRPr="00E41953">
        <w:rPr>
          <w:rFonts w:ascii="Arial" w:eastAsiaTheme="minorHAnsi" w:hAnsi="Arial" w:cs="Arial"/>
          <w:b/>
          <w:bCs/>
          <w:kern w:val="2"/>
          <w:sz w:val="18"/>
          <w:szCs w:val="18"/>
          <w:lang w:val="es-PE" w:eastAsia="en-US"/>
          <w14:ligatures w14:val="standardContextual"/>
        </w:rPr>
        <w:t>, Carlos Andrés Pozo Bulnes</w:t>
      </w:r>
      <w:r w:rsidRPr="00E41953">
        <w:rPr>
          <w:rFonts w:ascii="Arial" w:eastAsiaTheme="minorHAnsi" w:hAnsi="Arial" w:cs="Arial"/>
          <w:b/>
          <w:bCs/>
          <w:kern w:val="2"/>
          <w:sz w:val="18"/>
          <w:szCs w:val="18"/>
          <w:vertAlign w:val="superscript"/>
          <w:lang w:val="es-PE" w:eastAsia="en-US"/>
          <w14:ligatures w14:val="standardContextual"/>
        </w:rPr>
        <w:t>2</w:t>
      </w:r>
      <w:r w:rsidRPr="00E41953">
        <w:rPr>
          <w:rFonts w:ascii="Arial" w:eastAsiaTheme="minorHAnsi" w:hAnsi="Arial" w:cs="Arial"/>
          <w:b/>
          <w:bCs/>
          <w:kern w:val="2"/>
          <w:sz w:val="18"/>
          <w:szCs w:val="18"/>
          <w:lang w:val="es-PE" w:eastAsia="en-US"/>
          <w14:ligatures w14:val="standardContextual"/>
        </w:rPr>
        <w:t xml:space="preserve"> y Margot Brenda Villanueva Salazar</w:t>
      </w:r>
      <w:r w:rsidRPr="00E41953">
        <w:rPr>
          <w:rFonts w:ascii="Arial" w:eastAsiaTheme="minorHAnsi" w:hAnsi="Arial" w:cs="Arial"/>
          <w:b/>
          <w:bCs/>
          <w:kern w:val="2"/>
          <w:sz w:val="18"/>
          <w:szCs w:val="18"/>
          <w:vertAlign w:val="superscript"/>
          <w:lang w:val="es-PE" w:eastAsia="en-US"/>
          <w14:ligatures w14:val="standardContextual"/>
        </w:rPr>
        <w:t>3</w:t>
      </w:r>
    </w:p>
    <w:p w14:paraId="2BAA0597" w14:textId="77777777" w:rsidR="00E41953" w:rsidRPr="00E41953" w:rsidRDefault="00E41953" w:rsidP="00E41953">
      <w:pPr>
        <w:spacing w:after="0" w:line="240" w:lineRule="auto"/>
        <w:jc w:val="both"/>
        <w:rPr>
          <w:rFonts w:ascii="Arial" w:eastAsiaTheme="minorHAnsi" w:hAnsi="Arial" w:cs="Arial"/>
          <w:kern w:val="2"/>
          <w:sz w:val="18"/>
          <w:szCs w:val="18"/>
          <w:lang w:val="es-PE" w:eastAsia="en-US"/>
          <w14:ligatures w14:val="standardContextual"/>
        </w:rPr>
      </w:pPr>
      <w:r w:rsidRPr="00E41953">
        <w:rPr>
          <w:rFonts w:ascii="Arial" w:eastAsiaTheme="minorHAnsi" w:hAnsi="Arial" w:cs="Arial"/>
          <w:kern w:val="2"/>
          <w:sz w:val="18"/>
          <w:szCs w:val="18"/>
          <w:vertAlign w:val="superscript"/>
          <w:lang w:val="es-PE" w:eastAsia="en-US"/>
          <w14:ligatures w14:val="standardContextual"/>
        </w:rPr>
        <w:t>1</w:t>
      </w:r>
      <w:r w:rsidRPr="00E41953">
        <w:rPr>
          <w:rFonts w:ascii="Arial" w:eastAsiaTheme="minorHAnsi" w:hAnsi="Arial" w:cs="Arial"/>
          <w:kern w:val="2"/>
          <w:sz w:val="18"/>
          <w:szCs w:val="18"/>
          <w:lang w:val="es-PE" w:eastAsia="en-US"/>
          <w14:ligatures w14:val="standardContextual"/>
        </w:rPr>
        <w:t>Gerente general, VPSConsulting, Lima, Perú (</w:t>
      </w:r>
      <w:bookmarkStart w:id="0" w:name="_Hlk193793720"/>
      <w:r>
        <w:fldChar w:fldCharType="begin"/>
      </w:r>
      <w:r>
        <w:instrText>HYPERLINK "mailto:frank.mariluz@vpsconsulting.com.pe"</w:instrText>
      </w:r>
      <w:r>
        <w:fldChar w:fldCharType="separate"/>
      </w:r>
      <w:r w:rsidRPr="00E41953">
        <w:rPr>
          <w:rFonts w:ascii="Arial" w:eastAsiaTheme="minorHAnsi" w:hAnsi="Arial" w:cs="Arial"/>
          <w:color w:val="0563C1" w:themeColor="hyperlink"/>
          <w:kern w:val="2"/>
          <w:sz w:val="18"/>
          <w:szCs w:val="18"/>
          <w:u w:val="single"/>
          <w:lang w:val="es-PE" w:eastAsia="en-US"/>
          <w14:ligatures w14:val="standardContextual"/>
        </w:rPr>
        <w:t>frank.mariluz@vpsconsulting.com.pe</w:t>
      </w:r>
      <w:r>
        <w:rPr>
          <w:rFonts w:ascii="Arial" w:eastAsiaTheme="minorHAnsi" w:hAnsi="Arial" w:cs="Arial"/>
          <w:color w:val="0563C1" w:themeColor="hyperlink"/>
          <w:kern w:val="2"/>
          <w:sz w:val="18"/>
          <w:szCs w:val="18"/>
          <w:u w:val="single"/>
          <w:lang w:val="es-PE" w:eastAsia="en-US"/>
          <w14:ligatures w14:val="standardContextual"/>
        </w:rPr>
        <w:fldChar w:fldCharType="end"/>
      </w:r>
      <w:r w:rsidRPr="00E41953">
        <w:rPr>
          <w:rFonts w:ascii="Arial" w:eastAsiaTheme="minorHAnsi" w:hAnsi="Arial" w:cs="Arial"/>
          <w:kern w:val="2"/>
          <w:sz w:val="18"/>
          <w:szCs w:val="18"/>
          <w:lang w:val="es-PE" w:eastAsia="en-US"/>
          <w14:ligatures w14:val="standardContextual"/>
        </w:rPr>
        <w:t xml:space="preserve">, </w:t>
      </w:r>
      <w:bookmarkEnd w:id="0"/>
      <w:r w:rsidRPr="00E41953">
        <w:rPr>
          <w:rFonts w:ascii="Arial" w:eastAsiaTheme="minorHAnsi" w:hAnsi="Arial" w:cs="Arial"/>
          <w:kern w:val="2"/>
          <w:sz w:val="18"/>
          <w:szCs w:val="18"/>
          <w:lang w:val="es-PE" w:eastAsia="en-US"/>
          <w14:ligatures w14:val="standardContextual"/>
        </w:rPr>
        <w:t>987278625)</w:t>
      </w:r>
    </w:p>
    <w:p w14:paraId="34A533DE" w14:textId="0DE8D013" w:rsidR="00E41953" w:rsidRPr="00E41953" w:rsidRDefault="00E41953" w:rsidP="00E41953">
      <w:pPr>
        <w:spacing w:after="0" w:line="240" w:lineRule="auto"/>
        <w:jc w:val="both"/>
        <w:rPr>
          <w:rFonts w:ascii="Arial" w:eastAsiaTheme="minorHAnsi" w:hAnsi="Arial" w:cs="Arial"/>
          <w:kern w:val="2"/>
          <w:sz w:val="18"/>
          <w:szCs w:val="18"/>
          <w:lang w:val="es-PE" w:eastAsia="en-US"/>
          <w14:ligatures w14:val="standardContextual"/>
        </w:rPr>
      </w:pPr>
      <w:r w:rsidRPr="00E41953">
        <w:rPr>
          <w:rFonts w:ascii="Arial" w:eastAsiaTheme="minorHAnsi" w:hAnsi="Arial" w:cs="Arial"/>
          <w:kern w:val="2"/>
          <w:sz w:val="18"/>
          <w:szCs w:val="18"/>
          <w:vertAlign w:val="superscript"/>
          <w:lang w:val="es-PE" w:eastAsia="en-US"/>
          <w14:ligatures w14:val="standardContextual"/>
        </w:rPr>
        <w:t>2</w:t>
      </w:r>
      <w:r w:rsidRPr="00E41953">
        <w:rPr>
          <w:rFonts w:ascii="Arial" w:eastAsiaTheme="minorHAnsi" w:hAnsi="Arial" w:cs="Arial"/>
          <w:kern w:val="2"/>
          <w:sz w:val="18"/>
          <w:szCs w:val="18"/>
          <w:lang w:val="es-PE" w:eastAsia="en-US"/>
          <w14:ligatures w14:val="standardContextual"/>
        </w:rPr>
        <w:t>Jefe de proyectos, VPSConsulting, Lima, Perú (</w:t>
      </w:r>
      <w:hyperlink r:id="rId5" w:history="1">
        <w:r w:rsidRPr="00E41953">
          <w:rPr>
            <w:rFonts w:ascii="Arial" w:eastAsiaTheme="minorHAnsi" w:hAnsi="Arial" w:cs="Arial"/>
            <w:color w:val="0563C1" w:themeColor="hyperlink"/>
            <w:kern w:val="2"/>
            <w:sz w:val="18"/>
            <w:szCs w:val="18"/>
            <w:u w:val="single"/>
            <w:lang w:val="es-PE" w:eastAsia="en-US"/>
            <w14:ligatures w14:val="standardContextual"/>
          </w:rPr>
          <w:t>ingenieria@vpsconsulting.com.pe</w:t>
        </w:r>
      </w:hyperlink>
      <w:r w:rsidRPr="00E41953">
        <w:rPr>
          <w:rFonts w:ascii="Arial" w:eastAsiaTheme="minorHAnsi" w:hAnsi="Arial" w:cs="Arial"/>
          <w:kern w:val="2"/>
          <w:sz w:val="18"/>
          <w:szCs w:val="18"/>
          <w:lang w:val="es-PE" w:eastAsia="en-US"/>
          <w14:ligatures w14:val="standardContextual"/>
        </w:rPr>
        <w:t>,</w:t>
      </w:r>
      <w:r w:rsidR="000751DA">
        <w:rPr>
          <w:rFonts w:ascii="Arial" w:eastAsiaTheme="minorHAnsi" w:hAnsi="Arial" w:cs="Arial"/>
          <w:kern w:val="2"/>
          <w:sz w:val="18"/>
          <w:szCs w:val="18"/>
          <w:lang w:val="es-PE" w:eastAsia="en-US"/>
          <w14:ligatures w14:val="standardContextual"/>
        </w:rPr>
        <w:t xml:space="preserve"> </w:t>
      </w:r>
      <w:r w:rsidRPr="00E41953">
        <w:rPr>
          <w:rFonts w:ascii="Arial" w:eastAsiaTheme="minorHAnsi" w:hAnsi="Arial" w:cs="Arial"/>
          <w:kern w:val="2"/>
          <w:sz w:val="18"/>
          <w:szCs w:val="18"/>
          <w:lang w:val="es-PE" w:eastAsia="en-US"/>
          <w14:ligatures w14:val="standardContextual"/>
        </w:rPr>
        <w:t>934612301)</w:t>
      </w:r>
    </w:p>
    <w:p w14:paraId="40C3A676" w14:textId="378327B1" w:rsidR="00E41953" w:rsidRPr="00E41953" w:rsidRDefault="00E41953" w:rsidP="00E41953">
      <w:pPr>
        <w:spacing w:after="0" w:line="240" w:lineRule="auto"/>
        <w:jc w:val="both"/>
        <w:rPr>
          <w:rFonts w:ascii="Arial" w:eastAsiaTheme="minorHAnsi" w:hAnsi="Arial" w:cs="Arial"/>
          <w:kern w:val="2"/>
          <w:sz w:val="18"/>
          <w:szCs w:val="18"/>
          <w:lang w:val="es-PE" w:eastAsia="en-US"/>
          <w14:ligatures w14:val="standardContextual"/>
        </w:rPr>
      </w:pPr>
      <w:r w:rsidRPr="00E41953">
        <w:rPr>
          <w:rFonts w:ascii="Arial" w:eastAsiaTheme="minorHAnsi" w:hAnsi="Arial" w:cs="Arial"/>
          <w:kern w:val="2"/>
          <w:sz w:val="18"/>
          <w:szCs w:val="18"/>
          <w:vertAlign w:val="superscript"/>
          <w:lang w:val="es-PE" w:eastAsia="en-US"/>
          <w14:ligatures w14:val="standardContextual"/>
        </w:rPr>
        <w:t>3</w:t>
      </w:r>
      <w:r w:rsidRPr="00E41953">
        <w:rPr>
          <w:rFonts w:ascii="Arial" w:eastAsiaTheme="minorHAnsi" w:hAnsi="Arial" w:cs="Arial"/>
          <w:kern w:val="2"/>
          <w:sz w:val="18"/>
          <w:szCs w:val="18"/>
          <w:lang w:val="es-PE" w:eastAsia="en-US"/>
          <w14:ligatures w14:val="standardContextual"/>
        </w:rPr>
        <w:t>Asistente de proyectos, VPSConsulting, Lima, Perú (</w:t>
      </w:r>
      <w:hyperlink r:id="rId6" w:history="1">
        <w:r w:rsidRPr="00E41953">
          <w:rPr>
            <w:rFonts w:ascii="Arial" w:eastAsiaTheme="minorHAnsi" w:hAnsi="Arial" w:cs="Arial"/>
            <w:color w:val="0563C1" w:themeColor="hyperlink"/>
            <w:kern w:val="2"/>
            <w:sz w:val="18"/>
            <w:szCs w:val="18"/>
            <w:u w:val="single"/>
            <w:lang w:val="es-PE" w:eastAsia="en-US"/>
            <w14:ligatures w14:val="standardContextual"/>
          </w:rPr>
          <w:t>soporte.tecnico@vpsconsulting.com.pe</w:t>
        </w:r>
      </w:hyperlink>
      <w:r w:rsidRPr="00E41953">
        <w:rPr>
          <w:rFonts w:ascii="Arial" w:eastAsiaTheme="minorHAnsi" w:hAnsi="Arial" w:cs="Arial"/>
          <w:kern w:val="2"/>
          <w:sz w:val="18"/>
          <w:szCs w:val="18"/>
          <w:lang w:val="es-PE" w:eastAsia="en-US"/>
          <w14:ligatures w14:val="standardContextual"/>
        </w:rPr>
        <w:t>,</w:t>
      </w:r>
      <w:r w:rsidR="000751DA">
        <w:rPr>
          <w:rFonts w:ascii="Arial" w:eastAsiaTheme="minorHAnsi" w:hAnsi="Arial" w:cs="Arial"/>
          <w:kern w:val="2"/>
          <w:sz w:val="18"/>
          <w:szCs w:val="18"/>
          <w:lang w:val="es-PE" w:eastAsia="en-US"/>
          <w14:ligatures w14:val="standardContextual"/>
        </w:rPr>
        <w:t xml:space="preserve"> </w:t>
      </w:r>
      <w:r w:rsidRPr="00E41953">
        <w:rPr>
          <w:rFonts w:ascii="Arial" w:eastAsiaTheme="minorHAnsi" w:hAnsi="Arial" w:cs="Arial"/>
          <w:kern w:val="2"/>
          <w:sz w:val="18"/>
          <w:szCs w:val="18"/>
          <w:lang w:val="es-PE" w:eastAsia="en-US"/>
          <w14:ligatures w14:val="standardContextual"/>
        </w:rPr>
        <w:t>993368017)</w:t>
      </w:r>
    </w:p>
    <w:p w14:paraId="2CD5DC67" w14:textId="77777777" w:rsidR="00E41953" w:rsidRPr="00E41953" w:rsidRDefault="00E41953" w:rsidP="00E41953">
      <w:pPr>
        <w:spacing w:after="0" w:line="240" w:lineRule="auto"/>
        <w:jc w:val="both"/>
        <w:rPr>
          <w:rFonts w:ascii="Arial" w:eastAsiaTheme="minorHAnsi" w:hAnsi="Arial" w:cs="Arial"/>
          <w:kern w:val="2"/>
          <w:sz w:val="20"/>
          <w:szCs w:val="20"/>
          <w:lang w:val="es-PE" w:eastAsia="en-US"/>
          <w14:ligatures w14:val="standardContextual"/>
        </w:rPr>
      </w:pPr>
    </w:p>
    <w:p w14:paraId="37D59B07" w14:textId="2347CED3" w:rsidR="00E41953" w:rsidRDefault="00E41953" w:rsidP="00E41953">
      <w:pPr>
        <w:pStyle w:val="Ttulo2"/>
        <w:spacing w:after="120" w:line="360" w:lineRule="auto"/>
        <w:jc w:val="both"/>
        <w:rPr>
          <w:rFonts w:ascii="Arial" w:hAnsi="Arial" w:cs="Arial"/>
          <w:color w:val="auto"/>
          <w:sz w:val="22"/>
          <w:szCs w:val="22"/>
        </w:rPr>
      </w:pPr>
      <w:r w:rsidRPr="00E41953">
        <w:rPr>
          <w:rFonts w:ascii="Arial" w:eastAsiaTheme="minorHAnsi" w:hAnsi="Arial" w:cs="Arial"/>
          <w:b w:val="0"/>
          <w:bCs w:val="0"/>
          <w:color w:val="auto"/>
          <w:kern w:val="2"/>
          <w:sz w:val="20"/>
          <w:szCs w:val="20"/>
          <w:lang w:val="es-PE"/>
          <w14:ligatures w14:val="standardContextual"/>
        </w:rPr>
        <w:t>Palabras claves:</w:t>
      </w:r>
      <w:r w:rsidR="00562DAE">
        <w:rPr>
          <w:rFonts w:ascii="Arial" w:eastAsiaTheme="minorHAnsi" w:hAnsi="Arial" w:cs="Arial"/>
          <w:b w:val="0"/>
          <w:bCs w:val="0"/>
          <w:color w:val="auto"/>
          <w:kern w:val="2"/>
          <w:sz w:val="20"/>
          <w:szCs w:val="20"/>
          <w:lang w:val="es-PE"/>
          <w14:ligatures w14:val="standardContextual"/>
        </w:rPr>
        <w:t xml:space="preserve"> Diámetro óptimo, factor de fricción, selección de diámetro, caudal total, CAPEX, OPEX</w:t>
      </w:r>
    </w:p>
    <w:p w14:paraId="0A008AFA" w14:textId="4AF86F60" w:rsidR="00D1215C" w:rsidRPr="009855A2" w:rsidRDefault="00D1215C" w:rsidP="00562DAE">
      <w:pPr>
        <w:pStyle w:val="Ttulo2"/>
        <w:spacing w:after="120" w:line="360" w:lineRule="auto"/>
        <w:jc w:val="both"/>
        <w:rPr>
          <w:rFonts w:ascii="Arial" w:hAnsi="Arial" w:cs="Arial"/>
          <w:color w:val="auto"/>
          <w:sz w:val="22"/>
          <w:szCs w:val="22"/>
        </w:rPr>
      </w:pPr>
      <w:r w:rsidRPr="009855A2">
        <w:rPr>
          <w:rFonts w:ascii="Arial" w:hAnsi="Arial" w:cs="Arial"/>
          <w:color w:val="auto"/>
          <w:sz w:val="22"/>
          <w:szCs w:val="22"/>
        </w:rPr>
        <w:t>Introducción</w:t>
      </w:r>
    </w:p>
    <w:p w14:paraId="51E05A02" w14:textId="77777777" w:rsidR="00D1215C" w:rsidRPr="009855A2" w:rsidRDefault="00D1215C" w:rsidP="00562DAE">
      <w:pPr>
        <w:spacing w:after="120" w:line="360" w:lineRule="auto"/>
        <w:jc w:val="both"/>
        <w:rPr>
          <w:rFonts w:ascii="Arial" w:hAnsi="Arial" w:cs="Arial"/>
        </w:rPr>
      </w:pPr>
      <w:r w:rsidRPr="009855A2">
        <w:rPr>
          <w:rFonts w:ascii="Arial" w:hAnsi="Arial" w:cs="Arial"/>
        </w:rPr>
        <w:t>En minería subterránea, el diseño de sistemas de ventilación es crucial para garantizar un ambiente seguro y eficiente. Una parte fundamental de estos sistemas son las chimeneas de ventilación, cuya correcta selección de diámetro impacta directamente en la eficiencia operativa, los costos energéticos y la seguridad de los trabajadores. Este estudio presenta un análisis detallado de la caída de presión total en chimeneas de sección circular, evaluando distintos parámetros como temperatura, diámetro, costos y factores de fricción, con el objetivo de determinar el diseño óptimo.</w:t>
      </w:r>
    </w:p>
    <w:p w14:paraId="26E9D99E" w14:textId="77777777" w:rsidR="00D1215C" w:rsidRPr="009855A2" w:rsidRDefault="00D1215C" w:rsidP="00562DAE">
      <w:pPr>
        <w:pStyle w:val="Ttulo2"/>
        <w:spacing w:after="120" w:line="360" w:lineRule="auto"/>
        <w:jc w:val="both"/>
        <w:rPr>
          <w:rFonts w:ascii="Arial" w:hAnsi="Arial" w:cs="Arial"/>
          <w:color w:val="auto"/>
          <w:sz w:val="22"/>
          <w:szCs w:val="22"/>
        </w:rPr>
      </w:pPr>
      <w:r w:rsidRPr="009855A2">
        <w:rPr>
          <w:rFonts w:ascii="Arial" w:hAnsi="Arial" w:cs="Arial"/>
          <w:color w:val="auto"/>
          <w:sz w:val="22"/>
          <w:szCs w:val="22"/>
        </w:rPr>
        <w:t>Objetivos</w:t>
      </w:r>
    </w:p>
    <w:p w14:paraId="31815FDC" w14:textId="1810E196" w:rsidR="00D96D89" w:rsidRPr="009855A2" w:rsidRDefault="00D96D89" w:rsidP="00D96D89">
      <w:pPr>
        <w:numPr>
          <w:ilvl w:val="0"/>
          <w:numId w:val="1"/>
        </w:numPr>
        <w:pBdr>
          <w:top w:val="nil"/>
          <w:left w:val="nil"/>
          <w:bottom w:val="nil"/>
          <w:right w:val="nil"/>
          <w:between w:val="nil"/>
        </w:pBdr>
        <w:spacing w:after="0" w:line="360" w:lineRule="auto"/>
        <w:jc w:val="both"/>
        <w:rPr>
          <w:rFonts w:ascii="Arial" w:eastAsia="Arial" w:hAnsi="Arial" w:cs="Arial"/>
          <w:color w:val="000000"/>
        </w:rPr>
      </w:pPr>
      <w:r w:rsidRPr="009855A2">
        <w:rPr>
          <w:rFonts w:ascii="Arial" w:eastAsia="Arial" w:hAnsi="Arial" w:cs="Arial"/>
          <w:color w:val="000000"/>
        </w:rPr>
        <w:t xml:space="preserve">Incorporar la recomendación geomecánica sobre </w:t>
      </w:r>
      <w:r>
        <w:rPr>
          <w:rFonts w:ascii="Arial" w:eastAsia="Arial" w:hAnsi="Arial" w:cs="Arial"/>
          <w:color w:val="000000"/>
        </w:rPr>
        <w:t xml:space="preserve">la dimensión </w:t>
      </w:r>
      <w:r w:rsidRPr="009855A2">
        <w:rPr>
          <w:rFonts w:ascii="Arial" w:eastAsia="Arial" w:hAnsi="Arial" w:cs="Arial"/>
          <w:color w:val="000000"/>
        </w:rPr>
        <w:t>máxim</w:t>
      </w:r>
      <w:r>
        <w:rPr>
          <w:rFonts w:ascii="Arial" w:eastAsia="Arial" w:hAnsi="Arial" w:cs="Arial"/>
          <w:color w:val="000000"/>
        </w:rPr>
        <w:t>a</w:t>
      </w:r>
      <w:r w:rsidRPr="009855A2">
        <w:rPr>
          <w:rFonts w:ascii="Arial" w:eastAsia="Arial" w:hAnsi="Arial" w:cs="Arial"/>
          <w:color w:val="000000"/>
        </w:rPr>
        <w:t xml:space="preserve"> de una chimenea en el proceso de selección del diámetro o sección óptima</w:t>
      </w:r>
      <w:r>
        <w:rPr>
          <w:rFonts w:ascii="Arial" w:eastAsia="Arial" w:hAnsi="Arial" w:cs="Arial"/>
          <w:color w:val="000000"/>
        </w:rPr>
        <w:t>.</w:t>
      </w:r>
    </w:p>
    <w:p w14:paraId="6E3553FB" w14:textId="02897F88" w:rsidR="00AC7F86" w:rsidRPr="009855A2" w:rsidRDefault="00AC7F86" w:rsidP="00562DAE">
      <w:pPr>
        <w:numPr>
          <w:ilvl w:val="0"/>
          <w:numId w:val="1"/>
        </w:numPr>
        <w:pBdr>
          <w:top w:val="nil"/>
          <w:left w:val="nil"/>
          <w:bottom w:val="nil"/>
          <w:right w:val="nil"/>
          <w:between w:val="nil"/>
        </w:pBdr>
        <w:spacing w:after="0" w:line="360" w:lineRule="auto"/>
        <w:jc w:val="both"/>
        <w:rPr>
          <w:rFonts w:ascii="Arial" w:eastAsia="Arial" w:hAnsi="Arial" w:cs="Arial"/>
          <w:color w:val="000000"/>
        </w:rPr>
      </w:pPr>
      <w:r w:rsidRPr="009855A2">
        <w:rPr>
          <w:rFonts w:ascii="Arial" w:eastAsia="Arial" w:hAnsi="Arial" w:cs="Arial"/>
          <w:color w:val="000000"/>
        </w:rPr>
        <w:t xml:space="preserve">Comparar </w:t>
      </w:r>
      <w:r w:rsidR="00D96D89">
        <w:rPr>
          <w:rFonts w:ascii="Arial" w:eastAsia="Arial" w:hAnsi="Arial" w:cs="Arial"/>
          <w:color w:val="000000"/>
        </w:rPr>
        <w:t>la dimensión óptima de una chimenea</w:t>
      </w:r>
      <w:r w:rsidRPr="009855A2">
        <w:rPr>
          <w:rFonts w:ascii="Arial" w:eastAsia="Arial" w:hAnsi="Arial" w:cs="Arial"/>
          <w:color w:val="000000"/>
        </w:rPr>
        <w:t xml:space="preserve"> en base a eficiencia</w:t>
      </w:r>
      <w:r w:rsidR="00D96D89">
        <w:rPr>
          <w:rFonts w:ascii="Arial" w:eastAsia="Arial" w:hAnsi="Arial" w:cs="Arial"/>
          <w:color w:val="000000"/>
        </w:rPr>
        <w:t>s</w:t>
      </w:r>
      <w:r w:rsidRPr="009855A2">
        <w:rPr>
          <w:rFonts w:ascii="Arial" w:eastAsia="Arial" w:hAnsi="Arial" w:cs="Arial"/>
          <w:color w:val="000000"/>
        </w:rPr>
        <w:t xml:space="preserve"> del ventilador y factores de fricción diferentes.</w:t>
      </w:r>
    </w:p>
    <w:p w14:paraId="0EE3BCAC" w14:textId="06567C16" w:rsidR="00AC7F86" w:rsidRPr="009855A2" w:rsidRDefault="00AC7F86" w:rsidP="00562DAE">
      <w:pPr>
        <w:numPr>
          <w:ilvl w:val="0"/>
          <w:numId w:val="1"/>
        </w:numPr>
        <w:pBdr>
          <w:top w:val="nil"/>
          <w:left w:val="nil"/>
          <w:bottom w:val="nil"/>
          <w:right w:val="nil"/>
          <w:between w:val="nil"/>
        </w:pBdr>
        <w:spacing w:after="0" w:line="360" w:lineRule="auto"/>
        <w:jc w:val="both"/>
        <w:rPr>
          <w:rFonts w:ascii="Arial" w:eastAsia="Arial" w:hAnsi="Arial" w:cs="Arial"/>
          <w:color w:val="000000"/>
        </w:rPr>
      </w:pPr>
      <w:r w:rsidRPr="009855A2">
        <w:rPr>
          <w:rFonts w:ascii="Arial" w:eastAsia="Arial" w:hAnsi="Arial" w:cs="Arial"/>
          <w:color w:val="000000"/>
        </w:rPr>
        <w:t xml:space="preserve">Evaluar la caída de presión total en la chimenea como criterio para determinar </w:t>
      </w:r>
      <w:r w:rsidR="00D96D89">
        <w:rPr>
          <w:rFonts w:ascii="Arial" w:eastAsia="Arial" w:hAnsi="Arial" w:cs="Arial"/>
          <w:color w:val="000000"/>
        </w:rPr>
        <w:t>la dimensión óptima</w:t>
      </w:r>
      <w:r w:rsidRPr="009855A2">
        <w:rPr>
          <w:rFonts w:ascii="Arial" w:eastAsia="Arial" w:hAnsi="Arial" w:cs="Arial"/>
          <w:color w:val="000000"/>
        </w:rPr>
        <w:t>.</w:t>
      </w:r>
    </w:p>
    <w:p w14:paraId="29A2F097" w14:textId="274A88F5" w:rsidR="00D96D89" w:rsidRPr="009855A2" w:rsidRDefault="00D96D89" w:rsidP="00562DAE">
      <w:pPr>
        <w:numPr>
          <w:ilvl w:val="0"/>
          <w:numId w:val="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Dimensionar una chimenea de ventilación en función al criterio económico y de caída de presión</w:t>
      </w:r>
    </w:p>
    <w:p w14:paraId="495F6120" w14:textId="77777777" w:rsidR="00721D49" w:rsidRPr="00721D49" w:rsidRDefault="00721D49" w:rsidP="00562DAE">
      <w:pPr>
        <w:spacing w:before="100" w:beforeAutospacing="1" w:after="100" w:afterAutospacing="1" w:line="360" w:lineRule="auto"/>
        <w:jc w:val="both"/>
        <w:rPr>
          <w:rFonts w:ascii="Arial" w:eastAsia="Times New Roman" w:hAnsi="Arial" w:cs="Arial"/>
          <w:b/>
          <w:bCs/>
          <w:lang w:val="es-PE"/>
        </w:rPr>
      </w:pPr>
      <w:r w:rsidRPr="00721D49">
        <w:rPr>
          <w:rFonts w:ascii="Arial" w:eastAsia="Times New Roman" w:hAnsi="Arial" w:cs="Arial"/>
          <w:b/>
          <w:bCs/>
          <w:lang w:val="es-PE"/>
        </w:rPr>
        <w:t>Metodología</w:t>
      </w:r>
    </w:p>
    <w:p w14:paraId="6B1DDD97" w14:textId="6CEFA52E" w:rsidR="00721D49" w:rsidRPr="00721D49" w:rsidRDefault="00721D49" w:rsidP="00562DAE">
      <w:pPr>
        <w:spacing w:before="100" w:beforeAutospacing="1" w:after="100" w:afterAutospacing="1" w:line="360" w:lineRule="auto"/>
        <w:jc w:val="both"/>
        <w:rPr>
          <w:rFonts w:ascii="Arial" w:eastAsia="Times New Roman" w:hAnsi="Arial" w:cs="Arial"/>
          <w:lang w:val="es-PE"/>
        </w:rPr>
      </w:pPr>
      <w:r w:rsidRPr="00721D49">
        <w:rPr>
          <w:rFonts w:ascii="Arial" w:eastAsia="Times New Roman" w:hAnsi="Arial" w:cs="Arial"/>
          <w:lang w:val="es-PE"/>
        </w:rPr>
        <w:t>El estudio s</w:t>
      </w:r>
      <w:r w:rsidR="00765A6E">
        <w:rPr>
          <w:rFonts w:ascii="Arial" w:eastAsia="Times New Roman" w:hAnsi="Arial" w:cs="Arial"/>
          <w:lang w:val="es-PE"/>
        </w:rPr>
        <w:t>e realizó</w:t>
      </w:r>
      <w:r w:rsidRPr="00721D49">
        <w:rPr>
          <w:rFonts w:ascii="Arial" w:eastAsia="Times New Roman" w:hAnsi="Arial" w:cs="Arial"/>
          <w:lang w:val="es-PE"/>
        </w:rPr>
        <w:t xml:space="preserve"> en cuatro fases principales:</w:t>
      </w:r>
    </w:p>
    <w:p w14:paraId="68EAA0BD" w14:textId="3F9055F6" w:rsidR="00535264" w:rsidRPr="00535264" w:rsidRDefault="00721D49" w:rsidP="00562DAE">
      <w:pPr>
        <w:spacing w:after="0" w:line="360" w:lineRule="auto"/>
        <w:jc w:val="both"/>
        <w:rPr>
          <w:rFonts w:ascii="Arial" w:eastAsia="Times New Roman" w:hAnsi="Arial" w:cs="Arial"/>
          <w:b/>
          <w:bCs/>
          <w:lang w:val="es-PE"/>
        </w:rPr>
      </w:pPr>
      <w:r w:rsidRPr="00721D49">
        <w:rPr>
          <w:rFonts w:ascii="Arial" w:eastAsia="Times New Roman" w:hAnsi="Arial" w:cs="Arial"/>
          <w:b/>
          <w:bCs/>
          <w:lang w:val="es-PE"/>
        </w:rPr>
        <w:t>Modelo matemático</w:t>
      </w:r>
    </w:p>
    <w:p w14:paraId="71004FDC" w14:textId="3156C5AF" w:rsidR="00535264" w:rsidRPr="00AC7F86" w:rsidRDefault="00535264" w:rsidP="00562DAE">
      <w:pPr>
        <w:spacing w:line="360" w:lineRule="auto"/>
        <w:jc w:val="both"/>
        <w:rPr>
          <w:rFonts w:ascii="Arial" w:hAnsi="Arial" w:cs="Arial"/>
        </w:rPr>
      </w:pPr>
      <w:r w:rsidRPr="00AC7F86">
        <w:rPr>
          <w:rFonts w:ascii="Arial" w:hAnsi="Arial" w:cs="Arial"/>
        </w:rPr>
        <w:t>Para el diseño óptimo de chimeneas de ventilación en minería subterránea, se deben considerar parámetros adicionales como la velocidad del aire, la interacción con otras estructuras subterráneas y la estabilidad geomecánica a largo plazo. El diseño debe garantizar que la resistencia del macizo rocoso sea suficiente para soportar el diámetro seleccionado sin riesgo de colapsos o deformaciones.</w:t>
      </w:r>
    </w:p>
    <w:p w14:paraId="2C6722B1" w14:textId="03E2C9AC" w:rsidR="00721D49" w:rsidRPr="00C36D1E" w:rsidRDefault="00535264" w:rsidP="00562DAE">
      <w:pPr>
        <w:spacing w:line="360" w:lineRule="auto"/>
        <w:jc w:val="both"/>
        <w:rPr>
          <w:rFonts w:ascii="Arial" w:hAnsi="Arial" w:cs="Arial"/>
        </w:rPr>
      </w:pPr>
      <w:r w:rsidRPr="00AC7F86">
        <w:rPr>
          <w:rFonts w:ascii="Arial" w:hAnsi="Arial" w:cs="Arial"/>
        </w:rPr>
        <w:lastRenderedPageBreak/>
        <w:t>En este estudio, se analizaron distintos escenarios de caudal y caída de presión, aplicando la ecuación de Darcy-Weisbach para evaluar las pérdidas de presión en función del diámetro. Se comprobó que diámetros superiores a 3.1 m incrementan significativamente los costos de excavación sin generar una mejora proporcional en la eficiencia del sistema.</w:t>
      </w:r>
    </w:p>
    <w:p w14:paraId="0BAAADA1" w14:textId="77777777" w:rsidR="00721D49" w:rsidRPr="00721D49" w:rsidRDefault="00721D49" w:rsidP="00562DAE">
      <w:pPr>
        <w:spacing w:after="0" w:line="360" w:lineRule="auto"/>
        <w:jc w:val="both"/>
        <w:rPr>
          <w:rFonts w:ascii="Arial" w:eastAsia="Times New Roman" w:hAnsi="Arial" w:cs="Arial"/>
          <w:b/>
          <w:bCs/>
          <w:lang w:val="es-PE"/>
        </w:rPr>
      </w:pPr>
      <w:r w:rsidRPr="00721D49">
        <w:rPr>
          <w:rFonts w:ascii="Arial" w:eastAsia="Times New Roman" w:hAnsi="Arial" w:cs="Arial"/>
          <w:b/>
          <w:bCs/>
          <w:lang w:val="es-PE"/>
        </w:rPr>
        <w:t>Parámetros de ventilación</w:t>
      </w:r>
    </w:p>
    <w:p w14:paraId="220575A0" w14:textId="58F4C3A1" w:rsidR="00535264" w:rsidRDefault="00721D49" w:rsidP="00562DAE">
      <w:pPr>
        <w:spacing w:after="0" w:line="360" w:lineRule="auto"/>
        <w:jc w:val="both"/>
        <w:rPr>
          <w:rFonts w:ascii="Arial" w:eastAsia="Times New Roman" w:hAnsi="Arial" w:cs="Arial"/>
          <w:lang w:val="es-PE"/>
        </w:rPr>
      </w:pPr>
      <w:r w:rsidRPr="00721D49">
        <w:rPr>
          <w:rFonts w:ascii="Arial" w:eastAsia="Times New Roman" w:hAnsi="Arial" w:cs="Arial"/>
          <w:lang w:val="es-PE"/>
        </w:rPr>
        <w:t>Se definieron tres escenarios con diferentes eficiencias de ventilador (80% y 65%) y factores de fricción (0.0060 y 0.0070 kg/m³), manteniendo constante el caudal (70.79 m³/s) y la profundidad de la chimenea (500 m). Estos escenarios permiten evaluar el impacto de las variaciones en los parámetros de ventilación en el diámetro óptimo. Se incluyó la recomendación técnica del área de geomecánica, analizando su influencia en la toma de decisiones y su relación con el diámetro máximo de chimenea permitido según los criterios geomecánicas</w:t>
      </w:r>
      <w:r w:rsidR="00535264">
        <w:rPr>
          <w:rFonts w:ascii="Arial" w:eastAsia="Times New Roman" w:hAnsi="Arial" w:cs="Arial"/>
          <w:lang w:val="es-PE"/>
        </w:rPr>
        <w:t>.</w:t>
      </w:r>
    </w:p>
    <w:p w14:paraId="2F3A3366" w14:textId="16586A5A" w:rsidR="00721D49" w:rsidRPr="00721D49" w:rsidRDefault="00721D49" w:rsidP="00562DAE">
      <w:pPr>
        <w:spacing w:after="0" w:line="360" w:lineRule="auto"/>
        <w:jc w:val="both"/>
        <w:rPr>
          <w:rFonts w:ascii="Arial" w:eastAsia="Times New Roman" w:hAnsi="Arial" w:cs="Arial"/>
          <w:lang w:val="es-PE"/>
        </w:rPr>
      </w:pPr>
      <w:r w:rsidRPr="00721D49">
        <w:rPr>
          <w:rFonts w:ascii="Arial" w:eastAsia="Times New Roman" w:hAnsi="Arial" w:cs="Arial"/>
          <w:lang w:val="es-PE"/>
        </w:rPr>
        <w:t xml:space="preserve"> </w:t>
      </w:r>
    </w:p>
    <w:p w14:paraId="66D2AC70" w14:textId="77777777" w:rsidR="00721D49" w:rsidRPr="00721D49" w:rsidRDefault="00721D49" w:rsidP="00562DAE">
      <w:pPr>
        <w:spacing w:after="0" w:line="360" w:lineRule="auto"/>
        <w:jc w:val="both"/>
        <w:rPr>
          <w:rFonts w:ascii="Arial" w:eastAsia="Times New Roman" w:hAnsi="Arial" w:cs="Arial"/>
          <w:b/>
          <w:bCs/>
          <w:lang w:val="es-PE"/>
        </w:rPr>
      </w:pPr>
      <w:r w:rsidRPr="00721D49">
        <w:rPr>
          <w:rFonts w:ascii="Arial" w:eastAsia="Times New Roman" w:hAnsi="Arial" w:cs="Arial"/>
          <w:b/>
          <w:bCs/>
          <w:lang w:val="es-PE"/>
        </w:rPr>
        <w:t>Parámetros termo ambientales</w:t>
      </w:r>
    </w:p>
    <w:p w14:paraId="3B2E4377" w14:textId="4301EC05" w:rsidR="00721D49" w:rsidRPr="00721D49" w:rsidRDefault="0030721D" w:rsidP="00562DAE">
      <w:pPr>
        <w:spacing w:after="0" w:line="360" w:lineRule="auto"/>
        <w:jc w:val="both"/>
        <w:rPr>
          <w:rFonts w:ascii="Arial" w:eastAsia="Times New Roman" w:hAnsi="Arial" w:cs="Arial"/>
          <w:lang w:val="es-PE"/>
        </w:rPr>
      </w:pPr>
      <w:r>
        <w:rPr>
          <w:rFonts w:ascii="Arial" w:eastAsia="Times New Roman" w:hAnsi="Arial" w:cs="Arial"/>
          <w:lang w:val="es-PE"/>
        </w:rPr>
        <w:t>Al realizar la comparativa en los tres escenarios, s</w:t>
      </w:r>
      <w:r w:rsidR="00721D49" w:rsidRPr="00721D49">
        <w:rPr>
          <w:rFonts w:ascii="Arial" w:eastAsia="Times New Roman" w:hAnsi="Arial" w:cs="Arial"/>
          <w:lang w:val="es-PE"/>
        </w:rPr>
        <w:t>e consideró la influencia de la densidad del aire húmedo</w:t>
      </w:r>
      <w:r w:rsidR="004E4868">
        <w:rPr>
          <w:rFonts w:ascii="Arial" w:eastAsia="Times New Roman" w:hAnsi="Arial" w:cs="Arial"/>
          <w:lang w:val="es-PE"/>
        </w:rPr>
        <w:t xml:space="preserve"> </w:t>
      </w:r>
      <w:r w:rsidR="00721D49" w:rsidRPr="00721D49">
        <w:rPr>
          <w:rFonts w:ascii="Arial" w:eastAsia="Times New Roman" w:hAnsi="Arial" w:cs="Arial"/>
          <w:lang w:val="es-PE"/>
        </w:rPr>
        <w:t>en la caída de presión</w:t>
      </w:r>
      <w:r w:rsidR="004E4868">
        <w:rPr>
          <w:rFonts w:ascii="Arial" w:eastAsia="Times New Roman" w:hAnsi="Arial" w:cs="Arial"/>
          <w:lang w:val="es-PE"/>
        </w:rPr>
        <w:t xml:space="preserve"> (</w:t>
      </w:r>
      <w:r>
        <w:rPr>
          <w:rFonts w:ascii="Arial" w:eastAsia="Times New Roman" w:hAnsi="Arial" w:cs="Arial"/>
          <w:lang w:val="es-PE"/>
        </w:rPr>
        <w:t xml:space="preserve">0.89 </w:t>
      </w:r>
      <w:r w:rsidRPr="00721D49">
        <w:rPr>
          <w:rFonts w:ascii="Arial" w:eastAsia="Times New Roman" w:hAnsi="Arial" w:cs="Arial"/>
          <w:lang w:val="es-PE"/>
        </w:rPr>
        <w:t>kg/m³</w:t>
      </w:r>
      <w:r>
        <w:rPr>
          <w:rFonts w:ascii="Arial" w:eastAsia="Times New Roman" w:hAnsi="Arial" w:cs="Arial"/>
          <w:lang w:val="es-PE"/>
        </w:rPr>
        <w:t xml:space="preserve"> y 0.91 </w:t>
      </w:r>
      <w:r w:rsidRPr="00721D49">
        <w:rPr>
          <w:rFonts w:ascii="Arial" w:eastAsia="Times New Roman" w:hAnsi="Arial" w:cs="Arial"/>
          <w:lang w:val="es-PE"/>
        </w:rPr>
        <w:t>kg/m³)</w:t>
      </w:r>
      <w:r w:rsidR="00721D49" w:rsidRPr="00721D49">
        <w:rPr>
          <w:rFonts w:ascii="Arial" w:eastAsia="Times New Roman" w:hAnsi="Arial" w:cs="Arial"/>
          <w:lang w:val="es-PE"/>
        </w:rPr>
        <w:t xml:space="preserve">, utilizando datos de presión barométrica (800 hPa), temperatura seca (35°C y 29°C) y temperatura húmeda (33°C y 26°C). Se calcularon las densidades del aire para cada escenario utilizando ecuaciones psicrométricas que consideran la presencia de vapor de agua, ya que este tiene un impacto significativo en los ecosistemas de ventilación subterráneos y la seguridad ocupacional. </w:t>
      </w:r>
    </w:p>
    <w:p w14:paraId="78DF12F4" w14:textId="77777777" w:rsidR="00721D49" w:rsidRPr="00721D49" w:rsidRDefault="00721D49" w:rsidP="00562DAE">
      <w:pPr>
        <w:spacing w:after="0" w:line="360" w:lineRule="auto"/>
        <w:jc w:val="both"/>
        <w:rPr>
          <w:rFonts w:ascii="Arial" w:eastAsia="Times New Roman" w:hAnsi="Arial" w:cs="Arial"/>
          <w:lang w:val="es-PE"/>
        </w:rPr>
      </w:pPr>
    </w:p>
    <w:p w14:paraId="20E71BF8" w14:textId="77777777" w:rsidR="00721D49" w:rsidRPr="00721D49" w:rsidRDefault="00721D49" w:rsidP="00562DAE">
      <w:pPr>
        <w:spacing w:after="0" w:line="360" w:lineRule="auto"/>
        <w:jc w:val="both"/>
        <w:rPr>
          <w:rFonts w:ascii="Arial" w:eastAsia="Times New Roman" w:hAnsi="Arial" w:cs="Arial"/>
          <w:b/>
          <w:bCs/>
          <w:lang w:val="es-PE"/>
        </w:rPr>
      </w:pPr>
      <w:r w:rsidRPr="00721D49">
        <w:rPr>
          <w:rFonts w:ascii="Arial" w:eastAsia="Times New Roman" w:hAnsi="Arial" w:cs="Arial"/>
          <w:b/>
          <w:bCs/>
          <w:lang w:val="es-PE"/>
        </w:rPr>
        <w:t>Parámetros económicos</w:t>
      </w:r>
    </w:p>
    <w:p w14:paraId="5D28C059" w14:textId="6B5B9845" w:rsidR="00721D49" w:rsidRDefault="00721D49" w:rsidP="00562DAE">
      <w:pPr>
        <w:spacing w:after="0" w:line="360" w:lineRule="auto"/>
        <w:jc w:val="both"/>
        <w:rPr>
          <w:rFonts w:ascii="Arial" w:eastAsia="Times New Roman" w:hAnsi="Arial" w:cs="Arial"/>
          <w:lang w:val="es-PE"/>
        </w:rPr>
      </w:pPr>
      <w:r w:rsidRPr="00721D49">
        <w:rPr>
          <w:rFonts w:ascii="Arial" w:eastAsia="Times New Roman" w:hAnsi="Arial" w:cs="Arial"/>
          <w:lang w:val="es-PE"/>
        </w:rPr>
        <w:t>Se recopilaron datos de costos de excavación, instalación y operación de chimeneas de diferentes diámetros (1.5 a 6 metros)</w:t>
      </w:r>
      <w:r w:rsidR="004B6A6A">
        <w:rPr>
          <w:rFonts w:ascii="Arial" w:eastAsia="Times New Roman" w:hAnsi="Arial" w:cs="Arial"/>
          <w:lang w:val="es-PE"/>
        </w:rPr>
        <w:t xml:space="preserve"> y costos (1,265.0 $/m a 3,206.5</w:t>
      </w:r>
      <w:r w:rsidR="004B6A6A" w:rsidRPr="004B6A6A">
        <w:rPr>
          <w:rFonts w:ascii="Arial" w:eastAsia="Times New Roman" w:hAnsi="Arial" w:cs="Arial"/>
          <w:lang w:val="es-PE"/>
        </w:rPr>
        <w:t>$/m</w:t>
      </w:r>
      <w:r w:rsidR="004B6A6A">
        <w:rPr>
          <w:rFonts w:ascii="Arial" w:eastAsia="Times New Roman" w:hAnsi="Arial" w:cs="Arial"/>
          <w:lang w:val="es-PE"/>
        </w:rPr>
        <w:t>)</w:t>
      </w:r>
      <w:r w:rsidRPr="00721D49">
        <w:rPr>
          <w:rFonts w:ascii="Arial" w:eastAsia="Times New Roman" w:hAnsi="Arial" w:cs="Arial"/>
          <w:lang w:val="es-PE"/>
        </w:rPr>
        <w:t>. Se consideraron la tasa de interés (10%), el costo de la energía eléctrica (0.070 $/kW-h) y la vida útil del proyecto (20 años) para calcular el costo total anualizado de cada escenario, incluyendo costos de capital (CAPEX) y costos operativos (OPEX).</w:t>
      </w:r>
    </w:p>
    <w:p w14:paraId="3C083F38" w14:textId="792179F3" w:rsidR="00721D49" w:rsidRPr="00AC7F86" w:rsidRDefault="00721D49" w:rsidP="00562DAE">
      <w:pPr>
        <w:pStyle w:val="Ttulo2"/>
        <w:spacing w:line="360" w:lineRule="auto"/>
        <w:rPr>
          <w:rFonts w:ascii="Arial" w:hAnsi="Arial" w:cs="Arial"/>
          <w:color w:val="auto"/>
          <w:sz w:val="22"/>
          <w:szCs w:val="22"/>
        </w:rPr>
      </w:pPr>
      <w:r w:rsidRPr="00AC7F86">
        <w:rPr>
          <w:rFonts w:ascii="Arial" w:hAnsi="Arial" w:cs="Arial"/>
          <w:color w:val="auto"/>
          <w:sz w:val="22"/>
          <w:szCs w:val="22"/>
        </w:rPr>
        <w:t xml:space="preserve">Resultados </w:t>
      </w:r>
    </w:p>
    <w:p w14:paraId="2F42BF48" w14:textId="2C9D9F31" w:rsidR="009855A2" w:rsidRDefault="009855A2" w:rsidP="00562DAE">
      <w:p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De acuerdo con los resultados obtenidos en la evaluación del diámetro óptimo en los tres escenarios analizados, se observó que los cambios en el factor de fricción de Atkinson, la eficiencia del motor, y las temperaturas seca y húmeda afectan, en mayor medida, el costo total de operación.</w:t>
      </w:r>
    </w:p>
    <w:p w14:paraId="5829D906" w14:textId="432A299B" w:rsidR="009855A2" w:rsidRDefault="009855A2" w:rsidP="00562DAE">
      <w:p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A continuación, se realiza una comparación entre los tres escenarios evaluados:</w:t>
      </w:r>
    </w:p>
    <w:p w14:paraId="00040254" w14:textId="123EEA28" w:rsidR="009855A2" w:rsidRPr="00562DAE" w:rsidRDefault="009855A2" w:rsidP="00562DAE">
      <w:pPr>
        <w:numPr>
          <w:ilvl w:val="0"/>
          <w:numId w:val="4"/>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lastRenderedPageBreak/>
        <w:t>En los escenarios 1 y 2, se modificó la eficiencia del ventilador, reduciéndola del 80% al 65%. Como resultado, se evidenció una variación en la potencia por caudal extraído, de acuerdo con los diámetros de las secciones recomendadas, así como en el costo total.</w:t>
      </w:r>
    </w:p>
    <w:p w14:paraId="34D9F322" w14:textId="77777777" w:rsidR="009855A2" w:rsidRDefault="009855A2" w:rsidP="00562DAE">
      <w:pPr>
        <w:numPr>
          <w:ilvl w:val="0"/>
          <w:numId w:val="6"/>
        </w:numPr>
        <w:pBdr>
          <w:top w:val="nil"/>
          <w:left w:val="nil"/>
          <w:bottom w:val="nil"/>
          <w:right w:val="nil"/>
          <w:between w:val="nil"/>
        </w:pBdr>
        <w:spacing w:after="0" w:line="360" w:lineRule="auto"/>
        <w:ind w:left="1080"/>
        <w:jc w:val="both"/>
        <w:rPr>
          <w:rFonts w:ascii="Arial" w:eastAsia="Arial" w:hAnsi="Arial" w:cs="Arial"/>
          <w:color w:val="000000"/>
        </w:rPr>
      </w:pPr>
      <w:r>
        <w:rPr>
          <w:rFonts w:ascii="Arial" w:eastAsia="Arial" w:hAnsi="Arial" w:cs="Arial"/>
          <w:color w:val="000000"/>
        </w:rPr>
        <w:t>Para un diámetro de 2.44 metros, la diferencia en el costo total fue de 16,466 USD/año.</w:t>
      </w:r>
    </w:p>
    <w:p w14:paraId="4E9331BA" w14:textId="25F7C06B" w:rsidR="009855A2" w:rsidRPr="00562DAE" w:rsidRDefault="009855A2" w:rsidP="00562DAE">
      <w:pPr>
        <w:numPr>
          <w:ilvl w:val="0"/>
          <w:numId w:val="6"/>
        </w:numPr>
        <w:pBdr>
          <w:top w:val="nil"/>
          <w:left w:val="nil"/>
          <w:bottom w:val="nil"/>
          <w:right w:val="nil"/>
          <w:between w:val="nil"/>
        </w:pBdr>
        <w:spacing w:after="0" w:line="360" w:lineRule="auto"/>
        <w:ind w:left="1080"/>
        <w:jc w:val="both"/>
        <w:rPr>
          <w:rFonts w:ascii="Arial" w:eastAsia="Arial" w:hAnsi="Arial" w:cs="Arial"/>
          <w:color w:val="000000"/>
        </w:rPr>
      </w:pPr>
      <w:r>
        <w:rPr>
          <w:rFonts w:ascii="Arial" w:eastAsia="Arial" w:hAnsi="Arial" w:cs="Arial"/>
          <w:color w:val="000000"/>
        </w:rPr>
        <w:t>Para un diámetro de 3.1 metros, la diferencia fue de 5,106 USD/año.</w:t>
      </w:r>
    </w:p>
    <w:p w14:paraId="730EC9D4" w14:textId="13B0D61E" w:rsidR="009855A2" w:rsidRPr="00562DAE" w:rsidRDefault="009855A2" w:rsidP="00562DAE">
      <w:pPr>
        <w:numPr>
          <w:ilvl w:val="0"/>
          <w:numId w:val="4"/>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En los escenarios 2 y 3, se modificaron los siguientes parámetros:</w:t>
      </w:r>
    </w:p>
    <w:p w14:paraId="1961BED5" w14:textId="77777777" w:rsidR="009855A2" w:rsidRDefault="009855A2" w:rsidP="00562DAE">
      <w:pPr>
        <w:numPr>
          <w:ilvl w:val="0"/>
          <w:numId w:val="5"/>
        </w:numPr>
        <w:pBdr>
          <w:top w:val="nil"/>
          <w:left w:val="nil"/>
          <w:bottom w:val="nil"/>
          <w:right w:val="nil"/>
          <w:between w:val="nil"/>
        </w:pBdr>
        <w:spacing w:after="0" w:line="360" w:lineRule="auto"/>
        <w:ind w:left="1080"/>
        <w:jc w:val="both"/>
        <w:rPr>
          <w:rFonts w:ascii="Arial" w:eastAsia="Arial" w:hAnsi="Arial" w:cs="Arial"/>
          <w:color w:val="000000"/>
        </w:rPr>
      </w:pPr>
      <w:r>
        <w:rPr>
          <w:rFonts w:ascii="Arial" w:eastAsia="Arial" w:hAnsi="Arial" w:cs="Arial"/>
          <w:color w:val="000000"/>
        </w:rPr>
        <w:t>Factor de fricción de Atkinson: de 0.0060 kg/m³ a 0.0070 kg/m³.</w:t>
      </w:r>
    </w:p>
    <w:p w14:paraId="55E2ABBF" w14:textId="77777777" w:rsidR="009855A2" w:rsidRDefault="009855A2" w:rsidP="00562DAE">
      <w:pPr>
        <w:numPr>
          <w:ilvl w:val="0"/>
          <w:numId w:val="5"/>
        </w:numPr>
        <w:pBdr>
          <w:top w:val="nil"/>
          <w:left w:val="nil"/>
          <w:bottom w:val="nil"/>
          <w:right w:val="nil"/>
          <w:between w:val="nil"/>
        </w:pBdr>
        <w:spacing w:after="0" w:line="360" w:lineRule="auto"/>
        <w:ind w:left="1080"/>
        <w:jc w:val="both"/>
        <w:rPr>
          <w:rFonts w:ascii="Arial" w:eastAsia="Arial" w:hAnsi="Arial" w:cs="Arial"/>
          <w:color w:val="000000"/>
        </w:rPr>
      </w:pPr>
      <w:r>
        <w:rPr>
          <w:rFonts w:ascii="Arial" w:eastAsia="Arial" w:hAnsi="Arial" w:cs="Arial"/>
          <w:color w:val="000000"/>
        </w:rPr>
        <w:t>Temperatura seca: de 35°C a 29°C.</w:t>
      </w:r>
    </w:p>
    <w:p w14:paraId="73E3AB54" w14:textId="77777777" w:rsidR="009855A2" w:rsidRDefault="009855A2" w:rsidP="00562DAE">
      <w:pPr>
        <w:numPr>
          <w:ilvl w:val="0"/>
          <w:numId w:val="5"/>
        </w:numPr>
        <w:pBdr>
          <w:top w:val="nil"/>
          <w:left w:val="nil"/>
          <w:bottom w:val="nil"/>
          <w:right w:val="nil"/>
          <w:between w:val="nil"/>
        </w:pBdr>
        <w:spacing w:after="0" w:line="360" w:lineRule="auto"/>
        <w:ind w:left="1080"/>
        <w:jc w:val="both"/>
        <w:rPr>
          <w:rFonts w:ascii="Arial" w:eastAsia="Arial" w:hAnsi="Arial" w:cs="Arial"/>
          <w:color w:val="000000"/>
        </w:rPr>
      </w:pPr>
      <w:r>
        <w:rPr>
          <w:rFonts w:ascii="Arial" w:eastAsia="Arial" w:hAnsi="Arial" w:cs="Arial"/>
          <w:color w:val="000000"/>
        </w:rPr>
        <w:t>Temperatura húmeda: de 33°C a 26°C.</w:t>
      </w:r>
    </w:p>
    <w:p w14:paraId="0030B9C5" w14:textId="77777777" w:rsidR="009855A2" w:rsidRDefault="009855A2" w:rsidP="00562DAE">
      <w:pPr>
        <w:pBdr>
          <w:top w:val="nil"/>
          <w:left w:val="nil"/>
          <w:bottom w:val="nil"/>
          <w:right w:val="nil"/>
          <w:between w:val="nil"/>
        </w:pBdr>
        <w:spacing w:after="0" w:line="360" w:lineRule="auto"/>
        <w:ind w:left="1080"/>
        <w:jc w:val="both"/>
        <w:rPr>
          <w:rFonts w:ascii="Arial" w:eastAsia="Arial" w:hAnsi="Arial" w:cs="Arial"/>
          <w:color w:val="000000"/>
        </w:rPr>
      </w:pPr>
    </w:p>
    <w:p w14:paraId="6161484F" w14:textId="14D64833" w:rsidR="009855A2" w:rsidRDefault="009855A2" w:rsidP="00562DAE">
      <w:p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Estos cambios afectaron la presión final y el costo total, obteniendo las siguientes diferencias:</w:t>
      </w:r>
    </w:p>
    <w:p w14:paraId="6C1FEB6B" w14:textId="77777777" w:rsidR="009855A2" w:rsidRDefault="009855A2" w:rsidP="00562DAE">
      <w:pPr>
        <w:numPr>
          <w:ilvl w:val="0"/>
          <w:numId w:val="7"/>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Para un diámetro de 2.44 metros, la variación en el costo total fue de 13,429 USD/año.</w:t>
      </w:r>
    </w:p>
    <w:p w14:paraId="0BF9AFD3" w14:textId="247A55C8" w:rsidR="009855A2" w:rsidRPr="00562DAE" w:rsidRDefault="009855A2" w:rsidP="00562DAE">
      <w:pPr>
        <w:numPr>
          <w:ilvl w:val="0"/>
          <w:numId w:val="7"/>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Para un diámetro de 3.1 metros, la variación fue de 4,075 USD/año.</w:t>
      </w:r>
    </w:p>
    <w:p w14:paraId="53E06E04" w14:textId="77777777" w:rsidR="009A1989" w:rsidRDefault="009A1989" w:rsidP="00562DAE">
      <w:pPr>
        <w:pBdr>
          <w:top w:val="nil"/>
          <w:left w:val="nil"/>
          <w:bottom w:val="nil"/>
          <w:right w:val="nil"/>
          <w:between w:val="nil"/>
        </w:pBdr>
        <w:spacing w:after="0" w:line="360" w:lineRule="auto"/>
        <w:jc w:val="both"/>
        <w:rPr>
          <w:rFonts w:ascii="Arial" w:eastAsia="Arial" w:hAnsi="Arial" w:cs="Arial"/>
          <w:color w:val="000000"/>
        </w:rPr>
      </w:pPr>
    </w:p>
    <w:p w14:paraId="5F947221" w14:textId="48287A16" w:rsidR="009855A2" w:rsidRDefault="009855A2" w:rsidP="00562DAE">
      <w:p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Tras analizar estos resultados, el presente estudio recomienda el diámetro óptimo basado en el escenario 3, ya que este representa el caso más crítico en términos de costos y, además, los parámetros considerados se encuentran dentro de los límites operativos que pueden presentarse en una mina subterránea.</w:t>
      </w:r>
    </w:p>
    <w:p w14:paraId="48402362" w14:textId="438B0AC2" w:rsidR="009855A2" w:rsidRDefault="009855A2" w:rsidP="00562DAE">
      <w:p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Finalmente, la elección entre un diámetro de 2.44 metros o 3.1 metros deberá considerar otros factores, tales como:</w:t>
      </w:r>
    </w:p>
    <w:p w14:paraId="5F9A4529" w14:textId="77777777" w:rsidR="009855A2" w:rsidRDefault="009855A2" w:rsidP="00562DAE">
      <w:pPr>
        <w:numPr>
          <w:ilvl w:val="0"/>
          <w:numId w:val="3"/>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Presupuesto disponible en la mina.</w:t>
      </w:r>
    </w:p>
    <w:p w14:paraId="3C5C1893" w14:textId="77777777" w:rsidR="009855A2" w:rsidRDefault="009855A2" w:rsidP="00562DAE">
      <w:pPr>
        <w:numPr>
          <w:ilvl w:val="0"/>
          <w:numId w:val="3"/>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Estándares de diseño y construcción de chimeneas utilizados por la minera.</w:t>
      </w:r>
    </w:p>
    <w:p w14:paraId="6F738294" w14:textId="3B8CF449" w:rsidR="009855A2" w:rsidRPr="009855A2" w:rsidRDefault="009855A2" w:rsidP="00562DAE">
      <w:pPr>
        <w:numPr>
          <w:ilvl w:val="0"/>
          <w:numId w:val="3"/>
        </w:num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Posibilidad de profundización futura, que podría requerir mayor capacidad operativa de extracción de aire en etapas posteriores del LOM.</w:t>
      </w:r>
    </w:p>
    <w:p w14:paraId="4C25F303" w14:textId="1E4D9E19" w:rsidR="00D1215C" w:rsidRPr="009855A2" w:rsidRDefault="00D1215C" w:rsidP="00562DAE">
      <w:pPr>
        <w:pStyle w:val="Ttulo2"/>
        <w:spacing w:after="120" w:line="360" w:lineRule="auto"/>
        <w:rPr>
          <w:rFonts w:ascii="Arial" w:hAnsi="Arial" w:cs="Arial"/>
          <w:color w:val="auto"/>
          <w:sz w:val="22"/>
          <w:szCs w:val="22"/>
        </w:rPr>
      </w:pPr>
      <w:r w:rsidRPr="009855A2">
        <w:rPr>
          <w:rFonts w:ascii="Arial" w:hAnsi="Arial" w:cs="Arial"/>
          <w:color w:val="auto"/>
          <w:sz w:val="22"/>
          <w:szCs w:val="22"/>
        </w:rPr>
        <w:t xml:space="preserve">Conclusiones </w:t>
      </w:r>
    </w:p>
    <w:p w14:paraId="029CCD5B" w14:textId="162FA1DE" w:rsidR="00D1215C" w:rsidRPr="009855A2" w:rsidRDefault="00D1215C" w:rsidP="00562DAE">
      <w:pPr>
        <w:spacing w:line="360" w:lineRule="auto"/>
        <w:jc w:val="both"/>
        <w:rPr>
          <w:rFonts w:ascii="Arial" w:hAnsi="Arial" w:cs="Arial"/>
        </w:rPr>
      </w:pPr>
      <w:r w:rsidRPr="009855A2">
        <w:rPr>
          <w:rFonts w:ascii="Arial" w:hAnsi="Arial" w:cs="Arial"/>
        </w:rPr>
        <w:t xml:space="preserve">La correcta selección del diámetro de la chimenea no solo afecta la eficiencia operativa, sino también la estabilidad geotécnica de la excavación. El análisis </w:t>
      </w:r>
      <w:r w:rsidR="0085386A" w:rsidRPr="009855A2">
        <w:rPr>
          <w:rFonts w:ascii="Arial" w:hAnsi="Arial" w:cs="Arial"/>
        </w:rPr>
        <w:t>geomecánico</w:t>
      </w:r>
      <w:r w:rsidRPr="009855A2">
        <w:rPr>
          <w:rFonts w:ascii="Arial" w:hAnsi="Arial" w:cs="Arial"/>
        </w:rPr>
        <w:t xml:space="preserve"> del macizo rocoso permite definir los límites estructurales que garantizarán la seguridad de la infraestructura a largo plazo. Factores como el tipo de roca, la resistencia y la presencia de fracturas influyen en la estabilidad y deben ser considerados en el diseño.</w:t>
      </w:r>
    </w:p>
    <w:p w14:paraId="04BBE056" w14:textId="77777777" w:rsidR="00A81219" w:rsidRPr="00AC7F86" w:rsidRDefault="00A81219"/>
    <w:sectPr w:rsidR="00A81219" w:rsidRPr="00AC7F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9265E"/>
    <w:multiLevelType w:val="multilevel"/>
    <w:tmpl w:val="1578054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26D73E6B"/>
    <w:multiLevelType w:val="multilevel"/>
    <w:tmpl w:val="A07E81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538397C"/>
    <w:multiLevelType w:val="multilevel"/>
    <w:tmpl w:val="F2E61F1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4F4544AF"/>
    <w:multiLevelType w:val="hybridMultilevel"/>
    <w:tmpl w:val="692A0F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4591254"/>
    <w:multiLevelType w:val="multilevel"/>
    <w:tmpl w:val="CB90F0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E7C067C"/>
    <w:multiLevelType w:val="multilevel"/>
    <w:tmpl w:val="FB16445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98E3E93"/>
    <w:multiLevelType w:val="multilevel"/>
    <w:tmpl w:val="932200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6ACB4286"/>
    <w:multiLevelType w:val="multilevel"/>
    <w:tmpl w:val="A08490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22791421">
    <w:abstractNumId w:val="7"/>
  </w:num>
  <w:num w:numId="2" w16cid:durableId="1582135830">
    <w:abstractNumId w:val="4"/>
  </w:num>
  <w:num w:numId="3" w16cid:durableId="574584179">
    <w:abstractNumId w:val="6"/>
  </w:num>
  <w:num w:numId="4" w16cid:durableId="510026407">
    <w:abstractNumId w:val="1"/>
  </w:num>
  <w:num w:numId="5" w16cid:durableId="226766736">
    <w:abstractNumId w:val="0"/>
  </w:num>
  <w:num w:numId="6" w16cid:durableId="1767653480">
    <w:abstractNumId w:val="2"/>
  </w:num>
  <w:num w:numId="7" w16cid:durableId="1697583569">
    <w:abstractNumId w:val="5"/>
  </w:num>
  <w:num w:numId="8" w16cid:durableId="1005354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15C"/>
    <w:rsid w:val="000751DA"/>
    <w:rsid w:val="00174D93"/>
    <w:rsid w:val="00243C91"/>
    <w:rsid w:val="0030721D"/>
    <w:rsid w:val="004837C9"/>
    <w:rsid w:val="004B6A6A"/>
    <w:rsid w:val="004E4868"/>
    <w:rsid w:val="00535264"/>
    <w:rsid w:val="00562DAE"/>
    <w:rsid w:val="00721D49"/>
    <w:rsid w:val="00765A6E"/>
    <w:rsid w:val="0085386A"/>
    <w:rsid w:val="008607C7"/>
    <w:rsid w:val="009855A2"/>
    <w:rsid w:val="009A1989"/>
    <w:rsid w:val="009B3538"/>
    <w:rsid w:val="00A81219"/>
    <w:rsid w:val="00AC7F86"/>
    <w:rsid w:val="00C36D1E"/>
    <w:rsid w:val="00D1215C"/>
    <w:rsid w:val="00D96D89"/>
    <w:rsid w:val="00E41953"/>
    <w:rsid w:val="00F871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0B1B"/>
  <w15:chartTrackingRefBased/>
  <w15:docId w15:val="{3320A723-9D6E-4B39-9421-DD3CB7208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15C"/>
    <w:rPr>
      <w:rFonts w:ascii="Calibri" w:eastAsia="Calibri" w:hAnsi="Calibri" w:cs="Calibri"/>
      <w:kern w:val="0"/>
      <w:lang w:val="es-MX" w:eastAsia="es-PE"/>
      <w14:ligatures w14:val="none"/>
    </w:rPr>
  </w:style>
  <w:style w:type="paragraph" w:styleId="Ttulo2">
    <w:name w:val="heading 2"/>
    <w:basedOn w:val="Normal"/>
    <w:next w:val="Normal"/>
    <w:link w:val="Ttulo2Car"/>
    <w:uiPriority w:val="9"/>
    <w:unhideWhenUsed/>
    <w:qFormat/>
    <w:rsid w:val="00D1215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eastAsia="en-US"/>
    </w:rPr>
  </w:style>
  <w:style w:type="paragraph" w:styleId="Ttulo3">
    <w:name w:val="heading 3"/>
    <w:basedOn w:val="Normal"/>
    <w:next w:val="Normal"/>
    <w:link w:val="Ttulo3Car"/>
    <w:uiPriority w:val="9"/>
    <w:semiHidden/>
    <w:unhideWhenUsed/>
    <w:qFormat/>
    <w:rsid w:val="00D121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1215C"/>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Ttulo3Car">
    <w:name w:val="Título 3 Car"/>
    <w:basedOn w:val="Fuentedeprrafopredeter"/>
    <w:link w:val="Ttulo3"/>
    <w:uiPriority w:val="9"/>
    <w:semiHidden/>
    <w:rsid w:val="00D1215C"/>
    <w:rPr>
      <w:rFonts w:asciiTheme="majorHAnsi" w:eastAsiaTheme="majorEastAsia" w:hAnsiTheme="majorHAnsi" w:cstheme="majorBidi"/>
      <w:color w:val="1F3763" w:themeColor="accent1" w:themeShade="7F"/>
      <w:kern w:val="0"/>
      <w:sz w:val="24"/>
      <w:szCs w:val="24"/>
      <w:lang w:val="es-MX" w:eastAsia="es-PE"/>
      <w14:ligatures w14:val="none"/>
    </w:rPr>
  </w:style>
  <w:style w:type="table" w:styleId="Tablaconcuadrcula">
    <w:name w:val="Table Grid"/>
    <w:basedOn w:val="Tablanormal"/>
    <w:uiPriority w:val="59"/>
    <w:rsid w:val="00D1215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855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porte.tecnico@vpsconsulting.com.pe" TargetMode="External"/><Relationship Id="rId5" Type="http://schemas.openxmlformats.org/officeDocument/2006/relationships/hyperlink" Target="mailto:ingenieria@vpsconsulting.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1023</Words>
  <Characters>5629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Frank Mariluz Falcon</cp:lastModifiedBy>
  <cp:revision>7</cp:revision>
  <dcterms:created xsi:type="dcterms:W3CDTF">2025-03-19T20:06:00Z</dcterms:created>
  <dcterms:modified xsi:type="dcterms:W3CDTF">2025-03-31T22:39:00Z</dcterms:modified>
</cp:coreProperties>
</file>