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B78EA" w14:textId="3F2B48A2" w:rsidR="00D6365C" w:rsidRPr="00FA4FA0" w:rsidRDefault="00D6365C" w:rsidP="00D6365C">
      <w:pPr>
        <w:pStyle w:val="Textoindependiente"/>
        <w:spacing w:line="360" w:lineRule="auto"/>
        <w:ind w:left="1"/>
        <w:jc w:val="center"/>
        <w:rPr>
          <w:rFonts w:ascii="Arial" w:hAnsi="Arial" w:cs="Arial"/>
          <w:sz w:val="22"/>
          <w:szCs w:val="22"/>
        </w:rPr>
      </w:pPr>
      <w:r w:rsidRPr="00FA4FA0">
        <w:rPr>
          <w:rFonts w:ascii="Arial" w:hAnsi="Arial" w:cs="Arial"/>
          <w:b/>
          <w:sz w:val="22"/>
          <w:szCs w:val="22"/>
        </w:rPr>
        <w:t>Título:</w:t>
      </w:r>
      <w:r w:rsidRPr="00FA4FA0">
        <w:rPr>
          <w:rFonts w:ascii="Arial" w:hAnsi="Arial" w:cs="Arial"/>
          <w:b/>
          <w:spacing w:val="-1"/>
          <w:sz w:val="22"/>
          <w:szCs w:val="22"/>
        </w:rPr>
        <w:t xml:space="preserve"> </w:t>
      </w:r>
      <w:r w:rsidRPr="003C5795">
        <w:rPr>
          <w:rFonts w:ascii="Arial" w:hAnsi="Arial" w:cs="Arial"/>
          <w:b/>
          <w:i/>
          <w:iCs/>
          <w:color w:val="0070C0"/>
          <w:spacing w:val="-1"/>
          <w:sz w:val="22"/>
          <w:szCs w:val="22"/>
        </w:rPr>
        <w:t xml:space="preserve">Descarbonización </w:t>
      </w:r>
      <w:r>
        <w:rPr>
          <w:rFonts w:ascii="Arial" w:hAnsi="Arial" w:cs="Arial"/>
          <w:b/>
          <w:i/>
          <w:iCs/>
          <w:color w:val="0070C0"/>
          <w:spacing w:val="-1"/>
          <w:sz w:val="22"/>
          <w:szCs w:val="22"/>
        </w:rPr>
        <w:t>en Minería</w:t>
      </w:r>
      <w:r w:rsidRPr="003C5795">
        <w:rPr>
          <w:rFonts w:ascii="Arial" w:hAnsi="Arial" w:cs="Arial"/>
          <w:b/>
          <w:i/>
          <w:iCs/>
          <w:color w:val="0070C0"/>
          <w:spacing w:val="-1"/>
          <w:sz w:val="22"/>
          <w:szCs w:val="22"/>
        </w:rPr>
        <w:t>: Caso de estudio</w:t>
      </w:r>
      <w:r>
        <w:rPr>
          <w:rFonts w:ascii="Arial" w:hAnsi="Arial" w:cs="Arial"/>
          <w:b/>
          <w:i/>
          <w:iCs/>
          <w:color w:val="0070C0"/>
          <w:spacing w:val="-1"/>
          <w:sz w:val="22"/>
          <w:szCs w:val="22"/>
        </w:rPr>
        <w:t xml:space="preserve"> con hidrógeno verde </w:t>
      </w:r>
      <w:r w:rsidRPr="003C5795">
        <w:rPr>
          <w:rFonts w:ascii="Arial" w:hAnsi="Arial" w:cs="Arial"/>
          <w:b/>
          <w:i/>
          <w:iCs/>
          <w:color w:val="0070C0"/>
          <w:spacing w:val="-1"/>
          <w:sz w:val="22"/>
          <w:szCs w:val="22"/>
        </w:rPr>
        <w:t>para el alcance 3</w:t>
      </w:r>
    </w:p>
    <w:p w14:paraId="5DAA66BF" w14:textId="77777777" w:rsidR="00D6365C" w:rsidRPr="00FA4FA0" w:rsidRDefault="00D6365C" w:rsidP="00D6365C">
      <w:pPr>
        <w:pStyle w:val="Textoindependiente"/>
        <w:spacing w:before="31" w:line="360" w:lineRule="auto"/>
        <w:ind w:left="1"/>
        <w:rPr>
          <w:rFonts w:ascii="Arial" w:hAnsi="Arial" w:cs="Arial"/>
          <w:sz w:val="22"/>
          <w:szCs w:val="22"/>
        </w:rPr>
      </w:pPr>
      <w:r w:rsidRPr="00FA4FA0">
        <w:rPr>
          <w:rFonts w:ascii="Arial" w:hAnsi="Arial" w:cs="Arial"/>
          <w:b/>
          <w:sz w:val="22"/>
          <w:szCs w:val="22"/>
        </w:rPr>
        <w:t>Tema:</w:t>
      </w:r>
      <w:r w:rsidRPr="00FA4FA0">
        <w:rPr>
          <w:rFonts w:ascii="Arial" w:hAnsi="Arial" w:cs="Arial"/>
          <w:b/>
          <w:spacing w:val="-1"/>
          <w:sz w:val="22"/>
          <w:szCs w:val="22"/>
        </w:rPr>
        <w:t xml:space="preserve"> </w:t>
      </w:r>
      <w:r w:rsidRPr="00FA4FA0">
        <w:rPr>
          <w:rFonts w:ascii="Arial" w:hAnsi="Arial" w:cs="Arial"/>
          <w:sz w:val="22"/>
          <w:szCs w:val="22"/>
        </w:rPr>
        <w:t>Emisión Cero y Cambio Climático</w:t>
      </w:r>
    </w:p>
    <w:p w14:paraId="6D34A100" w14:textId="77777777" w:rsidR="00D6365C" w:rsidRPr="00FA4FA0" w:rsidRDefault="00D6365C" w:rsidP="00D6365C">
      <w:pPr>
        <w:spacing w:before="30" w:line="360" w:lineRule="auto"/>
        <w:ind w:left="1"/>
        <w:rPr>
          <w:rFonts w:ascii="Arial" w:hAnsi="Arial" w:cs="Arial"/>
        </w:rPr>
      </w:pPr>
      <w:r w:rsidRPr="00FA4FA0">
        <w:rPr>
          <w:rFonts w:ascii="Arial" w:hAnsi="Arial" w:cs="Arial"/>
          <w:b/>
        </w:rPr>
        <w:t>Categoría:</w:t>
      </w:r>
      <w:r w:rsidRPr="00FA4FA0">
        <w:rPr>
          <w:rFonts w:ascii="Arial" w:hAnsi="Arial" w:cs="Arial"/>
          <w:b/>
          <w:spacing w:val="-8"/>
        </w:rPr>
        <w:t xml:space="preserve"> </w:t>
      </w:r>
    </w:p>
    <w:p w14:paraId="17116142" w14:textId="77777777" w:rsidR="00D6365C" w:rsidRPr="00D6365C" w:rsidRDefault="00D6365C" w:rsidP="00D6365C">
      <w:pPr>
        <w:pStyle w:val="Prrafodelista"/>
        <w:numPr>
          <w:ilvl w:val="0"/>
          <w:numId w:val="1"/>
        </w:numPr>
        <w:tabs>
          <w:tab w:val="left" w:pos="721"/>
        </w:tabs>
        <w:spacing w:before="14" w:line="360" w:lineRule="auto"/>
        <w:ind w:firstLine="0"/>
        <w:contextualSpacing w:val="0"/>
        <w:rPr>
          <w:rFonts w:ascii="Arial" w:hAnsi="Arial" w:cs="Arial"/>
          <w:b/>
          <w:bCs/>
        </w:rPr>
      </w:pPr>
      <w:r w:rsidRPr="00D6365C">
        <w:rPr>
          <w:rFonts w:ascii="Arial" w:hAnsi="Arial" w:cs="Arial"/>
          <w:b/>
          <w:bCs/>
        </w:rPr>
        <w:t>ESG</w:t>
      </w:r>
      <w:r w:rsidRPr="00D6365C">
        <w:rPr>
          <w:rFonts w:ascii="Arial" w:hAnsi="Arial" w:cs="Arial"/>
          <w:b/>
          <w:bCs/>
          <w:spacing w:val="-5"/>
        </w:rPr>
        <w:t xml:space="preserve"> </w:t>
      </w:r>
      <w:r w:rsidRPr="00D6365C">
        <w:rPr>
          <w:rFonts w:ascii="Arial" w:hAnsi="Arial" w:cs="Arial"/>
          <w:b/>
          <w:bCs/>
        </w:rPr>
        <w:t>(Environmental,</w:t>
      </w:r>
      <w:r w:rsidRPr="00D6365C">
        <w:rPr>
          <w:rFonts w:ascii="Arial" w:hAnsi="Arial" w:cs="Arial"/>
          <w:b/>
          <w:bCs/>
          <w:spacing w:val="-4"/>
        </w:rPr>
        <w:t xml:space="preserve"> </w:t>
      </w:r>
      <w:r w:rsidRPr="00D6365C">
        <w:rPr>
          <w:rFonts w:ascii="Arial" w:hAnsi="Arial" w:cs="Arial"/>
          <w:b/>
          <w:bCs/>
        </w:rPr>
        <w:t>Social,</w:t>
      </w:r>
      <w:r w:rsidRPr="00D6365C">
        <w:rPr>
          <w:rFonts w:ascii="Arial" w:hAnsi="Arial" w:cs="Arial"/>
          <w:b/>
          <w:bCs/>
          <w:spacing w:val="-5"/>
        </w:rPr>
        <w:t xml:space="preserve"> </w:t>
      </w:r>
      <w:r w:rsidRPr="00D6365C">
        <w:rPr>
          <w:rFonts w:ascii="Arial" w:hAnsi="Arial" w:cs="Arial"/>
          <w:b/>
          <w:bCs/>
          <w:spacing w:val="-2"/>
        </w:rPr>
        <w:t>Governance)</w:t>
      </w:r>
    </w:p>
    <w:p w14:paraId="10CCD5F4" w14:textId="77777777" w:rsidR="00D6365C" w:rsidRPr="00FA4FA0" w:rsidRDefault="00D6365C" w:rsidP="00D6365C">
      <w:pPr>
        <w:spacing w:before="13" w:line="360" w:lineRule="auto"/>
        <w:ind w:left="1"/>
        <w:rPr>
          <w:rFonts w:ascii="Arial" w:hAnsi="Arial" w:cs="Arial"/>
          <w:b/>
          <w:spacing w:val="-3"/>
        </w:rPr>
      </w:pPr>
      <w:r w:rsidRPr="00FA4FA0">
        <w:rPr>
          <w:rFonts w:ascii="Arial" w:hAnsi="Arial" w:cs="Arial"/>
          <w:b/>
        </w:rPr>
        <w:t>Datos</w:t>
      </w:r>
      <w:r w:rsidRPr="00FA4FA0">
        <w:rPr>
          <w:rFonts w:ascii="Arial" w:hAnsi="Arial" w:cs="Arial"/>
          <w:b/>
          <w:spacing w:val="-3"/>
        </w:rPr>
        <w:t xml:space="preserve"> </w:t>
      </w:r>
      <w:r w:rsidRPr="00FA4FA0">
        <w:rPr>
          <w:rFonts w:ascii="Arial" w:hAnsi="Arial" w:cs="Arial"/>
          <w:b/>
        </w:rPr>
        <w:t>del</w:t>
      </w:r>
      <w:r w:rsidRPr="00FA4FA0">
        <w:rPr>
          <w:rFonts w:ascii="Arial" w:hAnsi="Arial" w:cs="Arial"/>
          <w:b/>
          <w:spacing w:val="-5"/>
        </w:rPr>
        <w:t xml:space="preserve"> </w:t>
      </w:r>
      <w:r w:rsidRPr="00FA4FA0">
        <w:rPr>
          <w:rFonts w:ascii="Arial" w:hAnsi="Arial" w:cs="Arial"/>
          <w:b/>
        </w:rPr>
        <w:t>autor</w:t>
      </w:r>
      <w:r w:rsidRPr="00FA4FA0">
        <w:rPr>
          <w:rFonts w:ascii="Arial" w:hAnsi="Arial" w:cs="Arial"/>
          <w:b/>
          <w:spacing w:val="-3"/>
        </w:rPr>
        <w:t xml:space="preserve"> </w:t>
      </w:r>
      <w:r w:rsidRPr="00FA4FA0">
        <w:rPr>
          <w:rFonts w:ascii="Arial" w:hAnsi="Arial" w:cs="Arial"/>
          <w:b/>
        </w:rPr>
        <w:t>y</w:t>
      </w:r>
      <w:r w:rsidRPr="00FA4FA0">
        <w:rPr>
          <w:rFonts w:ascii="Arial" w:hAnsi="Arial" w:cs="Arial"/>
          <w:b/>
          <w:spacing w:val="-5"/>
        </w:rPr>
        <w:t xml:space="preserve"> </w:t>
      </w:r>
      <w:r w:rsidRPr="00FA4FA0">
        <w:rPr>
          <w:rFonts w:ascii="Arial" w:hAnsi="Arial" w:cs="Arial"/>
          <w:b/>
        </w:rPr>
        <w:t>coautores:</w:t>
      </w:r>
      <w:r w:rsidRPr="00FA4FA0">
        <w:rPr>
          <w:rFonts w:ascii="Arial" w:hAnsi="Arial" w:cs="Arial"/>
          <w:b/>
          <w:spacing w:val="-3"/>
        </w:rPr>
        <w:t xml:space="preserve"> </w:t>
      </w:r>
    </w:p>
    <w:p w14:paraId="1D38B53A" w14:textId="77777777" w:rsidR="00D6365C" w:rsidRPr="002A2429" w:rsidRDefault="00D6365C" w:rsidP="00D6365C">
      <w:pPr>
        <w:spacing w:before="13" w:line="360" w:lineRule="auto"/>
        <w:ind w:left="1"/>
        <w:rPr>
          <w:rFonts w:ascii="Arial" w:hAnsi="Arial" w:cs="Arial"/>
          <w:b/>
          <w:spacing w:val="-3"/>
        </w:rPr>
      </w:pPr>
      <w:r w:rsidRPr="002A2429">
        <w:rPr>
          <w:rFonts w:ascii="Arial" w:hAnsi="Arial" w:cs="Arial"/>
          <w:b/>
          <w:spacing w:val="-3"/>
        </w:rPr>
        <w:t>Autor: Sergio Gonzalez Núñez</w:t>
      </w:r>
    </w:p>
    <w:p w14:paraId="238D45C4" w14:textId="17125E6F" w:rsidR="00D6365C" w:rsidRPr="00FA4FA0" w:rsidRDefault="00D6365C" w:rsidP="00D6365C">
      <w:pPr>
        <w:spacing w:before="13" w:line="360" w:lineRule="auto"/>
        <w:ind w:left="1"/>
        <w:rPr>
          <w:rFonts w:ascii="Arial" w:hAnsi="Arial" w:cs="Arial"/>
          <w:bCs/>
          <w:spacing w:val="-3"/>
        </w:rPr>
      </w:pPr>
      <w:r w:rsidRPr="00FA4FA0">
        <w:rPr>
          <w:rFonts w:ascii="Arial" w:hAnsi="Arial" w:cs="Arial"/>
          <w:b/>
          <w:spacing w:val="-3"/>
        </w:rPr>
        <w:t xml:space="preserve">Empresa: </w:t>
      </w:r>
      <w:r w:rsidRPr="00FA4FA0">
        <w:rPr>
          <w:rFonts w:ascii="Arial" w:hAnsi="Arial" w:cs="Arial"/>
          <w:bCs/>
          <w:spacing w:val="-3"/>
        </w:rPr>
        <w:t>Greenner</w:t>
      </w:r>
      <w:r>
        <w:rPr>
          <w:rFonts w:ascii="Arial" w:hAnsi="Arial" w:cs="Arial"/>
          <w:bCs/>
          <w:spacing w:val="-3"/>
        </w:rPr>
        <w:t xml:space="preserve">  </w:t>
      </w:r>
      <w:r w:rsidR="00BC2834">
        <w:rPr>
          <w:rFonts w:ascii="Arial" w:hAnsi="Arial" w:cs="Arial"/>
          <w:bCs/>
          <w:spacing w:val="-3"/>
        </w:rPr>
        <w:t xml:space="preserve">  </w:t>
      </w:r>
      <w:r w:rsidRPr="00FA4FA0">
        <w:rPr>
          <w:rFonts w:ascii="Arial" w:hAnsi="Arial" w:cs="Arial"/>
          <w:b/>
          <w:spacing w:val="-3"/>
        </w:rPr>
        <w:t xml:space="preserve">Cargo: </w:t>
      </w:r>
      <w:r w:rsidRPr="00FA4FA0">
        <w:rPr>
          <w:rFonts w:ascii="Arial" w:hAnsi="Arial" w:cs="Arial"/>
          <w:bCs/>
          <w:spacing w:val="-3"/>
        </w:rPr>
        <w:t xml:space="preserve">FOUNDER </w:t>
      </w:r>
    </w:p>
    <w:p w14:paraId="7DBA45EB" w14:textId="77777777" w:rsidR="00D6365C" w:rsidRPr="00FA4FA0" w:rsidRDefault="00D6365C" w:rsidP="00D6365C">
      <w:pPr>
        <w:spacing w:before="13" w:line="360" w:lineRule="auto"/>
        <w:ind w:left="1"/>
        <w:rPr>
          <w:rFonts w:ascii="Arial" w:hAnsi="Arial" w:cs="Arial"/>
          <w:bCs/>
          <w:spacing w:val="-3"/>
        </w:rPr>
      </w:pPr>
      <w:r w:rsidRPr="00FA4FA0">
        <w:rPr>
          <w:rFonts w:ascii="Arial" w:hAnsi="Arial" w:cs="Arial"/>
          <w:b/>
          <w:spacing w:val="-3"/>
        </w:rPr>
        <w:t xml:space="preserve">Dirección: </w:t>
      </w:r>
      <w:r w:rsidRPr="00FA4FA0">
        <w:rPr>
          <w:rFonts w:ascii="Arial" w:hAnsi="Arial" w:cs="Arial"/>
          <w:bCs/>
          <w:spacing w:val="-3"/>
        </w:rPr>
        <w:t>Av. Guardia Civil 1321 Oficina 1104, Surquillo.</w:t>
      </w:r>
    </w:p>
    <w:p w14:paraId="6E1940C7" w14:textId="77777777" w:rsidR="00D6365C" w:rsidRPr="00FA4FA0" w:rsidRDefault="00D6365C" w:rsidP="00D6365C">
      <w:pPr>
        <w:spacing w:before="13" w:line="360" w:lineRule="auto"/>
        <w:ind w:left="1"/>
        <w:rPr>
          <w:rFonts w:ascii="Arial" w:hAnsi="Arial" w:cs="Arial"/>
          <w:bCs/>
          <w:spacing w:val="-3"/>
        </w:rPr>
      </w:pPr>
      <w:r w:rsidRPr="00FA4FA0">
        <w:rPr>
          <w:rFonts w:ascii="Arial" w:hAnsi="Arial" w:cs="Arial"/>
          <w:b/>
          <w:spacing w:val="-3"/>
        </w:rPr>
        <w:t>Correo Corporativo:</w:t>
      </w:r>
      <w:r w:rsidRPr="00FA4FA0">
        <w:rPr>
          <w:rFonts w:ascii="Arial" w:hAnsi="Arial" w:cs="Arial"/>
          <w:bCs/>
          <w:spacing w:val="-3"/>
        </w:rPr>
        <w:t xml:space="preserve"> </w:t>
      </w:r>
      <w:hyperlink r:id="rId5" w:history="1">
        <w:r w:rsidRPr="00FA4FA0">
          <w:rPr>
            <w:rStyle w:val="Hipervnculo"/>
            <w:rFonts w:ascii="Arial" w:hAnsi="Arial" w:cs="Arial"/>
            <w:bCs/>
            <w:spacing w:val="-3"/>
          </w:rPr>
          <w:t>sergio.gonzalez@greennerglobal.com</w:t>
        </w:r>
      </w:hyperlink>
      <w:r w:rsidRPr="00FA4FA0">
        <w:rPr>
          <w:rFonts w:ascii="Arial" w:hAnsi="Arial" w:cs="Arial"/>
          <w:bCs/>
          <w:spacing w:val="-3"/>
        </w:rPr>
        <w:t xml:space="preserve"> </w:t>
      </w:r>
    </w:p>
    <w:p w14:paraId="2A57EA9C" w14:textId="7E909481" w:rsidR="00D6365C" w:rsidRPr="00FA4FA0" w:rsidRDefault="00D6365C" w:rsidP="00D6365C">
      <w:pPr>
        <w:spacing w:line="360" w:lineRule="auto"/>
        <w:ind w:right="-14"/>
        <w:rPr>
          <w:rFonts w:ascii="Arial" w:hAnsi="Arial" w:cs="Arial"/>
          <w:b/>
          <w:spacing w:val="-3"/>
        </w:rPr>
      </w:pPr>
      <w:r w:rsidRPr="00FA4FA0">
        <w:rPr>
          <w:rFonts w:ascii="Arial" w:hAnsi="Arial" w:cs="Arial"/>
          <w:b/>
        </w:rPr>
        <w:t xml:space="preserve">Correo personal: </w:t>
      </w:r>
      <w:hyperlink r:id="rId6" w:history="1">
        <w:r w:rsidRPr="003832E7">
          <w:rPr>
            <w:rStyle w:val="Hipervnculo"/>
            <w:rFonts w:ascii="Arial" w:hAnsi="Arial" w:cs="Arial"/>
            <w:bCs/>
          </w:rPr>
          <w:t>sigonzalez1022@gmail.com</w:t>
        </w:r>
      </w:hyperlink>
      <w:r>
        <w:t xml:space="preserve"> ;</w:t>
      </w:r>
      <w:r w:rsidRPr="00FA4FA0">
        <w:rPr>
          <w:rFonts w:ascii="Arial" w:hAnsi="Arial" w:cs="Arial"/>
          <w:b/>
        </w:rPr>
        <w:t>Celular:</w:t>
      </w:r>
      <w:r w:rsidRPr="00FA4FA0">
        <w:rPr>
          <w:rFonts w:ascii="Arial" w:hAnsi="Arial" w:cs="Arial"/>
          <w:b/>
          <w:spacing w:val="-1"/>
        </w:rPr>
        <w:t xml:space="preserve"> </w:t>
      </w:r>
      <w:r w:rsidRPr="00FA4FA0">
        <w:rPr>
          <w:rFonts w:ascii="Arial" w:hAnsi="Arial" w:cs="Arial"/>
        </w:rPr>
        <w:t>942 413 717</w:t>
      </w:r>
      <w:r>
        <w:rPr>
          <w:rFonts w:ascii="Arial" w:hAnsi="Arial" w:cs="Arial"/>
          <w:bCs/>
          <w:spacing w:val="-3"/>
        </w:rPr>
        <w:tab/>
      </w:r>
    </w:p>
    <w:p w14:paraId="09D03326" w14:textId="7AE0B12C" w:rsidR="00D6365C" w:rsidRPr="00FA4FA0" w:rsidRDefault="00D6365C" w:rsidP="00D6365C">
      <w:pPr>
        <w:spacing w:before="13" w:line="360" w:lineRule="auto"/>
        <w:ind w:left="1"/>
        <w:rPr>
          <w:rFonts w:ascii="Arial" w:hAnsi="Arial" w:cs="Arial"/>
          <w:b/>
          <w:spacing w:val="-3"/>
        </w:rPr>
      </w:pPr>
      <w:r w:rsidRPr="00FA4FA0">
        <w:rPr>
          <w:rFonts w:ascii="Arial" w:hAnsi="Arial" w:cs="Arial"/>
          <w:b/>
          <w:spacing w:val="-3"/>
        </w:rPr>
        <w:t xml:space="preserve">Co Autor: Luis </w:t>
      </w:r>
      <w:r>
        <w:rPr>
          <w:rFonts w:ascii="Arial" w:hAnsi="Arial" w:cs="Arial"/>
          <w:b/>
          <w:spacing w:val="-3"/>
        </w:rPr>
        <w:t xml:space="preserve">Ángel </w:t>
      </w:r>
      <w:r w:rsidRPr="00FA4FA0">
        <w:rPr>
          <w:rFonts w:ascii="Arial" w:hAnsi="Arial" w:cs="Arial"/>
          <w:b/>
          <w:spacing w:val="-3"/>
        </w:rPr>
        <w:t>Santillana</w:t>
      </w:r>
    </w:p>
    <w:p w14:paraId="1346EF6E" w14:textId="7C6EE350" w:rsidR="00D6365C" w:rsidRPr="00EB4DF6" w:rsidRDefault="00D6365C" w:rsidP="00D6365C">
      <w:pPr>
        <w:spacing w:before="13" w:line="360" w:lineRule="auto"/>
        <w:ind w:left="1"/>
        <w:rPr>
          <w:rFonts w:ascii="Arial" w:hAnsi="Arial" w:cs="Arial"/>
          <w:bCs/>
          <w:spacing w:val="-3"/>
        </w:rPr>
      </w:pPr>
      <w:r w:rsidRPr="00EB4DF6">
        <w:rPr>
          <w:rFonts w:ascii="Arial" w:hAnsi="Arial" w:cs="Arial"/>
          <w:b/>
          <w:spacing w:val="-3"/>
        </w:rPr>
        <w:t xml:space="preserve">Empresa: </w:t>
      </w:r>
      <w:r w:rsidRPr="00EB4DF6">
        <w:rPr>
          <w:rFonts w:ascii="Arial" w:hAnsi="Arial" w:cs="Arial"/>
          <w:bCs/>
          <w:spacing w:val="-3"/>
        </w:rPr>
        <w:t xml:space="preserve">Greenner </w:t>
      </w:r>
      <w:r w:rsidR="00BC2834" w:rsidRPr="00EB4DF6">
        <w:rPr>
          <w:rFonts w:ascii="Arial" w:hAnsi="Arial" w:cs="Arial"/>
          <w:bCs/>
          <w:spacing w:val="-3"/>
        </w:rPr>
        <w:t xml:space="preserve">  </w:t>
      </w:r>
      <w:r w:rsidRPr="00EB4DF6">
        <w:rPr>
          <w:rFonts w:ascii="Arial" w:hAnsi="Arial" w:cs="Arial"/>
          <w:b/>
          <w:spacing w:val="-3"/>
        </w:rPr>
        <w:t xml:space="preserve">Cargo: </w:t>
      </w:r>
      <w:r w:rsidRPr="00EB4DF6">
        <w:rPr>
          <w:rFonts w:ascii="Arial" w:hAnsi="Arial" w:cs="Arial"/>
          <w:bCs/>
          <w:spacing w:val="-3"/>
        </w:rPr>
        <w:t>VP Business Development</w:t>
      </w:r>
    </w:p>
    <w:p w14:paraId="1E3A98D1" w14:textId="77777777" w:rsidR="00D6365C" w:rsidRPr="00D6365C" w:rsidRDefault="00D6365C" w:rsidP="00D6365C">
      <w:pPr>
        <w:spacing w:before="13" w:line="360" w:lineRule="auto"/>
        <w:ind w:left="1"/>
        <w:rPr>
          <w:rFonts w:ascii="Arial" w:hAnsi="Arial" w:cs="Arial"/>
          <w:bCs/>
          <w:spacing w:val="-3"/>
        </w:rPr>
      </w:pPr>
      <w:r w:rsidRPr="00FA4FA0">
        <w:rPr>
          <w:rFonts w:ascii="Arial" w:hAnsi="Arial" w:cs="Arial"/>
          <w:b/>
          <w:spacing w:val="-3"/>
        </w:rPr>
        <w:t>Correo Corporativo:</w:t>
      </w:r>
      <w:r w:rsidRPr="00FA4FA0">
        <w:rPr>
          <w:rFonts w:ascii="Arial" w:hAnsi="Arial" w:cs="Arial"/>
          <w:bCs/>
          <w:spacing w:val="-3"/>
        </w:rPr>
        <w:t xml:space="preserve"> </w:t>
      </w:r>
      <w:hyperlink r:id="rId7" w:history="1">
        <w:r w:rsidRPr="005564A6">
          <w:rPr>
            <w:rStyle w:val="Hipervnculo"/>
            <w:rFonts w:ascii="Arial" w:hAnsi="Arial" w:cs="Arial"/>
            <w:bCs/>
            <w:spacing w:val="-3"/>
          </w:rPr>
          <w:t>luis.santillana@greennerglobal.com</w:t>
        </w:r>
      </w:hyperlink>
    </w:p>
    <w:p w14:paraId="69AF82FA" w14:textId="7482F1C2" w:rsidR="00D6365C" w:rsidRPr="000C6D2A" w:rsidRDefault="00D6365C" w:rsidP="00D6365C">
      <w:pPr>
        <w:spacing w:line="360" w:lineRule="auto"/>
        <w:ind w:right="2835"/>
        <w:rPr>
          <w:rFonts w:ascii="Arial" w:hAnsi="Arial" w:cs="Arial"/>
          <w:bCs/>
        </w:rPr>
      </w:pPr>
      <w:r>
        <w:rPr>
          <w:rFonts w:ascii="Arial" w:hAnsi="Arial" w:cs="Arial"/>
          <w:b/>
        </w:rPr>
        <w:t>C</w:t>
      </w:r>
      <w:r w:rsidRPr="00FA4FA0">
        <w:rPr>
          <w:rFonts w:ascii="Arial" w:hAnsi="Arial" w:cs="Arial"/>
          <w:b/>
        </w:rPr>
        <w:t>orreo personal:</w:t>
      </w:r>
      <w:hyperlink r:id="rId8" w:history="1">
        <w:r w:rsidR="00506903" w:rsidRPr="000A1B76">
          <w:rPr>
            <w:rStyle w:val="Hipervnculo"/>
            <w:rFonts w:ascii="Arial" w:hAnsi="Arial" w:cs="Arial"/>
            <w:bCs/>
          </w:rPr>
          <w:t>luissantillana1@yahoo.es</w:t>
        </w:r>
      </w:hyperlink>
      <w:r>
        <w:rPr>
          <w:rFonts w:ascii="Arial" w:hAnsi="Arial" w:cs="Arial"/>
          <w:b/>
        </w:rPr>
        <w:t>;</w:t>
      </w:r>
      <w:r w:rsidR="004C4DD7">
        <w:rPr>
          <w:rFonts w:ascii="Arial" w:hAnsi="Arial" w:cs="Arial"/>
          <w:b/>
        </w:rPr>
        <w:t xml:space="preserve"> </w:t>
      </w:r>
      <w:r w:rsidRPr="00FA4FA0">
        <w:rPr>
          <w:rFonts w:ascii="Arial" w:hAnsi="Arial" w:cs="Arial"/>
          <w:b/>
        </w:rPr>
        <w:t>Celular:</w:t>
      </w:r>
      <w:r w:rsidRPr="000C6D2A">
        <w:rPr>
          <w:rFonts w:ascii="Arial" w:hAnsi="Arial" w:cs="Arial"/>
          <w:bCs/>
        </w:rPr>
        <w:t>99956759</w:t>
      </w:r>
      <w:r w:rsidRPr="000C6D2A">
        <w:rPr>
          <w:rFonts w:ascii="Arial" w:hAnsi="Arial" w:cs="Arial"/>
          <w:bCs/>
          <w:spacing w:val="-1"/>
        </w:rPr>
        <w:t xml:space="preserve"> </w:t>
      </w:r>
    </w:p>
    <w:p w14:paraId="0D408DBC" w14:textId="18F9D18F" w:rsidR="00D6365C" w:rsidRPr="00FA4FA0" w:rsidRDefault="00D6365C" w:rsidP="00D6365C">
      <w:pPr>
        <w:spacing w:before="13" w:line="360" w:lineRule="auto"/>
        <w:ind w:left="1"/>
        <w:rPr>
          <w:rFonts w:ascii="Arial" w:hAnsi="Arial" w:cs="Arial"/>
          <w:b/>
          <w:spacing w:val="-3"/>
        </w:rPr>
      </w:pPr>
      <w:r w:rsidRPr="00FA4FA0">
        <w:rPr>
          <w:rFonts w:ascii="Arial" w:hAnsi="Arial" w:cs="Arial"/>
          <w:b/>
          <w:spacing w:val="-3"/>
        </w:rPr>
        <w:t>Co Autor: Luis Felipe Aching</w:t>
      </w:r>
      <w:r>
        <w:rPr>
          <w:rFonts w:ascii="Arial" w:hAnsi="Arial" w:cs="Arial"/>
          <w:b/>
          <w:spacing w:val="-3"/>
        </w:rPr>
        <w:t xml:space="preserve"> </w:t>
      </w:r>
    </w:p>
    <w:p w14:paraId="008A21C5" w14:textId="21317765" w:rsidR="00D6365C" w:rsidRPr="009007BD" w:rsidRDefault="00D6365C" w:rsidP="00D6365C">
      <w:pPr>
        <w:spacing w:before="13" w:line="360" w:lineRule="auto"/>
        <w:ind w:left="1"/>
        <w:rPr>
          <w:rFonts w:ascii="Arial" w:hAnsi="Arial" w:cs="Arial"/>
          <w:bCs/>
          <w:spacing w:val="-3"/>
        </w:rPr>
      </w:pPr>
      <w:r w:rsidRPr="00FA4FA0">
        <w:rPr>
          <w:rFonts w:ascii="Arial" w:hAnsi="Arial" w:cs="Arial"/>
          <w:b/>
          <w:spacing w:val="-3"/>
        </w:rPr>
        <w:t xml:space="preserve">Empresa: </w:t>
      </w:r>
      <w:r w:rsidRPr="00FA4FA0">
        <w:rPr>
          <w:rFonts w:ascii="Arial" w:hAnsi="Arial" w:cs="Arial"/>
          <w:bCs/>
          <w:spacing w:val="-3"/>
        </w:rPr>
        <w:t>Greenner</w:t>
      </w:r>
      <w:r>
        <w:rPr>
          <w:rFonts w:ascii="Arial" w:hAnsi="Arial" w:cs="Arial"/>
          <w:bCs/>
          <w:spacing w:val="-3"/>
        </w:rPr>
        <w:t xml:space="preserve"> </w:t>
      </w:r>
      <w:r w:rsidR="00BC2834">
        <w:rPr>
          <w:rFonts w:ascii="Arial" w:hAnsi="Arial" w:cs="Arial"/>
          <w:bCs/>
          <w:spacing w:val="-3"/>
        </w:rPr>
        <w:t xml:space="preserve">  </w:t>
      </w:r>
      <w:r w:rsidRPr="009007BD">
        <w:rPr>
          <w:rFonts w:ascii="Arial" w:hAnsi="Arial" w:cs="Arial"/>
          <w:b/>
          <w:spacing w:val="-3"/>
        </w:rPr>
        <w:t xml:space="preserve">Cargo: </w:t>
      </w:r>
      <w:r w:rsidRPr="009007BD">
        <w:rPr>
          <w:rFonts w:ascii="Arial" w:hAnsi="Arial" w:cs="Arial"/>
          <w:bCs/>
          <w:spacing w:val="-3"/>
        </w:rPr>
        <w:t>VP Investor Relations</w:t>
      </w:r>
    </w:p>
    <w:p w14:paraId="77936AE4" w14:textId="77777777" w:rsidR="009A159D" w:rsidRDefault="00D6365C" w:rsidP="00F76D2A">
      <w:pPr>
        <w:spacing w:before="13" w:line="360" w:lineRule="auto"/>
        <w:ind w:left="1"/>
      </w:pPr>
      <w:r w:rsidRPr="00FA4FA0">
        <w:rPr>
          <w:rFonts w:ascii="Arial" w:hAnsi="Arial" w:cs="Arial"/>
          <w:b/>
          <w:spacing w:val="-3"/>
        </w:rPr>
        <w:t>Correo Corporativo:</w:t>
      </w:r>
      <w:r w:rsidRPr="00FA4FA0">
        <w:rPr>
          <w:rFonts w:ascii="Arial" w:hAnsi="Arial" w:cs="Arial"/>
          <w:bCs/>
          <w:spacing w:val="-3"/>
        </w:rPr>
        <w:t xml:space="preserve"> </w:t>
      </w:r>
      <w:hyperlink r:id="rId9" w:history="1">
        <w:r w:rsidRPr="00996CD1">
          <w:rPr>
            <w:rStyle w:val="Hipervnculo"/>
            <w:rFonts w:ascii="Arial" w:hAnsi="Arial" w:cs="Arial"/>
            <w:bCs/>
            <w:spacing w:val="-3"/>
          </w:rPr>
          <w:t>luis.aching@greennerglobal.com</w:t>
        </w:r>
      </w:hyperlink>
      <w:r w:rsidR="00F76D2A">
        <w:t>;</w:t>
      </w:r>
    </w:p>
    <w:p w14:paraId="49E6F2D7" w14:textId="396D33C0" w:rsidR="00D6365C" w:rsidRDefault="00D6365C" w:rsidP="00F76D2A">
      <w:pPr>
        <w:spacing w:before="13" w:line="360" w:lineRule="auto"/>
        <w:ind w:left="1"/>
        <w:rPr>
          <w:rFonts w:ascii="Arial" w:hAnsi="Arial" w:cs="Arial"/>
          <w:bCs/>
          <w:spacing w:val="-3"/>
        </w:rPr>
      </w:pPr>
      <w:r>
        <w:rPr>
          <w:rFonts w:ascii="Arial" w:hAnsi="Arial" w:cs="Arial"/>
          <w:b/>
        </w:rPr>
        <w:t>C</w:t>
      </w:r>
      <w:r w:rsidRPr="00FA4FA0">
        <w:rPr>
          <w:rFonts w:ascii="Arial" w:hAnsi="Arial" w:cs="Arial"/>
          <w:b/>
        </w:rPr>
        <w:t xml:space="preserve">orreo personal: </w:t>
      </w:r>
      <w:hyperlink r:id="rId10" w:history="1">
        <w:r w:rsidR="00F04834" w:rsidRPr="00F04834">
          <w:rPr>
            <w:rStyle w:val="Hipervnculo"/>
            <w:rFonts w:ascii="Arial" w:hAnsi="Arial" w:cs="Arial"/>
            <w:bCs/>
          </w:rPr>
          <w:t>luisfelipe.aching@aching.com</w:t>
        </w:r>
      </w:hyperlink>
      <w:r w:rsidR="00F04834" w:rsidRPr="00F04834">
        <w:rPr>
          <w:rFonts w:ascii="Arial" w:hAnsi="Arial" w:cs="Arial"/>
          <w:bCs/>
        </w:rPr>
        <w:t xml:space="preserve"> </w:t>
      </w:r>
      <w:r w:rsidR="00A94DBD" w:rsidRPr="00F04834">
        <w:rPr>
          <w:rFonts w:ascii="Arial" w:hAnsi="Arial" w:cs="Arial"/>
          <w:bCs/>
        </w:rPr>
        <w:t xml:space="preserve"> </w:t>
      </w:r>
      <w:r w:rsidR="00A94DBD">
        <w:rPr>
          <w:rFonts w:ascii="Arial" w:hAnsi="Arial" w:cs="Arial"/>
          <w:b/>
        </w:rPr>
        <w:t xml:space="preserve"> </w:t>
      </w:r>
      <w:r w:rsidRPr="00FA4FA0">
        <w:rPr>
          <w:rFonts w:ascii="Arial" w:hAnsi="Arial" w:cs="Arial"/>
          <w:b/>
        </w:rPr>
        <w:t>Celular:</w:t>
      </w:r>
      <w:r>
        <w:rPr>
          <w:rFonts w:ascii="Arial" w:hAnsi="Arial" w:cs="Arial"/>
        </w:rPr>
        <w:t>989274000</w:t>
      </w:r>
    </w:p>
    <w:p w14:paraId="3BFEF25B" w14:textId="784B6534" w:rsidR="00D6365C" w:rsidRPr="003E14BB" w:rsidRDefault="00D6365C" w:rsidP="00D6365C">
      <w:pPr>
        <w:pStyle w:val="Textoindependiente"/>
        <w:spacing w:before="2" w:line="360" w:lineRule="auto"/>
        <w:ind w:left="1"/>
        <w:jc w:val="both"/>
        <w:rPr>
          <w:rFonts w:ascii="Arial" w:hAnsi="Arial" w:cs="Arial"/>
          <w:bCs/>
          <w:sz w:val="22"/>
          <w:szCs w:val="22"/>
        </w:rPr>
      </w:pPr>
      <w:r w:rsidRPr="00FA4FA0">
        <w:rPr>
          <w:rFonts w:ascii="Arial" w:hAnsi="Arial" w:cs="Arial"/>
          <w:b/>
          <w:sz w:val="22"/>
          <w:szCs w:val="22"/>
        </w:rPr>
        <w:t xml:space="preserve">Palabras claves: </w:t>
      </w:r>
      <w:r w:rsidRPr="003E14BB">
        <w:rPr>
          <w:rFonts w:ascii="Arial" w:hAnsi="Arial" w:cs="Arial"/>
          <w:bCs/>
          <w:sz w:val="22"/>
          <w:szCs w:val="22"/>
        </w:rPr>
        <w:t xml:space="preserve">Descarbonización / </w:t>
      </w:r>
      <w:r w:rsidR="00A76E9B">
        <w:rPr>
          <w:rFonts w:ascii="Arial" w:hAnsi="Arial" w:cs="Arial"/>
          <w:bCs/>
          <w:sz w:val="22"/>
          <w:szCs w:val="22"/>
        </w:rPr>
        <w:t>Green Copper /</w:t>
      </w:r>
      <w:r w:rsidR="005A1F47">
        <w:rPr>
          <w:rFonts w:ascii="Arial" w:hAnsi="Arial" w:cs="Arial"/>
          <w:bCs/>
          <w:sz w:val="22"/>
          <w:szCs w:val="22"/>
        </w:rPr>
        <w:t>Alcance</w:t>
      </w:r>
      <w:r w:rsidR="007B1F1A">
        <w:rPr>
          <w:rFonts w:ascii="Arial" w:hAnsi="Arial" w:cs="Arial"/>
          <w:bCs/>
          <w:sz w:val="22"/>
          <w:szCs w:val="22"/>
        </w:rPr>
        <w:t>3 /</w:t>
      </w:r>
      <w:r w:rsidRPr="003E14BB">
        <w:rPr>
          <w:rFonts w:ascii="Arial" w:hAnsi="Arial" w:cs="Arial"/>
          <w:bCs/>
          <w:sz w:val="22"/>
          <w:szCs w:val="22"/>
        </w:rPr>
        <w:t xml:space="preserve">Hidrógeno verde y derivados/ </w:t>
      </w:r>
    </w:p>
    <w:p w14:paraId="3EA45524" w14:textId="77777777" w:rsidR="00D6365C" w:rsidRPr="00D15263" w:rsidRDefault="00D6365C" w:rsidP="00D6365C">
      <w:pPr>
        <w:pStyle w:val="Textoindependiente"/>
        <w:spacing w:before="30" w:line="360" w:lineRule="auto"/>
        <w:ind w:left="1" w:right="141"/>
        <w:jc w:val="both"/>
        <w:rPr>
          <w:rFonts w:ascii="Arial" w:hAnsi="Arial" w:cs="Arial"/>
          <w:b/>
          <w:bCs/>
          <w:sz w:val="22"/>
          <w:szCs w:val="22"/>
        </w:rPr>
      </w:pPr>
      <w:r w:rsidRPr="00D15263">
        <w:rPr>
          <w:rFonts w:ascii="Arial" w:hAnsi="Arial" w:cs="Arial"/>
          <w:b/>
          <w:bCs/>
          <w:sz w:val="22"/>
          <w:szCs w:val="22"/>
        </w:rPr>
        <w:t>1.- El Contexto</w:t>
      </w:r>
    </w:p>
    <w:p w14:paraId="114B1D60" w14:textId="344616EB" w:rsidR="00D6365C" w:rsidRDefault="00D6365C" w:rsidP="00D6365C">
      <w:pPr>
        <w:pStyle w:val="Textoindependiente"/>
        <w:spacing w:before="30" w:line="360" w:lineRule="auto"/>
        <w:ind w:left="1" w:right="141"/>
        <w:jc w:val="both"/>
        <w:rPr>
          <w:rFonts w:ascii="Arial" w:hAnsi="Arial" w:cs="Arial"/>
          <w:sz w:val="22"/>
          <w:szCs w:val="22"/>
        </w:rPr>
      </w:pPr>
      <w:r>
        <w:rPr>
          <w:rFonts w:ascii="Arial" w:hAnsi="Arial" w:cs="Arial"/>
          <w:sz w:val="22"/>
          <w:szCs w:val="22"/>
        </w:rPr>
        <w:t xml:space="preserve">Perú cuenta con los niveles de radiación solar más altos del mundo (zona sur), que lo posiciona </w:t>
      </w:r>
      <w:r w:rsidR="00491D7F">
        <w:rPr>
          <w:rFonts w:ascii="Arial" w:hAnsi="Arial" w:cs="Arial"/>
          <w:sz w:val="22"/>
          <w:szCs w:val="22"/>
        </w:rPr>
        <w:t>co</w:t>
      </w:r>
      <w:r w:rsidR="002B468D">
        <w:rPr>
          <w:rFonts w:ascii="Arial" w:hAnsi="Arial" w:cs="Arial"/>
          <w:sz w:val="22"/>
          <w:szCs w:val="22"/>
        </w:rPr>
        <w:t xml:space="preserve">n los potenciales </w:t>
      </w:r>
      <w:r>
        <w:rPr>
          <w:rFonts w:ascii="Arial" w:hAnsi="Arial" w:cs="Arial"/>
          <w:sz w:val="22"/>
          <w:szCs w:val="22"/>
        </w:rPr>
        <w:t xml:space="preserve">costos de producción más bajos de hidrógeno verde, </w:t>
      </w:r>
      <w:r w:rsidR="00F826B7">
        <w:rPr>
          <w:rFonts w:ascii="Arial" w:hAnsi="Arial" w:cs="Arial"/>
          <w:sz w:val="22"/>
          <w:szCs w:val="22"/>
        </w:rPr>
        <w:t xml:space="preserve">atributo </w:t>
      </w:r>
      <w:r>
        <w:rPr>
          <w:rFonts w:ascii="Arial" w:hAnsi="Arial" w:cs="Arial"/>
          <w:sz w:val="22"/>
          <w:szCs w:val="22"/>
        </w:rPr>
        <w:t xml:space="preserve">compartido con algunos países de la región como Chile. Este potencial fue confirmado por un </w:t>
      </w:r>
      <w:r w:rsidR="00874080">
        <w:rPr>
          <w:rFonts w:ascii="Arial" w:hAnsi="Arial" w:cs="Arial"/>
          <w:sz w:val="22"/>
          <w:szCs w:val="22"/>
        </w:rPr>
        <w:t xml:space="preserve">estudio </w:t>
      </w:r>
      <w:r>
        <w:rPr>
          <w:rFonts w:ascii="Arial" w:hAnsi="Arial" w:cs="Arial"/>
          <w:sz w:val="22"/>
          <w:szCs w:val="22"/>
        </w:rPr>
        <w:t>nacional, realizado por la asociación hidrógeno Perú (h2 Perú) en el 2019, señal</w:t>
      </w:r>
      <w:r w:rsidR="00EE78DD">
        <w:rPr>
          <w:rFonts w:ascii="Arial" w:hAnsi="Arial" w:cs="Arial"/>
          <w:sz w:val="22"/>
          <w:szCs w:val="22"/>
        </w:rPr>
        <w:t xml:space="preserve">ándose </w:t>
      </w:r>
      <w:r>
        <w:rPr>
          <w:rFonts w:ascii="Arial" w:hAnsi="Arial" w:cs="Arial"/>
          <w:sz w:val="22"/>
          <w:szCs w:val="22"/>
        </w:rPr>
        <w:t>que la zona sur del país era la más expectante</w:t>
      </w:r>
      <w:r w:rsidR="0096018D">
        <w:rPr>
          <w:rFonts w:ascii="Arial" w:hAnsi="Arial" w:cs="Arial"/>
          <w:sz w:val="22"/>
          <w:szCs w:val="22"/>
        </w:rPr>
        <w:t>, que</w:t>
      </w:r>
      <w:r w:rsidR="00D5729A">
        <w:rPr>
          <w:rFonts w:ascii="Arial" w:hAnsi="Arial" w:cs="Arial"/>
          <w:sz w:val="22"/>
          <w:szCs w:val="22"/>
        </w:rPr>
        <w:t xml:space="preserve"> además</w:t>
      </w:r>
      <w:r>
        <w:rPr>
          <w:rFonts w:ascii="Arial" w:hAnsi="Arial" w:cs="Arial"/>
          <w:sz w:val="22"/>
          <w:szCs w:val="22"/>
        </w:rPr>
        <w:t xml:space="preserve"> coincidía con zonas industrializadas</w:t>
      </w:r>
      <w:r w:rsidR="00AF3351">
        <w:rPr>
          <w:rFonts w:ascii="Arial" w:hAnsi="Arial" w:cs="Arial"/>
          <w:sz w:val="22"/>
          <w:szCs w:val="22"/>
        </w:rPr>
        <w:t xml:space="preserve">, predominantemente </w:t>
      </w:r>
      <w:r>
        <w:rPr>
          <w:rFonts w:ascii="Arial" w:hAnsi="Arial" w:cs="Arial"/>
          <w:sz w:val="22"/>
          <w:szCs w:val="22"/>
        </w:rPr>
        <w:t>miner</w:t>
      </w:r>
      <w:r w:rsidR="00AF3351">
        <w:rPr>
          <w:rFonts w:ascii="Arial" w:hAnsi="Arial" w:cs="Arial"/>
          <w:sz w:val="22"/>
          <w:szCs w:val="22"/>
        </w:rPr>
        <w:t>as</w:t>
      </w:r>
      <w:r>
        <w:rPr>
          <w:rFonts w:ascii="Arial" w:hAnsi="Arial" w:cs="Arial"/>
          <w:sz w:val="22"/>
          <w:szCs w:val="22"/>
        </w:rPr>
        <w:t>. A partir de esos hallazgos</w:t>
      </w:r>
      <w:r w:rsidR="00C96F35">
        <w:rPr>
          <w:rFonts w:ascii="Arial" w:hAnsi="Arial" w:cs="Arial"/>
          <w:sz w:val="22"/>
          <w:szCs w:val="22"/>
        </w:rPr>
        <w:t>,</w:t>
      </w:r>
      <w:r>
        <w:rPr>
          <w:rFonts w:ascii="Arial" w:hAnsi="Arial" w:cs="Arial"/>
          <w:sz w:val="22"/>
          <w:szCs w:val="22"/>
        </w:rPr>
        <w:t xml:space="preserve"> en el 2022 se realizó el estudio para definir el valle del sur del hidrógeno y </w:t>
      </w:r>
      <w:r w:rsidR="00900059">
        <w:rPr>
          <w:rFonts w:ascii="Arial" w:hAnsi="Arial" w:cs="Arial"/>
          <w:sz w:val="22"/>
          <w:szCs w:val="22"/>
        </w:rPr>
        <w:t xml:space="preserve">determinar </w:t>
      </w:r>
      <w:r>
        <w:rPr>
          <w:rFonts w:ascii="Arial" w:hAnsi="Arial" w:cs="Arial"/>
          <w:sz w:val="22"/>
          <w:szCs w:val="22"/>
        </w:rPr>
        <w:t xml:space="preserve">los departamentos que lo conforman (05 departamentos y 06 hubs), realizado por Moquegua Crece, donde además se menciona que la adopción de esta tecnología resultaba más relevante para el sector minero, por sus características y necesidades de aplicar soluciones efectivas de descarbonización en el mediano y largo plazo, </w:t>
      </w:r>
      <w:r w:rsidR="007D7DFB">
        <w:rPr>
          <w:rFonts w:ascii="Arial" w:hAnsi="Arial" w:cs="Arial"/>
          <w:sz w:val="22"/>
          <w:szCs w:val="22"/>
        </w:rPr>
        <w:t xml:space="preserve">debido </w:t>
      </w:r>
      <w:r w:rsidR="00770378">
        <w:rPr>
          <w:rFonts w:ascii="Arial" w:hAnsi="Arial" w:cs="Arial"/>
          <w:sz w:val="22"/>
          <w:szCs w:val="22"/>
        </w:rPr>
        <w:t>una mayor</w:t>
      </w:r>
      <w:r>
        <w:rPr>
          <w:rFonts w:ascii="Arial" w:hAnsi="Arial" w:cs="Arial"/>
          <w:sz w:val="22"/>
          <w:szCs w:val="22"/>
        </w:rPr>
        <w:t xml:space="preserve"> presión de </w:t>
      </w:r>
      <w:r w:rsidR="00B74BD6">
        <w:rPr>
          <w:rFonts w:ascii="Arial" w:hAnsi="Arial" w:cs="Arial"/>
          <w:sz w:val="22"/>
          <w:szCs w:val="22"/>
        </w:rPr>
        <w:t>sus</w:t>
      </w:r>
      <w:r>
        <w:rPr>
          <w:rFonts w:ascii="Arial" w:hAnsi="Arial" w:cs="Arial"/>
          <w:sz w:val="22"/>
          <w:szCs w:val="22"/>
        </w:rPr>
        <w:t xml:space="preserve"> clientes por minerales limpios, </w:t>
      </w:r>
      <w:r w:rsidR="001F3A31">
        <w:rPr>
          <w:rFonts w:ascii="Arial" w:hAnsi="Arial" w:cs="Arial"/>
          <w:sz w:val="22"/>
          <w:szCs w:val="22"/>
        </w:rPr>
        <w:t>específicamente el</w:t>
      </w:r>
      <w:r>
        <w:rPr>
          <w:rFonts w:ascii="Arial" w:hAnsi="Arial" w:cs="Arial"/>
          <w:sz w:val="22"/>
          <w:szCs w:val="22"/>
        </w:rPr>
        <w:t xml:space="preserve"> cobre, </w:t>
      </w:r>
      <w:r w:rsidR="001F3A31">
        <w:rPr>
          <w:rFonts w:ascii="Arial" w:hAnsi="Arial" w:cs="Arial"/>
          <w:sz w:val="22"/>
          <w:szCs w:val="22"/>
        </w:rPr>
        <w:t xml:space="preserve">al </w:t>
      </w:r>
      <w:r>
        <w:rPr>
          <w:rFonts w:ascii="Arial" w:hAnsi="Arial" w:cs="Arial"/>
          <w:sz w:val="22"/>
          <w:szCs w:val="22"/>
        </w:rPr>
        <w:t>ser un material crítico relacionado a la transición energética</w:t>
      </w:r>
      <w:r w:rsidR="001F3A31">
        <w:rPr>
          <w:rFonts w:ascii="Arial" w:hAnsi="Arial" w:cs="Arial"/>
          <w:sz w:val="22"/>
          <w:szCs w:val="22"/>
        </w:rPr>
        <w:t xml:space="preserve"> por </w:t>
      </w:r>
      <w:r w:rsidR="00C166AF">
        <w:rPr>
          <w:rFonts w:ascii="Arial" w:hAnsi="Arial" w:cs="Arial"/>
          <w:sz w:val="22"/>
          <w:szCs w:val="22"/>
        </w:rPr>
        <w:t>lo que debe ser consecuente con esta.</w:t>
      </w:r>
      <w:r w:rsidR="00524374">
        <w:rPr>
          <w:rFonts w:ascii="Arial" w:hAnsi="Arial" w:cs="Arial"/>
          <w:sz w:val="22"/>
          <w:szCs w:val="22"/>
        </w:rPr>
        <w:t xml:space="preserve"> </w:t>
      </w:r>
      <w:r>
        <w:rPr>
          <w:rFonts w:ascii="Arial" w:hAnsi="Arial" w:cs="Arial"/>
          <w:sz w:val="22"/>
          <w:szCs w:val="22"/>
        </w:rPr>
        <w:t xml:space="preserve">Recientemente se cuenta con la calculadora de emisiones </w:t>
      </w:r>
      <w:r w:rsidR="008843D1">
        <w:rPr>
          <w:rFonts w:ascii="Arial" w:hAnsi="Arial" w:cs="Arial"/>
          <w:sz w:val="22"/>
          <w:szCs w:val="22"/>
        </w:rPr>
        <w:t xml:space="preserve">de CO2 </w:t>
      </w:r>
      <w:r>
        <w:rPr>
          <w:rFonts w:ascii="Arial" w:hAnsi="Arial" w:cs="Arial"/>
          <w:sz w:val="22"/>
          <w:szCs w:val="22"/>
        </w:rPr>
        <w:t xml:space="preserve">del cobre en Perú y se conoce que las emisiones </w:t>
      </w:r>
      <w:r w:rsidR="00DB3DF5">
        <w:rPr>
          <w:rFonts w:ascii="Arial" w:hAnsi="Arial" w:cs="Arial"/>
          <w:sz w:val="22"/>
          <w:szCs w:val="22"/>
        </w:rPr>
        <w:t xml:space="preserve">de carbono </w:t>
      </w:r>
      <w:r>
        <w:rPr>
          <w:rFonts w:ascii="Arial" w:hAnsi="Arial" w:cs="Arial"/>
          <w:sz w:val="22"/>
          <w:szCs w:val="22"/>
        </w:rPr>
        <w:t xml:space="preserve">de alcance 1 y 2 representan cerca del 27%, </w:t>
      </w:r>
      <w:r w:rsidR="00391B52">
        <w:rPr>
          <w:rFonts w:ascii="Arial" w:hAnsi="Arial" w:cs="Arial"/>
          <w:sz w:val="22"/>
          <w:szCs w:val="22"/>
        </w:rPr>
        <w:t xml:space="preserve">siendo estas </w:t>
      </w:r>
      <w:r>
        <w:rPr>
          <w:rFonts w:ascii="Arial" w:hAnsi="Arial" w:cs="Arial"/>
          <w:sz w:val="22"/>
          <w:szCs w:val="22"/>
        </w:rPr>
        <w:t>abordadas actualmente o en planes de hacerlo, también se ha estimado que las emisiones del alcance 3 representan cerca del 63%, lo que revela su importancia y porqué últimamente las certificaciones más importantes como</w:t>
      </w:r>
      <w:r w:rsidR="00E00968">
        <w:rPr>
          <w:rFonts w:ascii="Arial" w:hAnsi="Arial" w:cs="Arial"/>
          <w:sz w:val="22"/>
          <w:szCs w:val="22"/>
        </w:rPr>
        <w:t xml:space="preserve"> </w:t>
      </w:r>
      <w:r>
        <w:rPr>
          <w:rFonts w:ascii="Arial" w:hAnsi="Arial" w:cs="Arial"/>
          <w:sz w:val="22"/>
          <w:szCs w:val="22"/>
        </w:rPr>
        <w:t>Copper Mark e IRMA ya consideran</w:t>
      </w:r>
      <w:r w:rsidR="004B5F72">
        <w:rPr>
          <w:rFonts w:ascii="Arial" w:hAnsi="Arial" w:cs="Arial"/>
          <w:sz w:val="22"/>
          <w:szCs w:val="22"/>
        </w:rPr>
        <w:t xml:space="preserve"> </w:t>
      </w:r>
      <w:r w:rsidR="00DB3DF5">
        <w:rPr>
          <w:rFonts w:ascii="Arial" w:hAnsi="Arial" w:cs="Arial"/>
          <w:sz w:val="22"/>
          <w:szCs w:val="22"/>
        </w:rPr>
        <w:t xml:space="preserve">hacer </w:t>
      </w:r>
      <w:r w:rsidR="004B5F72">
        <w:rPr>
          <w:rFonts w:ascii="Arial" w:hAnsi="Arial" w:cs="Arial"/>
          <w:sz w:val="22"/>
          <w:szCs w:val="22"/>
        </w:rPr>
        <w:t xml:space="preserve">una mejor </w:t>
      </w:r>
      <w:r>
        <w:rPr>
          <w:rFonts w:ascii="Arial" w:hAnsi="Arial" w:cs="Arial"/>
          <w:sz w:val="22"/>
          <w:szCs w:val="22"/>
        </w:rPr>
        <w:lastRenderedPageBreak/>
        <w:t>estima</w:t>
      </w:r>
      <w:r w:rsidR="004B5F72">
        <w:rPr>
          <w:rFonts w:ascii="Arial" w:hAnsi="Arial" w:cs="Arial"/>
          <w:sz w:val="22"/>
          <w:szCs w:val="22"/>
        </w:rPr>
        <w:t xml:space="preserve">ción </w:t>
      </w:r>
      <w:r w:rsidR="00766BE0">
        <w:rPr>
          <w:rFonts w:ascii="Arial" w:hAnsi="Arial" w:cs="Arial"/>
          <w:sz w:val="22"/>
          <w:szCs w:val="22"/>
        </w:rPr>
        <w:t>y una mayor intervención.</w:t>
      </w:r>
    </w:p>
    <w:p w14:paraId="09B2AE0A" w14:textId="6A7E8219" w:rsidR="00D6365C" w:rsidRDefault="00D6365C" w:rsidP="00D6365C">
      <w:pPr>
        <w:pStyle w:val="Textoindependiente"/>
        <w:spacing w:before="30" w:line="360" w:lineRule="auto"/>
        <w:ind w:left="1" w:right="141"/>
        <w:jc w:val="both"/>
        <w:rPr>
          <w:rFonts w:ascii="Arial" w:hAnsi="Arial" w:cs="Arial"/>
          <w:sz w:val="22"/>
          <w:szCs w:val="22"/>
        </w:rPr>
      </w:pPr>
      <w:r>
        <w:rPr>
          <w:rFonts w:ascii="Arial" w:hAnsi="Arial" w:cs="Arial"/>
          <w:sz w:val="22"/>
          <w:szCs w:val="22"/>
        </w:rPr>
        <w:t xml:space="preserve">En este contexto, a pesar de los indicios revelados por los diversos estudios </w:t>
      </w:r>
      <w:r w:rsidR="0028150E">
        <w:rPr>
          <w:rFonts w:ascii="Arial" w:hAnsi="Arial" w:cs="Arial"/>
          <w:sz w:val="22"/>
          <w:szCs w:val="22"/>
        </w:rPr>
        <w:t>realizados</w:t>
      </w:r>
      <w:r w:rsidR="00351653">
        <w:rPr>
          <w:rFonts w:ascii="Arial" w:hAnsi="Arial" w:cs="Arial"/>
          <w:sz w:val="22"/>
          <w:szCs w:val="22"/>
        </w:rPr>
        <w:t xml:space="preserve"> de h2V </w:t>
      </w:r>
      <w:r>
        <w:rPr>
          <w:rFonts w:ascii="Arial" w:hAnsi="Arial" w:cs="Arial"/>
          <w:sz w:val="22"/>
          <w:szCs w:val="22"/>
        </w:rPr>
        <w:t>en Perú, no se contaba con hallazgos precisos y estimaciones de soluciones específicas que sean aplicadas al mercado peruano en el corto y mediano plazo y en el sector minero</w:t>
      </w:r>
      <w:r w:rsidR="00C629DE">
        <w:rPr>
          <w:rFonts w:ascii="Arial" w:hAnsi="Arial" w:cs="Arial"/>
          <w:sz w:val="22"/>
          <w:szCs w:val="22"/>
        </w:rPr>
        <w:t xml:space="preserve">, </w:t>
      </w:r>
      <w:r>
        <w:rPr>
          <w:rFonts w:ascii="Arial" w:hAnsi="Arial" w:cs="Arial"/>
          <w:sz w:val="22"/>
          <w:szCs w:val="22"/>
        </w:rPr>
        <w:t>con el objetivo de descarbonizar la industria</w:t>
      </w:r>
      <w:r w:rsidR="006666E8">
        <w:rPr>
          <w:rFonts w:ascii="Arial" w:hAnsi="Arial" w:cs="Arial"/>
          <w:sz w:val="22"/>
          <w:szCs w:val="22"/>
        </w:rPr>
        <w:t>, aspecto que ha sido abordado por Greenner.</w:t>
      </w:r>
    </w:p>
    <w:p w14:paraId="66C82F1B" w14:textId="77777777" w:rsidR="00D6365C" w:rsidRPr="00D15263" w:rsidRDefault="00D6365C" w:rsidP="00D6365C">
      <w:pPr>
        <w:pStyle w:val="Textoindependiente"/>
        <w:spacing w:line="360" w:lineRule="auto"/>
        <w:ind w:left="1"/>
        <w:rPr>
          <w:rFonts w:ascii="Arial" w:hAnsi="Arial" w:cs="Arial"/>
          <w:b/>
          <w:bCs/>
          <w:sz w:val="22"/>
          <w:szCs w:val="22"/>
        </w:rPr>
      </w:pPr>
      <w:r w:rsidRPr="00D15263">
        <w:rPr>
          <w:rFonts w:ascii="Arial" w:hAnsi="Arial" w:cs="Arial"/>
          <w:b/>
          <w:bCs/>
          <w:sz w:val="22"/>
          <w:szCs w:val="22"/>
        </w:rPr>
        <w:t xml:space="preserve">2.- Objetivos </w:t>
      </w:r>
    </w:p>
    <w:p w14:paraId="28C4101A" w14:textId="4687F78D" w:rsidR="00D6365C" w:rsidRDefault="00D6365C" w:rsidP="00D6365C">
      <w:pPr>
        <w:pStyle w:val="Textoindependiente"/>
        <w:numPr>
          <w:ilvl w:val="0"/>
          <w:numId w:val="2"/>
        </w:numPr>
        <w:spacing w:line="360" w:lineRule="auto"/>
        <w:rPr>
          <w:rFonts w:ascii="Arial" w:hAnsi="Arial" w:cs="Arial"/>
          <w:sz w:val="22"/>
          <w:szCs w:val="22"/>
        </w:rPr>
      </w:pPr>
      <w:r>
        <w:rPr>
          <w:rFonts w:ascii="Arial" w:hAnsi="Arial" w:cs="Arial"/>
          <w:sz w:val="22"/>
          <w:szCs w:val="22"/>
        </w:rPr>
        <w:t>Analizar costos y realizar benchmarking de principales productos de hidrógeno verde con uso potencial en minería.</w:t>
      </w:r>
    </w:p>
    <w:p w14:paraId="04AA8180" w14:textId="77777777" w:rsidR="00D6365C" w:rsidRDefault="00D6365C" w:rsidP="00D6365C">
      <w:pPr>
        <w:pStyle w:val="Textoindependiente"/>
        <w:numPr>
          <w:ilvl w:val="0"/>
          <w:numId w:val="2"/>
        </w:numPr>
        <w:spacing w:line="360" w:lineRule="auto"/>
        <w:rPr>
          <w:rFonts w:ascii="Arial" w:hAnsi="Arial" w:cs="Arial"/>
          <w:sz w:val="22"/>
          <w:szCs w:val="22"/>
        </w:rPr>
      </w:pPr>
      <w:r>
        <w:rPr>
          <w:rFonts w:ascii="Arial" w:hAnsi="Arial" w:cs="Arial"/>
          <w:sz w:val="22"/>
          <w:szCs w:val="22"/>
        </w:rPr>
        <w:t>Definir los productos y procesos en los cuales el hidrógeno verde (h2v) y sus derivados pueden ser utilizados en el corto plazo en minería.</w:t>
      </w:r>
    </w:p>
    <w:p w14:paraId="1C36CCFD" w14:textId="77777777" w:rsidR="00D6365C" w:rsidRDefault="00D6365C" w:rsidP="00D6365C">
      <w:pPr>
        <w:pStyle w:val="Textoindependiente"/>
        <w:numPr>
          <w:ilvl w:val="0"/>
          <w:numId w:val="2"/>
        </w:numPr>
        <w:spacing w:line="360" w:lineRule="auto"/>
        <w:rPr>
          <w:rFonts w:ascii="Arial" w:hAnsi="Arial" w:cs="Arial"/>
          <w:sz w:val="22"/>
          <w:szCs w:val="22"/>
        </w:rPr>
      </w:pPr>
      <w:r>
        <w:rPr>
          <w:rFonts w:ascii="Arial" w:hAnsi="Arial" w:cs="Arial"/>
          <w:sz w:val="22"/>
          <w:szCs w:val="22"/>
        </w:rPr>
        <w:t>Estimación de la reducción de emisiones de carbono con la utilización del h2v en soluciones comprobadas para minería.</w:t>
      </w:r>
    </w:p>
    <w:p w14:paraId="7D62D64E" w14:textId="77777777" w:rsidR="00D6365C" w:rsidRDefault="00D6365C" w:rsidP="00D6365C">
      <w:pPr>
        <w:pStyle w:val="Textoindependiente"/>
        <w:numPr>
          <w:ilvl w:val="0"/>
          <w:numId w:val="2"/>
        </w:numPr>
        <w:spacing w:line="360" w:lineRule="auto"/>
        <w:rPr>
          <w:rFonts w:ascii="Arial" w:hAnsi="Arial" w:cs="Arial"/>
          <w:sz w:val="22"/>
          <w:szCs w:val="22"/>
        </w:rPr>
      </w:pPr>
      <w:r>
        <w:rPr>
          <w:rFonts w:ascii="Arial" w:hAnsi="Arial" w:cs="Arial"/>
          <w:sz w:val="22"/>
          <w:szCs w:val="22"/>
        </w:rPr>
        <w:t>Estimar el impacto de la reducción de emisiones en la minería de cobre en Perú.</w:t>
      </w:r>
    </w:p>
    <w:p w14:paraId="313EDC67" w14:textId="77777777" w:rsidR="00D6365C" w:rsidRDefault="00D6365C" w:rsidP="00D6365C">
      <w:pPr>
        <w:pStyle w:val="Textoindependiente"/>
        <w:spacing w:before="1" w:line="360" w:lineRule="auto"/>
        <w:ind w:left="1"/>
        <w:rPr>
          <w:rFonts w:ascii="Arial" w:hAnsi="Arial" w:cs="Arial"/>
          <w:b/>
          <w:bCs/>
          <w:sz w:val="22"/>
          <w:szCs w:val="22"/>
        </w:rPr>
      </w:pPr>
      <w:r w:rsidRPr="00D15263">
        <w:rPr>
          <w:rFonts w:ascii="Arial" w:hAnsi="Arial" w:cs="Arial"/>
          <w:b/>
          <w:bCs/>
          <w:sz w:val="22"/>
          <w:szCs w:val="22"/>
        </w:rPr>
        <w:t xml:space="preserve">3.-Metodología </w:t>
      </w:r>
    </w:p>
    <w:p w14:paraId="539A20CD" w14:textId="2E50E3DD" w:rsidR="00D6365C" w:rsidRPr="009D69EA" w:rsidRDefault="00D6365C" w:rsidP="00D6365C">
      <w:pPr>
        <w:pStyle w:val="Textoindependiente"/>
        <w:spacing w:before="1" w:line="360" w:lineRule="auto"/>
        <w:ind w:left="1"/>
        <w:jc w:val="both"/>
        <w:rPr>
          <w:rFonts w:ascii="Arial" w:hAnsi="Arial" w:cs="Arial"/>
          <w:sz w:val="22"/>
          <w:szCs w:val="22"/>
        </w:rPr>
      </w:pPr>
      <w:r w:rsidRPr="009D69EA">
        <w:rPr>
          <w:rFonts w:ascii="Arial" w:hAnsi="Arial" w:cs="Arial"/>
          <w:sz w:val="22"/>
          <w:szCs w:val="22"/>
        </w:rPr>
        <w:t xml:space="preserve">Para definir costos en la cadena de valor del hidrogeno y en sus derivados, se tuvo que realizar </w:t>
      </w:r>
      <w:r w:rsidR="00E75A33">
        <w:rPr>
          <w:rFonts w:ascii="Arial" w:hAnsi="Arial" w:cs="Arial"/>
          <w:sz w:val="22"/>
          <w:szCs w:val="22"/>
        </w:rPr>
        <w:t xml:space="preserve">el </w:t>
      </w:r>
      <w:r w:rsidRPr="009D69EA">
        <w:rPr>
          <w:rFonts w:ascii="Arial" w:hAnsi="Arial" w:cs="Arial"/>
          <w:sz w:val="22"/>
          <w:szCs w:val="22"/>
        </w:rPr>
        <w:t>planteamiento de un caso real de negocio, para que a partir de allí se establezcan CAPEX y OPEX y en base a ello se analicen resultados financieros, que son quienes definirían la oportunidad de productos de hidrogeno en el horizonte del tiempo.</w:t>
      </w:r>
    </w:p>
    <w:p w14:paraId="5AE939F4" w14:textId="2CA56285" w:rsidR="00D6365C" w:rsidRPr="009D69EA" w:rsidRDefault="00D6365C" w:rsidP="00D6365C">
      <w:pPr>
        <w:pStyle w:val="Textoindependiente"/>
        <w:spacing w:before="1" w:line="360" w:lineRule="auto"/>
        <w:ind w:left="1"/>
        <w:jc w:val="both"/>
        <w:rPr>
          <w:rFonts w:ascii="Arial" w:hAnsi="Arial" w:cs="Arial"/>
          <w:sz w:val="22"/>
          <w:szCs w:val="22"/>
        </w:rPr>
      </w:pPr>
      <w:r w:rsidRPr="009D69EA">
        <w:rPr>
          <w:rFonts w:ascii="Arial" w:hAnsi="Arial" w:cs="Arial"/>
          <w:sz w:val="22"/>
          <w:szCs w:val="22"/>
        </w:rPr>
        <w:t xml:space="preserve">El análisis del caso de negocio fue configurado en el departamento de Moquegua, </w:t>
      </w:r>
      <w:r w:rsidR="00882AE4">
        <w:rPr>
          <w:rFonts w:ascii="Arial" w:hAnsi="Arial" w:cs="Arial"/>
          <w:sz w:val="22"/>
          <w:szCs w:val="22"/>
        </w:rPr>
        <w:t xml:space="preserve">ya que </w:t>
      </w:r>
      <w:r w:rsidR="00405715">
        <w:rPr>
          <w:rFonts w:ascii="Arial" w:hAnsi="Arial" w:cs="Arial"/>
          <w:sz w:val="22"/>
          <w:szCs w:val="22"/>
        </w:rPr>
        <w:t>estudios anteriores lo consideraron dentro del</w:t>
      </w:r>
      <w:r w:rsidRPr="009D69EA">
        <w:rPr>
          <w:rFonts w:ascii="Arial" w:hAnsi="Arial" w:cs="Arial"/>
          <w:sz w:val="22"/>
          <w:szCs w:val="22"/>
        </w:rPr>
        <w:t xml:space="preserve"> </w:t>
      </w:r>
      <w:r w:rsidR="00405715">
        <w:rPr>
          <w:rFonts w:ascii="Arial" w:hAnsi="Arial" w:cs="Arial"/>
          <w:sz w:val="22"/>
          <w:szCs w:val="22"/>
        </w:rPr>
        <w:t>¨V</w:t>
      </w:r>
      <w:r w:rsidRPr="009D69EA">
        <w:rPr>
          <w:rFonts w:ascii="Arial" w:hAnsi="Arial" w:cs="Arial"/>
          <w:sz w:val="22"/>
          <w:szCs w:val="22"/>
        </w:rPr>
        <w:t>alle sur del hidrogeno en Per</w:t>
      </w:r>
      <w:r w:rsidR="00405715">
        <w:rPr>
          <w:rFonts w:ascii="Arial" w:hAnsi="Arial" w:cs="Arial"/>
          <w:sz w:val="22"/>
          <w:szCs w:val="22"/>
        </w:rPr>
        <w:t>ú¨</w:t>
      </w:r>
      <w:r w:rsidR="00E950D9">
        <w:rPr>
          <w:rFonts w:ascii="Arial" w:hAnsi="Arial" w:cs="Arial"/>
          <w:sz w:val="22"/>
          <w:szCs w:val="22"/>
        </w:rPr>
        <w:t xml:space="preserve"> así como a otros 0</w:t>
      </w:r>
      <w:r w:rsidR="00D06C06">
        <w:rPr>
          <w:rFonts w:ascii="Arial" w:hAnsi="Arial" w:cs="Arial"/>
          <w:sz w:val="22"/>
          <w:szCs w:val="22"/>
        </w:rPr>
        <w:t>4</w:t>
      </w:r>
      <w:r w:rsidR="00E950D9">
        <w:rPr>
          <w:rFonts w:ascii="Arial" w:hAnsi="Arial" w:cs="Arial"/>
          <w:sz w:val="22"/>
          <w:szCs w:val="22"/>
        </w:rPr>
        <w:t xml:space="preserve"> </w:t>
      </w:r>
      <w:r w:rsidRPr="009D69EA">
        <w:rPr>
          <w:rFonts w:ascii="Arial" w:hAnsi="Arial" w:cs="Arial"/>
          <w:sz w:val="22"/>
          <w:szCs w:val="22"/>
        </w:rPr>
        <w:t xml:space="preserve">departamentos, sin embargo para el caso minero Moquegua tiene una particular relevancia, puesto que una planta ubicada allí, tendría un radio de distancia </w:t>
      </w:r>
      <w:r w:rsidR="00481C57">
        <w:rPr>
          <w:rFonts w:ascii="Arial" w:hAnsi="Arial" w:cs="Arial"/>
          <w:sz w:val="22"/>
          <w:szCs w:val="22"/>
        </w:rPr>
        <w:t xml:space="preserve">no mayor a </w:t>
      </w:r>
      <w:r w:rsidRPr="009D69EA">
        <w:rPr>
          <w:rFonts w:ascii="Arial" w:hAnsi="Arial" w:cs="Arial"/>
          <w:sz w:val="22"/>
          <w:szCs w:val="22"/>
        </w:rPr>
        <w:t>250 km</w:t>
      </w:r>
      <w:r w:rsidR="00147E31">
        <w:rPr>
          <w:rFonts w:ascii="Arial" w:hAnsi="Arial" w:cs="Arial"/>
          <w:sz w:val="22"/>
          <w:szCs w:val="22"/>
        </w:rPr>
        <w:t xml:space="preserve">, </w:t>
      </w:r>
      <w:r w:rsidR="008706C7">
        <w:rPr>
          <w:rFonts w:ascii="Arial" w:hAnsi="Arial" w:cs="Arial"/>
          <w:sz w:val="22"/>
          <w:szCs w:val="22"/>
        </w:rPr>
        <w:t>a</w:t>
      </w:r>
      <w:r w:rsidR="00147E31">
        <w:rPr>
          <w:rFonts w:ascii="Arial" w:hAnsi="Arial" w:cs="Arial"/>
          <w:sz w:val="22"/>
          <w:szCs w:val="22"/>
        </w:rPr>
        <w:t xml:space="preserve"> las principales </w:t>
      </w:r>
      <w:r w:rsidR="00FC59A1">
        <w:rPr>
          <w:rFonts w:ascii="Arial" w:hAnsi="Arial" w:cs="Arial"/>
          <w:sz w:val="22"/>
          <w:szCs w:val="22"/>
        </w:rPr>
        <w:t>minas de cobre</w:t>
      </w:r>
      <w:r w:rsidRPr="009D69EA">
        <w:rPr>
          <w:rFonts w:ascii="Arial" w:hAnsi="Arial" w:cs="Arial"/>
          <w:sz w:val="22"/>
          <w:szCs w:val="22"/>
        </w:rPr>
        <w:t>,</w:t>
      </w:r>
      <w:r w:rsidR="00FC59A1">
        <w:rPr>
          <w:rFonts w:ascii="Arial" w:hAnsi="Arial" w:cs="Arial"/>
          <w:sz w:val="22"/>
          <w:szCs w:val="22"/>
        </w:rPr>
        <w:t xml:space="preserve"> manteniendo costos competitivos al incluir </w:t>
      </w:r>
      <w:r w:rsidR="007D3F3A">
        <w:rPr>
          <w:rFonts w:ascii="Arial" w:hAnsi="Arial" w:cs="Arial"/>
          <w:sz w:val="22"/>
          <w:szCs w:val="22"/>
        </w:rPr>
        <w:t>el</w:t>
      </w:r>
      <w:r w:rsidRPr="009D69EA">
        <w:rPr>
          <w:rFonts w:ascii="Arial" w:hAnsi="Arial" w:cs="Arial"/>
          <w:sz w:val="22"/>
          <w:szCs w:val="22"/>
        </w:rPr>
        <w:t xml:space="preserve"> transporte</w:t>
      </w:r>
      <w:r w:rsidR="007D3F3A">
        <w:rPr>
          <w:rFonts w:ascii="Arial" w:hAnsi="Arial" w:cs="Arial"/>
          <w:sz w:val="22"/>
          <w:szCs w:val="22"/>
        </w:rPr>
        <w:t xml:space="preserve"> </w:t>
      </w:r>
      <w:r w:rsidR="008706C7">
        <w:rPr>
          <w:rFonts w:ascii="Arial" w:hAnsi="Arial" w:cs="Arial"/>
          <w:sz w:val="22"/>
          <w:szCs w:val="22"/>
        </w:rPr>
        <w:t xml:space="preserve"> (</w:t>
      </w:r>
      <w:r w:rsidR="007D3F3A">
        <w:rPr>
          <w:rFonts w:ascii="Arial" w:hAnsi="Arial" w:cs="Arial"/>
          <w:sz w:val="22"/>
          <w:szCs w:val="22"/>
        </w:rPr>
        <w:t>7% -15%</w:t>
      </w:r>
      <w:r w:rsidR="008706C7">
        <w:rPr>
          <w:rFonts w:ascii="Arial" w:hAnsi="Arial" w:cs="Arial"/>
          <w:sz w:val="22"/>
          <w:szCs w:val="22"/>
        </w:rPr>
        <w:t xml:space="preserve"> del costo total</w:t>
      </w:r>
      <w:r w:rsidR="007D3F3A">
        <w:rPr>
          <w:rFonts w:ascii="Arial" w:hAnsi="Arial" w:cs="Arial"/>
          <w:sz w:val="22"/>
          <w:szCs w:val="22"/>
        </w:rPr>
        <w:t>)</w:t>
      </w:r>
      <w:r w:rsidR="005558C9">
        <w:rPr>
          <w:rFonts w:ascii="Arial" w:hAnsi="Arial" w:cs="Arial"/>
          <w:sz w:val="22"/>
          <w:szCs w:val="22"/>
        </w:rPr>
        <w:t xml:space="preserve">, con atención inclusive a departamentos </w:t>
      </w:r>
      <w:r w:rsidRPr="009D69EA">
        <w:rPr>
          <w:rFonts w:ascii="Arial" w:hAnsi="Arial" w:cs="Arial"/>
          <w:sz w:val="22"/>
          <w:szCs w:val="22"/>
        </w:rPr>
        <w:t>cercanos como Arequipa y Tacna.</w:t>
      </w:r>
    </w:p>
    <w:p w14:paraId="40612B8B" w14:textId="4DF77A72" w:rsidR="00D6365C" w:rsidRDefault="00D6365C" w:rsidP="003041F7">
      <w:pPr>
        <w:pStyle w:val="Textoindependiente"/>
        <w:spacing w:before="1" w:line="360" w:lineRule="auto"/>
        <w:ind w:left="1"/>
        <w:jc w:val="both"/>
        <w:rPr>
          <w:rFonts w:ascii="Arial" w:hAnsi="Arial" w:cs="Arial"/>
          <w:sz w:val="22"/>
          <w:szCs w:val="22"/>
        </w:rPr>
      </w:pPr>
      <w:r w:rsidRPr="003705E0">
        <w:rPr>
          <w:rFonts w:ascii="Arial" w:hAnsi="Arial" w:cs="Arial"/>
          <w:sz w:val="22"/>
          <w:szCs w:val="22"/>
        </w:rPr>
        <w:t xml:space="preserve">Para el análisis se consideró </w:t>
      </w:r>
      <w:r w:rsidR="00085C4F">
        <w:rPr>
          <w:rFonts w:ascii="Arial" w:hAnsi="Arial" w:cs="Arial"/>
          <w:sz w:val="22"/>
          <w:szCs w:val="22"/>
        </w:rPr>
        <w:t xml:space="preserve">estimar la </w:t>
      </w:r>
      <w:r w:rsidRPr="003705E0">
        <w:rPr>
          <w:rFonts w:ascii="Arial" w:hAnsi="Arial" w:cs="Arial"/>
          <w:sz w:val="22"/>
          <w:szCs w:val="22"/>
        </w:rPr>
        <w:t>tasa de descuento, costo del propietario, horizonte de análisis, depreciación y reemplazo de equipos, variables eléctricas, fuentes de agua y consumo, análisis financiero y de sensibilidad</w:t>
      </w:r>
      <w:r>
        <w:rPr>
          <w:rFonts w:ascii="Arial" w:hAnsi="Arial" w:cs="Arial"/>
          <w:sz w:val="22"/>
          <w:szCs w:val="22"/>
        </w:rPr>
        <w:t>.</w:t>
      </w:r>
      <w:r w:rsidR="009621D5">
        <w:rPr>
          <w:rFonts w:ascii="Arial" w:hAnsi="Arial" w:cs="Arial"/>
          <w:sz w:val="22"/>
          <w:szCs w:val="22"/>
        </w:rPr>
        <w:t xml:space="preserve"> Esto permitió definir </w:t>
      </w:r>
      <w:r>
        <w:rPr>
          <w:rFonts w:ascii="Arial" w:hAnsi="Arial" w:cs="Arial"/>
          <w:sz w:val="22"/>
          <w:szCs w:val="22"/>
        </w:rPr>
        <w:t xml:space="preserve">el producto con </w:t>
      </w:r>
      <w:r w:rsidR="003041F7">
        <w:rPr>
          <w:rFonts w:ascii="Arial" w:hAnsi="Arial" w:cs="Arial"/>
          <w:sz w:val="22"/>
          <w:szCs w:val="22"/>
        </w:rPr>
        <w:t>más</w:t>
      </w:r>
      <w:r>
        <w:rPr>
          <w:rFonts w:ascii="Arial" w:hAnsi="Arial" w:cs="Arial"/>
          <w:sz w:val="22"/>
          <w:szCs w:val="22"/>
        </w:rPr>
        <w:t xml:space="preserve"> oportunidad en el corto plazo en minería</w:t>
      </w:r>
      <w:r w:rsidR="00BD7EA8">
        <w:rPr>
          <w:rFonts w:ascii="Arial" w:hAnsi="Arial" w:cs="Arial"/>
          <w:sz w:val="22"/>
          <w:szCs w:val="22"/>
        </w:rPr>
        <w:t xml:space="preserve"> y</w:t>
      </w:r>
      <w:r>
        <w:rPr>
          <w:rFonts w:ascii="Arial" w:hAnsi="Arial" w:cs="Arial"/>
          <w:sz w:val="22"/>
          <w:szCs w:val="22"/>
        </w:rPr>
        <w:t xml:space="preserve"> se estableció su huella de carbono</w:t>
      </w:r>
      <w:r w:rsidR="00BD7EA8">
        <w:rPr>
          <w:rFonts w:ascii="Arial" w:hAnsi="Arial" w:cs="Arial"/>
          <w:sz w:val="22"/>
          <w:szCs w:val="22"/>
        </w:rPr>
        <w:t>.</w:t>
      </w:r>
    </w:p>
    <w:p w14:paraId="5461ABD8" w14:textId="77777777" w:rsidR="00D6365C" w:rsidRPr="00D15263" w:rsidRDefault="00D6365C" w:rsidP="00D6365C">
      <w:pPr>
        <w:pStyle w:val="Textoindependiente"/>
        <w:spacing w:line="360" w:lineRule="auto"/>
        <w:ind w:left="1" w:right="229"/>
        <w:rPr>
          <w:rFonts w:ascii="Arial" w:hAnsi="Arial" w:cs="Arial"/>
          <w:b/>
          <w:bCs/>
          <w:spacing w:val="-3"/>
          <w:sz w:val="22"/>
          <w:szCs w:val="22"/>
        </w:rPr>
      </w:pPr>
      <w:r w:rsidRPr="00D15263">
        <w:rPr>
          <w:rFonts w:ascii="Arial" w:hAnsi="Arial" w:cs="Arial"/>
          <w:b/>
          <w:bCs/>
          <w:sz w:val="22"/>
          <w:szCs w:val="22"/>
        </w:rPr>
        <w:t>4.-</w:t>
      </w:r>
      <w:r w:rsidRPr="00D15263">
        <w:rPr>
          <w:rFonts w:ascii="Arial" w:hAnsi="Arial" w:cs="Arial"/>
          <w:b/>
          <w:bCs/>
          <w:spacing w:val="-3"/>
          <w:sz w:val="22"/>
          <w:szCs w:val="22"/>
        </w:rPr>
        <w:t xml:space="preserve"> Resultados </w:t>
      </w:r>
    </w:p>
    <w:p w14:paraId="32F5A4D6" w14:textId="77777777" w:rsidR="003041F7" w:rsidRDefault="003041F7" w:rsidP="00576747">
      <w:pPr>
        <w:pStyle w:val="Textoindependiente"/>
        <w:spacing w:line="360" w:lineRule="auto"/>
        <w:ind w:left="1" w:right="229"/>
        <w:jc w:val="both"/>
        <w:rPr>
          <w:rFonts w:ascii="Arial" w:hAnsi="Arial" w:cs="Arial"/>
          <w:sz w:val="22"/>
          <w:szCs w:val="22"/>
        </w:rPr>
      </w:pPr>
      <w:r>
        <w:rPr>
          <w:rFonts w:ascii="Arial" w:hAnsi="Arial" w:cs="Arial"/>
          <w:sz w:val="22"/>
          <w:szCs w:val="22"/>
        </w:rPr>
        <w:t>-Se estimó los costos nivelados del hidrógeno verde, el amoniaco verde y el nitrato de amonio verde.</w:t>
      </w:r>
    </w:p>
    <w:p w14:paraId="7AF0D648" w14:textId="7B077533" w:rsidR="003041F7" w:rsidRDefault="003041F7" w:rsidP="00576747">
      <w:pPr>
        <w:pStyle w:val="Textoindependiente"/>
        <w:spacing w:line="360" w:lineRule="auto"/>
        <w:ind w:left="1" w:right="229"/>
        <w:jc w:val="both"/>
        <w:rPr>
          <w:rFonts w:ascii="Arial" w:hAnsi="Arial" w:cs="Arial"/>
          <w:sz w:val="22"/>
          <w:szCs w:val="22"/>
        </w:rPr>
      </w:pPr>
      <w:r>
        <w:rPr>
          <w:rFonts w:ascii="Arial" w:hAnsi="Arial" w:cs="Arial"/>
          <w:sz w:val="22"/>
          <w:szCs w:val="22"/>
        </w:rPr>
        <w:t>-Los costos de amoniaco verde, son comparables a los costos de producción del benchmark de producción europeo (subasta pública de h2 Global con ganador Egipto- Fertiglobe).</w:t>
      </w:r>
    </w:p>
    <w:p w14:paraId="74216602" w14:textId="7D1B95B4" w:rsidR="001506EF" w:rsidRDefault="001506EF" w:rsidP="00576747">
      <w:pPr>
        <w:pStyle w:val="Textoindependiente"/>
        <w:spacing w:line="360" w:lineRule="auto"/>
        <w:ind w:left="1" w:right="229"/>
        <w:jc w:val="both"/>
        <w:rPr>
          <w:rFonts w:ascii="Arial" w:hAnsi="Arial" w:cs="Arial"/>
          <w:sz w:val="22"/>
          <w:szCs w:val="22"/>
        </w:rPr>
      </w:pPr>
      <w:r>
        <w:rPr>
          <w:rFonts w:ascii="Arial" w:hAnsi="Arial" w:cs="Arial"/>
          <w:sz w:val="22"/>
          <w:szCs w:val="22"/>
        </w:rPr>
        <w:t>-Los costos de producción de nitrato de amonio</w:t>
      </w:r>
      <w:r w:rsidR="00514225">
        <w:rPr>
          <w:rFonts w:ascii="Arial" w:hAnsi="Arial" w:cs="Arial"/>
          <w:sz w:val="22"/>
          <w:szCs w:val="22"/>
        </w:rPr>
        <w:t xml:space="preserve"> verde</w:t>
      </w:r>
      <w:r>
        <w:rPr>
          <w:rFonts w:ascii="Arial" w:hAnsi="Arial" w:cs="Arial"/>
          <w:sz w:val="22"/>
          <w:szCs w:val="22"/>
        </w:rPr>
        <w:t>, para uso como explosivos en minería y en construcción son los más competitivos y comparable al benchmark nacional (Perú es pionero en producción de nitrato verde).</w:t>
      </w:r>
    </w:p>
    <w:p w14:paraId="3932CDA5" w14:textId="77F0B41B" w:rsidR="001506EF" w:rsidRDefault="001506EF" w:rsidP="00576747">
      <w:pPr>
        <w:pStyle w:val="Textoindependiente"/>
        <w:spacing w:line="360" w:lineRule="auto"/>
        <w:ind w:left="1" w:right="229"/>
        <w:jc w:val="both"/>
        <w:rPr>
          <w:rFonts w:ascii="Arial" w:hAnsi="Arial" w:cs="Arial"/>
          <w:sz w:val="22"/>
          <w:szCs w:val="22"/>
        </w:rPr>
      </w:pPr>
      <w:r>
        <w:rPr>
          <w:rFonts w:ascii="Arial" w:hAnsi="Arial" w:cs="Arial"/>
          <w:sz w:val="22"/>
          <w:szCs w:val="22"/>
        </w:rPr>
        <w:t>-El hidrogeno verde y el nitrato de amonio</w:t>
      </w:r>
      <w:r w:rsidR="00B765AB">
        <w:rPr>
          <w:rFonts w:ascii="Arial" w:hAnsi="Arial" w:cs="Arial"/>
          <w:sz w:val="22"/>
          <w:szCs w:val="22"/>
        </w:rPr>
        <w:t xml:space="preserve"> verde</w:t>
      </w:r>
      <w:r>
        <w:rPr>
          <w:rFonts w:ascii="Arial" w:hAnsi="Arial" w:cs="Arial"/>
          <w:sz w:val="22"/>
          <w:szCs w:val="22"/>
        </w:rPr>
        <w:t xml:space="preserve"> son los productos que pueden ser utilizados en la minería, tanto para blend en refinería, así como explosivos (anfo) verdes, respectivamente, sin embargo, el nitrato de amonio tiene el potencial de escalar </w:t>
      </w:r>
      <w:r>
        <w:rPr>
          <w:rFonts w:ascii="Arial" w:hAnsi="Arial" w:cs="Arial"/>
          <w:sz w:val="22"/>
          <w:szCs w:val="22"/>
        </w:rPr>
        <w:lastRenderedPageBreak/>
        <w:t>rápidamente en las diversas operaciones mineras sobre todo de tajo abierto.</w:t>
      </w:r>
    </w:p>
    <w:p w14:paraId="05CF9C56" w14:textId="42A5BD50" w:rsidR="001506EF" w:rsidRDefault="001506EF" w:rsidP="00576747">
      <w:pPr>
        <w:pStyle w:val="Textoindependiente"/>
        <w:spacing w:line="360" w:lineRule="auto"/>
        <w:ind w:left="1" w:right="229"/>
        <w:jc w:val="both"/>
        <w:rPr>
          <w:rFonts w:ascii="Arial" w:hAnsi="Arial" w:cs="Arial"/>
          <w:sz w:val="22"/>
          <w:szCs w:val="22"/>
        </w:rPr>
      </w:pPr>
      <w:r>
        <w:rPr>
          <w:rFonts w:ascii="Arial" w:hAnsi="Arial" w:cs="Arial"/>
          <w:sz w:val="22"/>
          <w:szCs w:val="22"/>
        </w:rPr>
        <w:t>-</w:t>
      </w:r>
      <w:r w:rsidR="00DF0370">
        <w:rPr>
          <w:rFonts w:ascii="Arial" w:hAnsi="Arial" w:cs="Arial"/>
          <w:sz w:val="22"/>
          <w:szCs w:val="22"/>
        </w:rPr>
        <w:t xml:space="preserve">La unidad de producción </w:t>
      </w:r>
      <w:r w:rsidR="00F166B0">
        <w:rPr>
          <w:rFonts w:ascii="Arial" w:hAnsi="Arial" w:cs="Arial"/>
          <w:sz w:val="22"/>
          <w:szCs w:val="22"/>
        </w:rPr>
        <w:t>de nitrato de amonio verde, del estudio,</w:t>
      </w:r>
      <w:r w:rsidR="00DF0370">
        <w:rPr>
          <w:rFonts w:ascii="Arial" w:hAnsi="Arial" w:cs="Arial"/>
          <w:sz w:val="22"/>
          <w:szCs w:val="22"/>
        </w:rPr>
        <w:t xml:space="preserve"> puede contribuir a la descarbonización de 24 mil TM de CO2 al año y representa la atención de cerca del 6% de la producción de cobre a nivel nacional</w:t>
      </w:r>
      <w:r w:rsidR="00F166B0">
        <w:rPr>
          <w:rFonts w:ascii="Arial" w:hAnsi="Arial" w:cs="Arial"/>
          <w:sz w:val="22"/>
          <w:szCs w:val="22"/>
        </w:rPr>
        <w:t xml:space="preserve"> siendo fácilmente escalable.</w:t>
      </w:r>
    </w:p>
    <w:p w14:paraId="4FDB5598" w14:textId="77777777" w:rsidR="00D6365C" w:rsidRPr="00D15263" w:rsidRDefault="00D6365C" w:rsidP="00D6365C">
      <w:pPr>
        <w:pStyle w:val="Textoindependiente"/>
        <w:spacing w:line="360" w:lineRule="auto"/>
        <w:ind w:left="1" w:right="229"/>
        <w:rPr>
          <w:rFonts w:ascii="Arial" w:hAnsi="Arial" w:cs="Arial"/>
          <w:b/>
          <w:bCs/>
          <w:sz w:val="22"/>
          <w:szCs w:val="22"/>
        </w:rPr>
      </w:pPr>
      <w:r w:rsidRPr="00D15263">
        <w:rPr>
          <w:rFonts w:ascii="Arial" w:hAnsi="Arial" w:cs="Arial"/>
          <w:b/>
          <w:bCs/>
          <w:sz w:val="22"/>
          <w:szCs w:val="22"/>
        </w:rPr>
        <w:t>5.- Conclusiones y/</w:t>
      </w:r>
      <w:r>
        <w:rPr>
          <w:rFonts w:ascii="Arial" w:hAnsi="Arial" w:cs="Arial"/>
          <w:b/>
          <w:bCs/>
          <w:sz w:val="22"/>
          <w:szCs w:val="22"/>
        </w:rPr>
        <w:t>o</w:t>
      </w:r>
      <w:r w:rsidRPr="00D15263">
        <w:rPr>
          <w:rFonts w:ascii="Arial" w:hAnsi="Arial" w:cs="Arial"/>
          <w:b/>
          <w:bCs/>
          <w:sz w:val="22"/>
          <w:szCs w:val="22"/>
        </w:rPr>
        <w:t xml:space="preserve"> recomendaciones</w:t>
      </w:r>
    </w:p>
    <w:p w14:paraId="2C6F8488" w14:textId="02CFEBFE" w:rsidR="00D6365C" w:rsidRDefault="00E24476" w:rsidP="00576747">
      <w:pPr>
        <w:pStyle w:val="Textoindependiente"/>
        <w:spacing w:line="360" w:lineRule="auto"/>
        <w:ind w:left="1" w:right="229"/>
        <w:jc w:val="both"/>
        <w:rPr>
          <w:rFonts w:ascii="Arial" w:hAnsi="Arial" w:cs="Arial"/>
          <w:sz w:val="22"/>
          <w:szCs w:val="22"/>
        </w:rPr>
      </w:pPr>
      <w:r>
        <w:rPr>
          <w:rFonts w:ascii="Arial" w:hAnsi="Arial" w:cs="Arial"/>
          <w:sz w:val="22"/>
          <w:szCs w:val="22"/>
        </w:rPr>
        <w:t xml:space="preserve">-El uso del nitrato de amonio </w:t>
      </w:r>
      <w:r w:rsidR="005527F8">
        <w:rPr>
          <w:rFonts w:ascii="Arial" w:hAnsi="Arial" w:cs="Arial"/>
          <w:sz w:val="22"/>
          <w:szCs w:val="22"/>
        </w:rPr>
        <w:t xml:space="preserve">verde es un producto que existe en el mercado peruano y que se encuentra en introducción y que puede contribuir significativamente a la reducción de emisiones de CO2 </w:t>
      </w:r>
      <w:r w:rsidR="00524374">
        <w:rPr>
          <w:rFonts w:ascii="Arial" w:hAnsi="Arial" w:cs="Arial"/>
          <w:sz w:val="22"/>
          <w:szCs w:val="22"/>
        </w:rPr>
        <w:t>sobre todo en el alcance 3, que es el más representativo en la minería de cobre en Perú.</w:t>
      </w:r>
    </w:p>
    <w:p w14:paraId="11142860" w14:textId="7FF90402" w:rsidR="00524374" w:rsidRDefault="00524374" w:rsidP="00576747">
      <w:pPr>
        <w:pStyle w:val="Textoindependiente"/>
        <w:spacing w:line="360" w:lineRule="auto"/>
        <w:ind w:left="1" w:right="229"/>
        <w:jc w:val="both"/>
        <w:rPr>
          <w:rFonts w:ascii="Arial" w:hAnsi="Arial" w:cs="Arial"/>
          <w:sz w:val="22"/>
          <w:szCs w:val="22"/>
        </w:rPr>
      </w:pPr>
      <w:r>
        <w:rPr>
          <w:rFonts w:ascii="Arial" w:hAnsi="Arial" w:cs="Arial"/>
          <w:sz w:val="22"/>
          <w:szCs w:val="22"/>
        </w:rPr>
        <w:t>-El nitrato de amonio verde puede ser utilizado gradualmente, siendo mezclado con el uso de nitrato de amonio convencional para cumplir las metas graduales de descarbonización de las empresas relacionadas con sus clientes y sus certificaciones.</w:t>
      </w:r>
    </w:p>
    <w:p w14:paraId="37B6B158" w14:textId="5734F091" w:rsidR="00524374" w:rsidRDefault="00524374" w:rsidP="00576747">
      <w:pPr>
        <w:pStyle w:val="Textoindependiente"/>
        <w:spacing w:line="360" w:lineRule="auto"/>
        <w:ind w:left="1" w:right="229"/>
        <w:jc w:val="both"/>
        <w:rPr>
          <w:rFonts w:ascii="Arial" w:hAnsi="Arial" w:cs="Arial"/>
          <w:sz w:val="22"/>
          <w:szCs w:val="22"/>
        </w:rPr>
      </w:pPr>
      <w:r>
        <w:rPr>
          <w:rFonts w:ascii="Arial" w:hAnsi="Arial" w:cs="Arial"/>
          <w:sz w:val="22"/>
          <w:szCs w:val="22"/>
        </w:rPr>
        <w:t>-El hidrógeno verde también cuenta con un nicho de atención en el corto plazo, pero que es limitado, circunscribiéndose al blend (15%) que puede usarse en turbinas y calderas para la refinería que usan gas natural, que en esos niveles no requieren cambios de ingeniería.</w:t>
      </w:r>
    </w:p>
    <w:p w14:paraId="358B7796" w14:textId="7C1B7A8D" w:rsidR="00524374" w:rsidRDefault="00524374" w:rsidP="00576747">
      <w:pPr>
        <w:pStyle w:val="Textoindependiente"/>
        <w:spacing w:line="360" w:lineRule="auto"/>
        <w:ind w:left="1" w:right="229"/>
        <w:jc w:val="both"/>
        <w:rPr>
          <w:rFonts w:ascii="Arial" w:hAnsi="Arial" w:cs="Arial"/>
          <w:sz w:val="22"/>
          <w:szCs w:val="22"/>
        </w:rPr>
      </w:pPr>
      <w:r>
        <w:rPr>
          <w:rFonts w:ascii="Arial" w:hAnsi="Arial" w:cs="Arial"/>
          <w:sz w:val="22"/>
          <w:szCs w:val="22"/>
        </w:rPr>
        <w:t xml:space="preserve">-Conforme avance la madurez del ecosistema del hidrógeno verde, podrá ser </w:t>
      </w:r>
      <w:r w:rsidR="00B21C2C">
        <w:rPr>
          <w:rFonts w:ascii="Arial" w:hAnsi="Arial" w:cs="Arial"/>
          <w:sz w:val="22"/>
          <w:szCs w:val="22"/>
        </w:rPr>
        <w:t>más</w:t>
      </w:r>
      <w:r>
        <w:rPr>
          <w:rFonts w:ascii="Arial" w:hAnsi="Arial" w:cs="Arial"/>
          <w:sz w:val="22"/>
          <w:szCs w:val="22"/>
        </w:rPr>
        <w:t xml:space="preserve"> competitivo y estará </w:t>
      </w:r>
      <w:r w:rsidR="00B21C2C">
        <w:rPr>
          <w:rFonts w:ascii="Arial" w:hAnsi="Arial" w:cs="Arial"/>
          <w:sz w:val="22"/>
          <w:szCs w:val="22"/>
        </w:rPr>
        <w:t>más</w:t>
      </w:r>
      <w:r>
        <w:rPr>
          <w:rFonts w:ascii="Arial" w:hAnsi="Arial" w:cs="Arial"/>
          <w:sz w:val="22"/>
          <w:szCs w:val="22"/>
        </w:rPr>
        <w:t xml:space="preserve"> disponible en sus diversos usos, muchos de los cuales son aplicables al minero, como en los CAEX, trenes, energía en lugares aislados, entre otros.</w:t>
      </w:r>
    </w:p>
    <w:p w14:paraId="17AB640C" w14:textId="26E5B43B" w:rsidR="00D6365C" w:rsidRDefault="00DF0370" w:rsidP="00D6365C">
      <w:pPr>
        <w:spacing w:line="360" w:lineRule="auto"/>
        <w:jc w:val="both"/>
        <w:rPr>
          <w:rFonts w:ascii="Arial" w:eastAsia="Calibri" w:hAnsi="Arial" w:cs="Arial"/>
          <w:b/>
          <w:bCs/>
          <w:lang w:val="es-419"/>
        </w:rPr>
      </w:pPr>
      <w:r>
        <w:rPr>
          <w:rFonts w:ascii="Arial" w:eastAsia="Calibri" w:hAnsi="Arial" w:cs="Arial"/>
          <w:b/>
          <w:bCs/>
          <w:lang w:val="es-419"/>
        </w:rPr>
        <w:t>Reseña Profesional</w:t>
      </w:r>
    </w:p>
    <w:p w14:paraId="2529D496" w14:textId="77777777" w:rsidR="00D6365C" w:rsidRPr="00EE5E11" w:rsidRDefault="00D6365C" w:rsidP="00D6365C">
      <w:pPr>
        <w:spacing w:line="360" w:lineRule="auto"/>
        <w:jc w:val="both"/>
        <w:rPr>
          <w:rFonts w:ascii="Arial" w:eastAsia="Calibri" w:hAnsi="Arial" w:cs="Arial"/>
          <w:b/>
          <w:bCs/>
          <w:lang w:val="es-419"/>
        </w:rPr>
      </w:pPr>
      <w:r w:rsidRPr="00EE5E11">
        <w:rPr>
          <w:rFonts w:ascii="Arial" w:eastAsia="Calibri" w:hAnsi="Arial" w:cs="Arial"/>
          <w:b/>
          <w:bCs/>
          <w:lang w:val="es-419"/>
        </w:rPr>
        <w:t>Sergio Ignacio González Núñez:</w:t>
      </w:r>
    </w:p>
    <w:p w14:paraId="50CD491F" w14:textId="7C027934" w:rsidR="00D6365C" w:rsidRDefault="00D6365C" w:rsidP="00D6365C">
      <w:pPr>
        <w:spacing w:line="360" w:lineRule="auto"/>
        <w:jc w:val="both"/>
        <w:rPr>
          <w:rFonts w:ascii="Arial" w:eastAsia="Calibri" w:hAnsi="Arial" w:cs="Arial"/>
          <w:lang w:val="es-MX"/>
        </w:rPr>
      </w:pPr>
      <w:r w:rsidRPr="00DB0EC2">
        <w:rPr>
          <w:rFonts w:ascii="Arial" w:eastAsia="Calibri" w:hAnsi="Arial" w:cs="Arial"/>
          <w:lang w:val="es-MX"/>
        </w:rPr>
        <w:t>Profesional en ciencias agrícolas con más de 20 años de experiencia en asuntos corporativos para empresas mineras multinacionales, como Anglo American y Newmont</w:t>
      </w:r>
      <w:r w:rsidR="00A82369">
        <w:rPr>
          <w:rFonts w:ascii="Arial" w:eastAsia="Calibri" w:hAnsi="Arial" w:cs="Arial"/>
          <w:lang w:val="es-MX"/>
        </w:rPr>
        <w:t xml:space="preserve"> (Foncreagro)</w:t>
      </w:r>
      <w:r w:rsidRPr="00DB0EC2">
        <w:rPr>
          <w:rFonts w:ascii="Arial" w:eastAsia="Calibri" w:hAnsi="Arial" w:cs="Arial"/>
          <w:lang w:val="es-MX"/>
        </w:rPr>
        <w:t>. Lideró la ONG Moquegua Crece. Dirigió el primer estudio regional sobre hidrógeno en el sur de Perú. Posee un MBA de ESAN, una Maestría en Responsabilidad Social de EADA, y una certificación en Sostenibilidad del MIT.</w:t>
      </w:r>
    </w:p>
    <w:p w14:paraId="7FDAB0CE" w14:textId="77777777" w:rsidR="00D6365C" w:rsidRPr="0057156C" w:rsidRDefault="00D6365C" w:rsidP="00D6365C">
      <w:pPr>
        <w:spacing w:line="360" w:lineRule="auto"/>
        <w:jc w:val="both"/>
        <w:rPr>
          <w:rFonts w:ascii="Arial" w:eastAsia="Calibri" w:hAnsi="Arial" w:cs="Arial"/>
          <w:b/>
          <w:bCs/>
          <w:lang w:val="es-MX"/>
        </w:rPr>
      </w:pPr>
      <w:r w:rsidRPr="0057156C">
        <w:rPr>
          <w:rFonts w:ascii="Arial" w:eastAsia="Calibri" w:hAnsi="Arial" w:cs="Arial"/>
          <w:b/>
          <w:bCs/>
          <w:lang w:val="es-MX"/>
        </w:rPr>
        <w:t>Luis Ángel Santillana</w:t>
      </w:r>
    </w:p>
    <w:p w14:paraId="03BDC441" w14:textId="77777777" w:rsidR="00D6365C" w:rsidRPr="0057156C" w:rsidRDefault="00D6365C" w:rsidP="00D6365C">
      <w:pPr>
        <w:spacing w:line="360" w:lineRule="auto"/>
        <w:jc w:val="both"/>
        <w:rPr>
          <w:rFonts w:ascii="Arial" w:eastAsia="Calibri" w:hAnsi="Arial" w:cs="Arial"/>
          <w:lang w:val="es-MX"/>
        </w:rPr>
      </w:pPr>
      <w:r w:rsidRPr="0057156C">
        <w:rPr>
          <w:rFonts w:ascii="Arial" w:eastAsia="Calibri" w:hAnsi="Arial" w:cs="Arial"/>
          <w:lang w:val="es-MX"/>
        </w:rPr>
        <w:t>Profesional financiero con más de 20 años de experiencia en recursos naturales, enfocado en energía renovable, litio, cobre y oro. Ha recaudado 900 millones de dólares y tiene experiencia en finanzas corporativas, adquisiciones, fusiones, mercados de capital y gestión de tesorería. Ha trabajado con juntas, inversores, gobiernos y comunidades para alcanzar metas organizacionales. Posee un MBA de IESE, una Certificación de Contador Gerencial de CIMA y una Licenciatura en Ingeniería Industrial de la Universidad de Lima.</w:t>
      </w:r>
    </w:p>
    <w:p w14:paraId="0A93CD58" w14:textId="77777777" w:rsidR="00D6365C" w:rsidRPr="003C2C76" w:rsidRDefault="00D6365C" w:rsidP="00D6365C">
      <w:pPr>
        <w:pStyle w:val="Textoindependiente"/>
        <w:spacing w:before="31" w:line="360" w:lineRule="auto"/>
        <w:rPr>
          <w:rFonts w:ascii="Arial" w:hAnsi="Arial" w:cs="Arial"/>
          <w:b/>
          <w:bCs/>
          <w:sz w:val="22"/>
          <w:szCs w:val="22"/>
          <w:lang w:val="es-419"/>
        </w:rPr>
      </w:pPr>
      <w:r w:rsidRPr="003C2C76">
        <w:rPr>
          <w:rFonts w:ascii="Arial" w:hAnsi="Arial" w:cs="Arial"/>
          <w:b/>
          <w:bCs/>
          <w:sz w:val="22"/>
          <w:szCs w:val="22"/>
          <w:lang w:val="es-419"/>
        </w:rPr>
        <w:t>Luis Felipe Aching</w:t>
      </w:r>
    </w:p>
    <w:p w14:paraId="5F6D39CD" w14:textId="31C91A81" w:rsidR="00DD2D59" w:rsidRDefault="00D6365C" w:rsidP="00BD7EA8">
      <w:pPr>
        <w:spacing w:line="360" w:lineRule="auto"/>
        <w:jc w:val="both"/>
      </w:pPr>
      <w:r w:rsidRPr="003C2C76">
        <w:rPr>
          <w:rFonts w:ascii="Arial" w:eastAsia="Calibri" w:hAnsi="Arial" w:cs="Arial"/>
          <w:lang w:val="es-MX"/>
        </w:rPr>
        <w:t xml:space="preserve">Ingeniero mecánico con más de 20 años de experiencia en los sectores eléctricos, de energías renovables y vehículos pesados. Ha liderado proyectos clave en distribución eléctrica en Perú y ha trabajado en la comercialización de equipos para empresas de distribución, transmisión y generación. Ha implementado proyectos energéticos en Perú, México, Ecuador y Bolivia. Posee un MBA de Centrum y una Licenciatura en Ingeniería Mecánica de la Pontificia Universidad Católica del Perú. Fue </w:t>
      </w:r>
      <w:r w:rsidR="009C0F58" w:rsidRPr="003C2C76">
        <w:rPr>
          <w:rFonts w:ascii="Arial" w:eastAsia="Calibri" w:hAnsi="Arial" w:cs="Arial"/>
          <w:lang w:val="es-MX"/>
        </w:rPr>
        <w:t>director</w:t>
      </w:r>
      <w:r w:rsidRPr="003C2C76">
        <w:rPr>
          <w:rFonts w:ascii="Arial" w:eastAsia="Calibri" w:hAnsi="Arial" w:cs="Arial"/>
          <w:lang w:val="es-MX"/>
        </w:rPr>
        <w:t xml:space="preserve"> de </w:t>
      </w:r>
      <w:r w:rsidR="009C0F58">
        <w:rPr>
          <w:rFonts w:ascii="Arial" w:eastAsia="Calibri" w:hAnsi="Arial" w:cs="Arial"/>
          <w:lang w:val="es-MX"/>
        </w:rPr>
        <w:t>v</w:t>
      </w:r>
      <w:r w:rsidRPr="003C2C76">
        <w:rPr>
          <w:rFonts w:ascii="Arial" w:eastAsia="Calibri" w:hAnsi="Arial" w:cs="Arial"/>
          <w:lang w:val="es-MX"/>
        </w:rPr>
        <w:t xml:space="preserve">ehículos </w:t>
      </w:r>
      <w:r w:rsidR="009C0F58">
        <w:rPr>
          <w:rFonts w:ascii="Arial" w:eastAsia="Calibri" w:hAnsi="Arial" w:cs="Arial"/>
          <w:lang w:val="es-MX"/>
        </w:rPr>
        <w:t>p</w:t>
      </w:r>
      <w:r w:rsidRPr="003C2C76">
        <w:rPr>
          <w:rFonts w:ascii="Arial" w:eastAsia="Calibri" w:hAnsi="Arial" w:cs="Arial"/>
          <w:lang w:val="es-MX"/>
        </w:rPr>
        <w:t>esados ​​en la AAP y cofundador de la Fundación Transitemos.</w:t>
      </w:r>
    </w:p>
    <w:sectPr w:rsidR="00DD2D59" w:rsidSect="008650E5">
      <w:pgSz w:w="11910" w:h="16840"/>
      <w:pgMar w:top="960" w:right="1417" w:bottom="54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91D7F"/>
    <w:multiLevelType w:val="hybridMultilevel"/>
    <w:tmpl w:val="A052F224"/>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1" w15:restartNumberingAfterBreak="0">
    <w:nsid w:val="579E0F1E"/>
    <w:multiLevelType w:val="hybridMultilevel"/>
    <w:tmpl w:val="3314DAA6"/>
    <w:lvl w:ilvl="0" w:tplc="8F44AB30">
      <w:start w:val="1"/>
      <w:numFmt w:val="decimal"/>
      <w:lvlText w:val="%1."/>
      <w:lvlJc w:val="left"/>
      <w:pPr>
        <w:ind w:left="721" w:hanging="360"/>
        <w:jc w:val="left"/>
      </w:pPr>
      <w:rPr>
        <w:rFonts w:ascii="Arial MT" w:eastAsia="Arial MT" w:hAnsi="Arial MT" w:cs="Arial MT" w:hint="default"/>
        <w:b w:val="0"/>
        <w:bCs w:val="0"/>
        <w:i w:val="0"/>
        <w:iCs w:val="0"/>
        <w:spacing w:val="0"/>
        <w:w w:val="100"/>
        <w:sz w:val="18"/>
        <w:szCs w:val="18"/>
        <w:lang w:val="es-ES" w:eastAsia="en-US" w:bidi="ar-SA"/>
      </w:rPr>
    </w:lvl>
    <w:lvl w:ilvl="1" w:tplc="039842D8">
      <w:numFmt w:val="bullet"/>
      <w:lvlText w:val="•"/>
      <w:lvlJc w:val="left"/>
      <w:pPr>
        <w:ind w:left="1555" w:hanging="360"/>
      </w:pPr>
      <w:rPr>
        <w:rFonts w:hint="default"/>
        <w:lang w:val="es-ES" w:eastAsia="en-US" w:bidi="ar-SA"/>
      </w:rPr>
    </w:lvl>
    <w:lvl w:ilvl="2" w:tplc="C30E900E">
      <w:numFmt w:val="bullet"/>
      <w:lvlText w:val="•"/>
      <w:lvlJc w:val="left"/>
      <w:pPr>
        <w:ind w:left="2390" w:hanging="360"/>
      </w:pPr>
      <w:rPr>
        <w:rFonts w:hint="default"/>
        <w:lang w:val="es-ES" w:eastAsia="en-US" w:bidi="ar-SA"/>
      </w:rPr>
    </w:lvl>
    <w:lvl w:ilvl="3" w:tplc="E8CC8C70">
      <w:numFmt w:val="bullet"/>
      <w:lvlText w:val="•"/>
      <w:lvlJc w:val="left"/>
      <w:pPr>
        <w:ind w:left="3225" w:hanging="360"/>
      </w:pPr>
      <w:rPr>
        <w:rFonts w:hint="default"/>
        <w:lang w:val="es-ES" w:eastAsia="en-US" w:bidi="ar-SA"/>
      </w:rPr>
    </w:lvl>
    <w:lvl w:ilvl="4" w:tplc="39F26C0E">
      <w:numFmt w:val="bullet"/>
      <w:lvlText w:val="•"/>
      <w:lvlJc w:val="left"/>
      <w:pPr>
        <w:ind w:left="4060" w:hanging="360"/>
      </w:pPr>
      <w:rPr>
        <w:rFonts w:hint="default"/>
        <w:lang w:val="es-ES" w:eastAsia="en-US" w:bidi="ar-SA"/>
      </w:rPr>
    </w:lvl>
    <w:lvl w:ilvl="5" w:tplc="E0DABCC0">
      <w:numFmt w:val="bullet"/>
      <w:lvlText w:val="•"/>
      <w:lvlJc w:val="left"/>
      <w:pPr>
        <w:ind w:left="4896" w:hanging="360"/>
      </w:pPr>
      <w:rPr>
        <w:rFonts w:hint="default"/>
        <w:lang w:val="es-ES" w:eastAsia="en-US" w:bidi="ar-SA"/>
      </w:rPr>
    </w:lvl>
    <w:lvl w:ilvl="6" w:tplc="BE86CE9C">
      <w:numFmt w:val="bullet"/>
      <w:lvlText w:val="•"/>
      <w:lvlJc w:val="left"/>
      <w:pPr>
        <w:ind w:left="5731" w:hanging="360"/>
      </w:pPr>
      <w:rPr>
        <w:rFonts w:hint="default"/>
        <w:lang w:val="es-ES" w:eastAsia="en-US" w:bidi="ar-SA"/>
      </w:rPr>
    </w:lvl>
    <w:lvl w:ilvl="7" w:tplc="B2D87A7C">
      <w:numFmt w:val="bullet"/>
      <w:lvlText w:val="•"/>
      <w:lvlJc w:val="left"/>
      <w:pPr>
        <w:ind w:left="6566" w:hanging="360"/>
      </w:pPr>
      <w:rPr>
        <w:rFonts w:hint="default"/>
        <w:lang w:val="es-ES" w:eastAsia="en-US" w:bidi="ar-SA"/>
      </w:rPr>
    </w:lvl>
    <w:lvl w:ilvl="8" w:tplc="4858A988">
      <w:numFmt w:val="bullet"/>
      <w:lvlText w:val="•"/>
      <w:lvlJc w:val="left"/>
      <w:pPr>
        <w:ind w:left="7401" w:hanging="360"/>
      </w:pPr>
      <w:rPr>
        <w:rFonts w:hint="default"/>
        <w:lang w:val="es-ES" w:eastAsia="en-US" w:bidi="ar-SA"/>
      </w:rPr>
    </w:lvl>
  </w:abstractNum>
  <w:num w:numId="1" w16cid:durableId="1395004180">
    <w:abstractNumId w:val="1"/>
  </w:num>
  <w:num w:numId="2" w16cid:durableId="310840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65C"/>
    <w:rsid w:val="00007402"/>
    <w:rsid w:val="00015C3E"/>
    <w:rsid w:val="0004628A"/>
    <w:rsid w:val="00085C4F"/>
    <w:rsid w:val="00092E70"/>
    <w:rsid w:val="00093258"/>
    <w:rsid w:val="000F2178"/>
    <w:rsid w:val="00147E31"/>
    <w:rsid w:val="001506EF"/>
    <w:rsid w:val="001F3A31"/>
    <w:rsid w:val="00242B36"/>
    <w:rsid w:val="00261B76"/>
    <w:rsid w:val="0028150E"/>
    <w:rsid w:val="002B468D"/>
    <w:rsid w:val="003041F7"/>
    <w:rsid w:val="00351653"/>
    <w:rsid w:val="003916A1"/>
    <w:rsid w:val="00391B52"/>
    <w:rsid w:val="003F39BC"/>
    <w:rsid w:val="00405715"/>
    <w:rsid w:val="00481C57"/>
    <w:rsid w:val="00491D7F"/>
    <w:rsid w:val="004B5F72"/>
    <w:rsid w:val="004C4DD7"/>
    <w:rsid w:val="00500195"/>
    <w:rsid w:val="00506903"/>
    <w:rsid w:val="00514225"/>
    <w:rsid w:val="00524374"/>
    <w:rsid w:val="005527F8"/>
    <w:rsid w:val="005558C9"/>
    <w:rsid w:val="00576747"/>
    <w:rsid w:val="005A1F47"/>
    <w:rsid w:val="005B60A9"/>
    <w:rsid w:val="0064196C"/>
    <w:rsid w:val="006666E8"/>
    <w:rsid w:val="006B6E8E"/>
    <w:rsid w:val="007564A1"/>
    <w:rsid w:val="00766BE0"/>
    <w:rsid w:val="00770378"/>
    <w:rsid w:val="007B1F1A"/>
    <w:rsid w:val="007D3F3A"/>
    <w:rsid w:val="007D7DFB"/>
    <w:rsid w:val="008650E5"/>
    <w:rsid w:val="008706C7"/>
    <w:rsid w:val="00874080"/>
    <w:rsid w:val="00882AE4"/>
    <w:rsid w:val="008843D1"/>
    <w:rsid w:val="008946B8"/>
    <w:rsid w:val="008F4EC9"/>
    <w:rsid w:val="00900059"/>
    <w:rsid w:val="0096018D"/>
    <w:rsid w:val="009621D5"/>
    <w:rsid w:val="009A159D"/>
    <w:rsid w:val="009C0F58"/>
    <w:rsid w:val="00A128BB"/>
    <w:rsid w:val="00A45C87"/>
    <w:rsid w:val="00A76E9B"/>
    <w:rsid w:val="00A82369"/>
    <w:rsid w:val="00A94DBD"/>
    <w:rsid w:val="00AF3351"/>
    <w:rsid w:val="00B21C2C"/>
    <w:rsid w:val="00B74BD6"/>
    <w:rsid w:val="00B765AB"/>
    <w:rsid w:val="00BC2834"/>
    <w:rsid w:val="00BD7EA8"/>
    <w:rsid w:val="00C166AF"/>
    <w:rsid w:val="00C629DE"/>
    <w:rsid w:val="00C96F35"/>
    <w:rsid w:val="00CF196E"/>
    <w:rsid w:val="00D06C06"/>
    <w:rsid w:val="00D5729A"/>
    <w:rsid w:val="00D60D37"/>
    <w:rsid w:val="00D6365C"/>
    <w:rsid w:val="00DB3DF5"/>
    <w:rsid w:val="00DD2D59"/>
    <w:rsid w:val="00DF0370"/>
    <w:rsid w:val="00E00968"/>
    <w:rsid w:val="00E24476"/>
    <w:rsid w:val="00E328E7"/>
    <w:rsid w:val="00E75A33"/>
    <w:rsid w:val="00E950D9"/>
    <w:rsid w:val="00E95743"/>
    <w:rsid w:val="00EB4DF6"/>
    <w:rsid w:val="00EE78DD"/>
    <w:rsid w:val="00F04834"/>
    <w:rsid w:val="00F166B0"/>
    <w:rsid w:val="00F76D2A"/>
    <w:rsid w:val="00F826B7"/>
    <w:rsid w:val="00FC5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5A2ED"/>
  <w15:chartTrackingRefBased/>
  <w15:docId w15:val="{EA627A39-3828-4F32-BBA7-C791A973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65C"/>
    <w:pPr>
      <w:widowControl w:val="0"/>
      <w:autoSpaceDE w:val="0"/>
      <w:autoSpaceDN w:val="0"/>
      <w:spacing w:after="0" w:line="240" w:lineRule="auto"/>
    </w:pPr>
    <w:rPr>
      <w:rFonts w:ascii="Arial MT" w:eastAsia="Arial MT" w:hAnsi="Arial MT" w:cs="Arial MT"/>
      <w:kern w:val="0"/>
      <w:sz w:val="22"/>
      <w:szCs w:val="22"/>
      <w:lang w:val="es-ES"/>
      <w14:ligatures w14:val="none"/>
    </w:rPr>
  </w:style>
  <w:style w:type="paragraph" w:styleId="Ttulo1">
    <w:name w:val="heading 1"/>
    <w:basedOn w:val="Normal"/>
    <w:next w:val="Normal"/>
    <w:link w:val="Ttulo1Car"/>
    <w:uiPriority w:val="9"/>
    <w:qFormat/>
    <w:rsid w:val="00D636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636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6365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6365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6365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6365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365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365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365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365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6365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6365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6365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6365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636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36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36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365C"/>
    <w:rPr>
      <w:rFonts w:eastAsiaTheme="majorEastAsia" w:cstheme="majorBidi"/>
      <w:color w:val="272727" w:themeColor="text1" w:themeTint="D8"/>
    </w:rPr>
  </w:style>
  <w:style w:type="paragraph" w:styleId="Ttulo">
    <w:name w:val="Title"/>
    <w:basedOn w:val="Normal"/>
    <w:next w:val="Normal"/>
    <w:link w:val="TtuloCar"/>
    <w:uiPriority w:val="10"/>
    <w:qFormat/>
    <w:rsid w:val="00D6365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36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36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36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365C"/>
    <w:pPr>
      <w:spacing w:before="160"/>
      <w:jc w:val="center"/>
    </w:pPr>
    <w:rPr>
      <w:i/>
      <w:iCs/>
      <w:color w:val="404040" w:themeColor="text1" w:themeTint="BF"/>
    </w:rPr>
  </w:style>
  <w:style w:type="character" w:customStyle="1" w:styleId="CitaCar">
    <w:name w:val="Cita Car"/>
    <w:basedOn w:val="Fuentedeprrafopredeter"/>
    <w:link w:val="Cita"/>
    <w:uiPriority w:val="29"/>
    <w:rsid w:val="00D6365C"/>
    <w:rPr>
      <w:i/>
      <w:iCs/>
      <w:color w:val="404040" w:themeColor="text1" w:themeTint="BF"/>
    </w:rPr>
  </w:style>
  <w:style w:type="paragraph" w:styleId="Prrafodelista">
    <w:name w:val="List Paragraph"/>
    <w:basedOn w:val="Normal"/>
    <w:uiPriority w:val="1"/>
    <w:qFormat/>
    <w:rsid w:val="00D6365C"/>
    <w:pPr>
      <w:ind w:left="720"/>
      <w:contextualSpacing/>
    </w:pPr>
  </w:style>
  <w:style w:type="character" w:styleId="nfasisintenso">
    <w:name w:val="Intense Emphasis"/>
    <w:basedOn w:val="Fuentedeprrafopredeter"/>
    <w:uiPriority w:val="21"/>
    <w:qFormat/>
    <w:rsid w:val="00D6365C"/>
    <w:rPr>
      <w:i/>
      <w:iCs/>
      <w:color w:val="2F5496" w:themeColor="accent1" w:themeShade="BF"/>
    </w:rPr>
  </w:style>
  <w:style w:type="paragraph" w:styleId="Citadestacada">
    <w:name w:val="Intense Quote"/>
    <w:basedOn w:val="Normal"/>
    <w:next w:val="Normal"/>
    <w:link w:val="CitadestacadaCar"/>
    <w:uiPriority w:val="30"/>
    <w:qFormat/>
    <w:rsid w:val="00D636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6365C"/>
    <w:rPr>
      <w:i/>
      <w:iCs/>
      <w:color w:val="2F5496" w:themeColor="accent1" w:themeShade="BF"/>
    </w:rPr>
  </w:style>
  <w:style w:type="character" w:styleId="Referenciaintensa">
    <w:name w:val="Intense Reference"/>
    <w:basedOn w:val="Fuentedeprrafopredeter"/>
    <w:uiPriority w:val="32"/>
    <w:qFormat/>
    <w:rsid w:val="00D6365C"/>
    <w:rPr>
      <w:b/>
      <w:bCs/>
      <w:smallCaps/>
      <w:color w:val="2F5496" w:themeColor="accent1" w:themeShade="BF"/>
      <w:spacing w:val="5"/>
    </w:rPr>
  </w:style>
  <w:style w:type="paragraph" w:styleId="Textoindependiente">
    <w:name w:val="Body Text"/>
    <w:basedOn w:val="Normal"/>
    <w:link w:val="TextoindependienteCar"/>
    <w:uiPriority w:val="1"/>
    <w:qFormat/>
    <w:rsid w:val="00D6365C"/>
    <w:rPr>
      <w:sz w:val="18"/>
      <w:szCs w:val="18"/>
    </w:rPr>
  </w:style>
  <w:style w:type="character" w:customStyle="1" w:styleId="TextoindependienteCar">
    <w:name w:val="Texto independiente Car"/>
    <w:basedOn w:val="Fuentedeprrafopredeter"/>
    <w:link w:val="Textoindependiente"/>
    <w:uiPriority w:val="1"/>
    <w:rsid w:val="00D6365C"/>
    <w:rPr>
      <w:rFonts w:ascii="Arial MT" w:eastAsia="Arial MT" w:hAnsi="Arial MT" w:cs="Arial MT"/>
      <w:kern w:val="0"/>
      <w:sz w:val="18"/>
      <w:szCs w:val="18"/>
      <w:lang w:val="es-ES"/>
      <w14:ligatures w14:val="none"/>
    </w:rPr>
  </w:style>
  <w:style w:type="character" w:styleId="Hipervnculo">
    <w:name w:val="Hyperlink"/>
    <w:basedOn w:val="Fuentedeprrafopredeter"/>
    <w:uiPriority w:val="99"/>
    <w:unhideWhenUsed/>
    <w:rsid w:val="00D6365C"/>
    <w:rPr>
      <w:color w:val="0563C1" w:themeColor="hyperlink"/>
      <w:u w:val="single"/>
    </w:rPr>
  </w:style>
  <w:style w:type="character" w:styleId="Mencinsinresolver">
    <w:name w:val="Unresolved Mention"/>
    <w:basedOn w:val="Fuentedeprrafopredeter"/>
    <w:uiPriority w:val="99"/>
    <w:semiHidden/>
    <w:unhideWhenUsed/>
    <w:rsid w:val="008946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issantillana1@yahoo.es" TargetMode="External"/><Relationship Id="rId3" Type="http://schemas.openxmlformats.org/officeDocument/2006/relationships/settings" Target="settings.xml"/><Relationship Id="rId7" Type="http://schemas.openxmlformats.org/officeDocument/2006/relationships/hyperlink" Target="mailto:luis.santillana@greennergloba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igonzalez1022@gmail.com" TargetMode="External"/><Relationship Id="rId11" Type="http://schemas.openxmlformats.org/officeDocument/2006/relationships/fontTable" Target="fontTable.xml"/><Relationship Id="rId5" Type="http://schemas.openxmlformats.org/officeDocument/2006/relationships/hyperlink" Target="mailto:sergio.gonzalez@greennerglobal.com" TargetMode="External"/><Relationship Id="rId10" Type="http://schemas.openxmlformats.org/officeDocument/2006/relationships/hyperlink" Target="mailto:luisfelipe.aching@aching.com" TargetMode="External"/><Relationship Id="rId4" Type="http://schemas.openxmlformats.org/officeDocument/2006/relationships/webSettings" Target="webSettings.xml"/><Relationship Id="rId9" Type="http://schemas.openxmlformats.org/officeDocument/2006/relationships/hyperlink" Target="mailto:luis.aching@greennergloba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1301</Words>
  <Characters>7419</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Gonzalez</dc:creator>
  <cp:keywords/>
  <dc:description/>
  <cp:lastModifiedBy>Sergio Gonzalez</cp:lastModifiedBy>
  <cp:revision>2</cp:revision>
  <dcterms:created xsi:type="dcterms:W3CDTF">2025-04-29T20:20:00Z</dcterms:created>
  <dcterms:modified xsi:type="dcterms:W3CDTF">2025-04-29T20:20:00Z</dcterms:modified>
</cp:coreProperties>
</file>