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9378" w14:textId="1172629A" w:rsidR="00D5001B" w:rsidRPr="00181C59" w:rsidRDefault="000B12A6" w:rsidP="003631A6">
      <w:pPr>
        <w:spacing w:after="0" w:line="360" w:lineRule="auto"/>
        <w:jc w:val="both"/>
        <w:rPr>
          <w:rFonts w:ascii="Arial" w:hAnsi="Arial" w:cs="Arial"/>
          <w:sz w:val="22"/>
          <w:szCs w:val="22"/>
        </w:rPr>
      </w:pPr>
      <w:r w:rsidRPr="00181C59">
        <w:rPr>
          <w:rFonts w:ascii="Arial" w:hAnsi="Arial" w:cs="Arial"/>
          <w:b/>
          <w:bCs/>
          <w:sz w:val="22"/>
          <w:szCs w:val="22"/>
        </w:rPr>
        <w:t xml:space="preserve">Título: </w:t>
      </w:r>
      <w:r w:rsidRPr="00181C59">
        <w:rPr>
          <w:rFonts w:ascii="Arial" w:hAnsi="Arial" w:cs="Arial"/>
          <w:sz w:val="22"/>
          <w:szCs w:val="22"/>
        </w:rPr>
        <w:t>Construcción</w:t>
      </w:r>
      <w:r w:rsidR="00D5001B" w:rsidRPr="00181C59">
        <w:rPr>
          <w:rFonts w:ascii="Arial" w:hAnsi="Arial" w:cs="Arial"/>
          <w:sz w:val="22"/>
          <w:szCs w:val="22"/>
        </w:rPr>
        <w:t xml:space="preserve"> del Pad de Lixiviación en una Superficie de Tajo de Mina Explotado</w:t>
      </w:r>
    </w:p>
    <w:p w14:paraId="69160C43" w14:textId="43FC4551" w:rsidR="00D5001B" w:rsidRPr="00181C59" w:rsidRDefault="000B12A6" w:rsidP="003631A6">
      <w:pPr>
        <w:spacing w:after="0" w:line="360" w:lineRule="auto"/>
        <w:jc w:val="both"/>
        <w:rPr>
          <w:rFonts w:ascii="Arial" w:hAnsi="Arial" w:cs="Arial"/>
          <w:b/>
          <w:bCs/>
          <w:sz w:val="22"/>
          <w:szCs w:val="22"/>
        </w:rPr>
      </w:pPr>
      <w:r w:rsidRPr="00181C59">
        <w:rPr>
          <w:rFonts w:ascii="Arial" w:hAnsi="Arial" w:cs="Arial"/>
          <w:b/>
          <w:bCs/>
          <w:sz w:val="22"/>
          <w:szCs w:val="22"/>
        </w:rPr>
        <w:t>Tema:</w:t>
      </w:r>
      <w:r w:rsidRPr="00181C59">
        <w:rPr>
          <w:rFonts w:ascii="Arial" w:hAnsi="Arial" w:cs="Arial"/>
          <w:sz w:val="22"/>
          <w:szCs w:val="22"/>
        </w:rPr>
        <w:t xml:space="preserve"> Optimización</w:t>
      </w:r>
      <w:r w:rsidR="00D5001B" w:rsidRPr="00181C59">
        <w:rPr>
          <w:rFonts w:ascii="Arial" w:hAnsi="Arial" w:cs="Arial"/>
          <w:sz w:val="22"/>
          <w:szCs w:val="22"/>
        </w:rPr>
        <w:t xml:space="preserve"> de operaciones y procesos en plantas</w:t>
      </w:r>
    </w:p>
    <w:p w14:paraId="1B4472E1" w14:textId="4579A454" w:rsidR="00D5001B" w:rsidRPr="00181C59" w:rsidRDefault="00D5001B" w:rsidP="003631A6">
      <w:pPr>
        <w:spacing w:after="0" w:line="360" w:lineRule="auto"/>
        <w:jc w:val="both"/>
        <w:rPr>
          <w:rFonts w:ascii="Arial" w:hAnsi="Arial" w:cs="Arial"/>
          <w:b/>
          <w:bCs/>
          <w:sz w:val="22"/>
          <w:szCs w:val="22"/>
        </w:rPr>
      </w:pPr>
      <w:r w:rsidRPr="00181C59">
        <w:rPr>
          <w:rFonts w:ascii="Arial" w:hAnsi="Arial" w:cs="Arial"/>
          <w:b/>
          <w:bCs/>
          <w:sz w:val="22"/>
          <w:szCs w:val="22"/>
        </w:rPr>
        <w:t>Categoría:</w:t>
      </w:r>
      <w:r w:rsidR="000B12A6" w:rsidRPr="00181C59">
        <w:rPr>
          <w:rFonts w:ascii="Arial" w:hAnsi="Arial" w:cs="Arial"/>
          <w:b/>
          <w:bCs/>
          <w:sz w:val="22"/>
          <w:szCs w:val="22"/>
        </w:rPr>
        <w:t xml:space="preserve"> </w:t>
      </w:r>
      <w:r w:rsidRPr="00181C59">
        <w:rPr>
          <w:rFonts w:ascii="Arial" w:hAnsi="Arial" w:cs="Arial"/>
          <w:sz w:val="22"/>
          <w:szCs w:val="22"/>
        </w:rPr>
        <w:t>Procesamiento de Minerales y Metalurgia Extractiva</w:t>
      </w:r>
    </w:p>
    <w:p w14:paraId="5014EEA5" w14:textId="396413DF" w:rsidR="000B12A6" w:rsidRDefault="000B12A6" w:rsidP="003631A6">
      <w:pPr>
        <w:spacing w:after="0" w:line="360" w:lineRule="auto"/>
        <w:jc w:val="both"/>
        <w:rPr>
          <w:rFonts w:ascii="Arial" w:hAnsi="Arial" w:cs="Arial"/>
          <w:b/>
          <w:bCs/>
          <w:sz w:val="22"/>
          <w:szCs w:val="22"/>
        </w:rPr>
      </w:pPr>
      <w:bookmarkStart w:id="0" w:name="_Hlk197936913"/>
      <w:r w:rsidRPr="00181C59">
        <w:rPr>
          <w:rFonts w:ascii="Arial" w:hAnsi="Arial" w:cs="Arial"/>
          <w:b/>
          <w:bCs/>
          <w:sz w:val="22"/>
          <w:szCs w:val="22"/>
        </w:rPr>
        <w:t>Datos del autor y coautores:</w:t>
      </w:r>
    </w:p>
    <w:p w14:paraId="207D429D" w14:textId="77777777" w:rsidR="00C31E56" w:rsidRPr="00181C59" w:rsidRDefault="00C31E56" w:rsidP="003631A6">
      <w:pPr>
        <w:spacing w:after="0" w:line="360" w:lineRule="auto"/>
        <w:jc w:val="both"/>
        <w:rPr>
          <w:rFonts w:ascii="Arial" w:hAnsi="Arial" w:cs="Arial"/>
          <w:b/>
          <w:bCs/>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5"/>
        <w:gridCol w:w="4799"/>
      </w:tblGrid>
      <w:tr w:rsidR="003E7AD6" w:rsidRPr="00181C59" w14:paraId="61CFE342" w14:textId="77777777" w:rsidTr="00C31E56">
        <w:trPr>
          <w:trHeight w:val="1301"/>
        </w:trPr>
        <w:tc>
          <w:tcPr>
            <w:tcW w:w="4390" w:type="dxa"/>
          </w:tcPr>
          <w:p w14:paraId="6E229157" w14:textId="6B5811C8" w:rsidR="003E7AD6" w:rsidRPr="00181C59" w:rsidRDefault="003E7AD6" w:rsidP="003631A6">
            <w:pPr>
              <w:spacing w:line="360" w:lineRule="auto"/>
              <w:jc w:val="both"/>
              <w:rPr>
                <w:rFonts w:ascii="Arial" w:hAnsi="Arial" w:cs="Arial"/>
                <w:b/>
                <w:bCs/>
                <w:sz w:val="22"/>
                <w:szCs w:val="22"/>
              </w:rPr>
            </w:pPr>
            <w:r w:rsidRPr="00181C59">
              <w:rPr>
                <w:rFonts w:ascii="Arial" w:hAnsi="Arial" w:cs="Arial"/>
                <w:sz w:val="22"/>
                <w:szCs w:val="22"/>
              </w:rPr>
              <w:t>Wilber Delgado Poma</w:t>
            </w:r>
          </w:p>
          <w:p w14:paraId="4F836743" w14:textId="730FB623" w:rsidR="003E7AD6" w:rsidRPr="00181C59" w:rsidRDefault="003E7AD6" w:rsidP="003631A6">
            <w:pPr>
              <w:spacing w:line="360" w:lineRule="auto"/>
              <w:jc w:val="both"/>
              <w:rPr>
                <w:rFonts w:ascii="Arial" w:hAnsi="Arial" w:cs="Arial"/>
                <w:b/>
                <w:bCs/>
                <w:sz w:val="22"/>
                <w:szCs w:val="22"/>
              </w:rPr>
            </w:pPr>
            <w:r w:rsidRPr="00181C59">
              <w:rPr>
                <w:rFonts w:ascii="Arial" w:hAnsi="Arial" w:cs="Arial"/>
                <w:b/>
                <w:bCs/>
                <w:sz w:val="22"/>
                <w:szCs w:val="22"/>
              </w:rPr>
              <w:t>(Autor)</w:t>
            </w:r>
          </w:p>
        </w:tc>
        <w:tc>
          <w:tcPr>
            <w:tcW w:w="5285" w:type="dxa"/>
          </w:tcPr>
          <w:p w14:paraId="16CC5FA8" w14:textId="4AE0FD37" w:rsidR="00C31E56" w:rsidRDefault="00C31E56" w:rsidP="003631A6">
            <w:pPr>
              <w:spacing w:line="360" w:lineRule="auto"/>
              <w:jc w:val="both"/>
              <w:rPr>
                <w:rFonts w:ascii="Arial" w:hAnsi="Arial" w:cs="Arial"/>
                <w:sz w:val="22"/>
                <w:szCs w:val="22"/>
              </w:rPr>
            </w:pPr>
            <w:r>
              <w:rPr>
                <w:rFonts w:ascii="Arial" w:hAnsi="Arial" w:cs="Arial"/>
                <w:sz w:val="22"/>
                <w:szCs w:val="22"/>
              </w:rPr>
              <w:t>MINSUR</w:t>
            </w:r>
          </w:p>
          <w:p w14:paraId="6C474462" w14:textId="007154BC" w:rsidR="003E7AD6" w:rsidRDefault="003E7AD6" w:rsidP="003631A6">
            <w:pPr>
              <w:spacing w:line="360" w:lineRule="auto"/>
              <w:jc w:val="both"/>
              <w:rPr>
                <w:rFonts w:ascii="Arial" w:hAnsi="Arial" w:cs="Arial"/>
                <w:sz w:val="22"/>
                <w:szCs w:val="22"/>
              </w:rPr>
            </w:pPr>
            <w:r w:rsidRPr="00181C59">
              <w:rPr>
                <w:rFonts w:ascii="Arial" w:hAnsi="Arial" w:cs="Arial"/>
                <w:sz w:val="22"/>
                <w:szCs w:val="22"/>
              </w:rPr>
              <w:t>Gerente De Operación.</w:t>
            </w:r>
          </w:p>
          <w:p w14:paraId="400128E1" w14:textId="75A57D71" w:rsidR="00C31E56" w:rsidRPr="00181C59" w:rsidRDefault="005C00C2" w:rsidP="003631A6">
            <w:pPr>
              <w:spacing w:line="360" w:lineRule="auto"/>
              <w:jc w:val="both"/>
              <w:rPr>
                <w:rFonts w:ascii="Arial" w:hAnsi="Arial" w:cs="Arial"/>
                <w:sz w:val="22"/>
                <w:szCs w:val="22"/>
              </w:rPr>
            </w:pPr>
            <w:r w:rsidRPr="005C00C2">
              <w:rPr>
                <w:rFonts w:ascii="Arial" w:hAnsi="Arial" w:cs="Arial"/>
                <w:sz w:val="22"/>
                <w:szCs w:val="22"/>
                <w:lang w:val="es-MX"/>
              </w:rPr>
              <w:t>Av. Velasco Astete1223 Int. 201, Surco, Lima</w:t>
            </w:r>
          </w:p>
          <w:p w14:paraId="179B0743" w14:textId="31724991" w:rsidR="00C31E56" w:rsidRDefault="003E7AD6" w:rsidP="003631A6">
            <w:pPr>
              <w:spacing w:line="360" w:lineRule="auto"/>
              <w:jc w:val="both"/>
              <w:rPr>
                <w:rFonts w:ascii="Arial" w:hAnsi="Arial" w:cs="Arial"/>
                <w:sz w:val="22"/>
                <w:szCs w:val="22"/>
              </w:rPr>
            </w:pPr>
            <w:hyperlink r:id="rId5" w:history="1">
              <w:r w:rsidR="00B24CE3" w:rsidRPr="00181C59">
                <w:rPr>
                  <w:rStyle w:val="Hipervnculo"/>
                  <w:rFonts w:ascii="Arial" w:hAnsi="Arial" w:cs="Arial"/>
                  <w:sz w:val="22"/>
                  <w:szCs w:val="22"/>
                </w:rPr>
                <w:t>wilber.delgado@minsur.com</w:t>
              </w:r>
            </w:hyperlink>
          </w:p>
          <w:p w14:paraId="30D3C63E" w14:textId="07E372DA" w:rsidR="003631A6" w:rsidRDefault="003631A6" w:rsidP="003631A6">
            <w:pPr>
              <w:spacing w:line="360" w:lineRule="auto"/>
              <w:jc w:val="both"/>
              <w:rPr>
                <w:rFonts w:ascii="Arial" w:hAnsi="Arial" w:cs="Arial"/>
                <w:sz w:val="22"/>
                <w:szCs w:val="22"/>
                <w:lang w:val="es-MX"/>
              </w:rPr>
            </w:pPr>
            <w:hyperlink r:id="rId6" w:tgtFrame="_blank" w:tooltip="mailto:wdelgado0307@gmail.com" w:history="1">
              <w:r w:rsidRPr="003631A6">
                <w:rPr>
                  <w:rStyle w:val="Hipervnculo"/>
                  <w:rFonts w:ascii="Arial" w:hAnsi="Arial" w:cs="Arial"/>
                  <w:sz w:val="22"/>
                  <w:szCs w:val="22"/>
                  <w:lang w:val="es-MX"/>
                </w:rPr>
                <w:t>wdelgado0307@gmail.com</w:t>
              </w:r>
            </w:hyperlink>
            <w:r w:rsidRPr="003631A6">
              <w:rPr>
                <w:rFonts w:ascii="Arial" w:hAnsi="Arial" w:cs="Arial"/>
                <w:sz w:val="22"/>
                <w:szCs w:val="22"/>
                <w:lang w:val="es-MX"/>
              </w:rPr>
              <w:t xml:space="preserve"> </w:t>
            </w:r>
          </w:p>
          <w:p w14:paraId="3C92ABA6" w14:textId="2268FD8D" w:rsidR="003E7AD6" w:rsidRPr="00181C59" w:rsidRDefault="003E7AD6" w:rsidP="003631A6">
            <w:pPr>
              <w:spacing w:line="360" w:lineRule="auto"/>
              <w:jc w:val="both"/>
              <w:rPr>
                <w:rFonts w:ascii="Arial" w:hAnsi="Arial" w:cs="Arial"/>
                <w:sz w:val="22"/>
                <w:szCs w:val="22"/>
              </w:rPr>
            </w:pPr>
            <w:r w:rsidRPr="00181C59">
              <w:rPr>
                <w:rFonts w:ascii="Arial" w:hAnsi="Arial" w:cs="Arial"/>
                <w:sz w:val="22"/>
                <w:szCs w:val="22"/>
              </w:rPr>
              <w:t>951 292 423</w:t>
            </w:r>
          </w:p>
        </w:tc>
      </w:tr>
      <w:tr w:rsidR="003E7AD6" w:rsidRPr="00181C59" w14:paraId="49540BCB" w14:textId="77777777" w:rsidTr="00C31E56">
        <w:trPr>
          <w:trHeight w:val="852"/>
        </w:trPr>
        <w:tc>
          <w:tcPr>
            <w:tcW w:w="4390" w:type="dxa"/>
          </w:tcPr>
          <w:p w14:paraId="7F4E40A7" w14:textId="201FD8D8" w:rsidR="003E7AD6" w:rsidRPr="00181C59" w:rsidRDefault="003E7AD6" w:rsidP="003631A6">
            <w:pPr>
              <w:spacing w:line="360" w:lineRule="auto"/>
              <w:jc w:val="both"/>
              <w:rPr>
                <w:rFonts w:ascii="Arial" w:hAnsi="Arial" w:cs="Arial"/>
                <w:b/>
                <w:bCs/>
                <w:sz w:val="22"/>
                <w:szCs w:val="22"/>
              </w:rPr>
            </w:pPr>
            <w:r w:rsidRPr="00181C59">
              <w:rPr>
                <w:rFonts w:ascii="Arial" w:hAnsi="Arial" w:cs="Arial"/>
                <w:sz w:val="22"/>
                <w:szCs w:val="22"/>
              </w:rPr>
              <w:t>Juan Rolin Carhuaricra Capcha</w:t>
            </w:r>
            <w:r w:rsidRPr="00181C59">
              <w:rPr>
                <w:rFonts w:ascii="Arial" w:hAnsi="Arial" w:cs="Arial"/>
                <w:b/>
                <w:bCs/>
                <w:sz w:val="22"/>
                <w:szCs w:val="22"/>
              </w:rPr>
              <w:t xml:space="preserve"> </w:t>
            </w:r>
            <w:r w:rsidRPr="00181C59">
              <w:rPr>
                <w:rFonts w:ascii="Arial" w:hAnsi="Arial" w:cs="Arial"/>
                <w:b/>
                <w:bCs/>
                <w:sz w:val="22"/>
                <w:szCs w:val="22"/>
              </w:rPr>
              <w:t>(Coautor)</w:t>
            </w:r>
          </w:p>
        </w:tc>
        <w:tc>
          <w:tcPr>
            <w:tcW w:w="5285" w:type="dxa"/>
          </w:tcPr>
          <w:p w14:paraId="3BA6AA59" w14:textId="20CD05DE" w:rsidR="00C31E56" w:rsidRDefault="00C31E56" w:rsidP="003631A6">
            <w:pPr>
              <w:spacing w:line="360" w:lineRule="auto"/>
              <w:jc w:val="both"/>
              <w:rPr>
                <w:rFonts w:ascii="Arial" w:hAnsi="Arial" w:cs="Arial"/>
                <w:sz w:val="22"/>
                <w:szCs w:val="22"/>
              </w:rPr>
            </w:pPr>
            <w:r>
              <w:rPr>
                <w:rFonts w:ascii="Arial" w:hAnsi="Arial" w:cs="Arial"/>
                <w:sz w:val="22"/>
                <w:szCs w:val="22"/>
              </w:rPr>
              <w:t>MINSUR</w:t>
            </w:r>
          </w:p>
          <w:p w14:paraId="3753026E" w14:textId="45E983AD" w:rsidR="003E7AD6" w:rsidRDefault="003E7AD6" w:rsidP="003631A6">
            <w:pPr>
              <w:spacing w:line="360" w:lineRule="auto"/>
              <w:jc w:val="both"/>
              <w:rPr>
                <w:rFonts w:ascii="Arial" w:hAnsi="Arial" w:cs="Arial"/>
                <w:sz w:val="22"/>
                <w:szCs w:val="22"/>
              </w:rPr>
            </w:pPr>
            <w:r w:rsidRPr="00181C59">
              <w:rPr>
                <w:rFonts w:ascii="Arial" w:hAnsi="Arial" w:cs="Arial"/>
                <w:sz w:val="22"/>
                <w:szCs w:val="22"/>
              </w:rPr>
              <w:t>Superintendente De Geotecnia</w:t>
            </w:r>
          </w:p>
          <w:p w14:paraId="3EA1FDBE" w14:textId="2C127DDD" w:rsidR="005C00C2" w:rsidRPr="00181C59" w:rsidRDefault="005C00C2" w:rsidP="003631A6">
            <w:pPr>
              <w:spacing w:line="360" w:lineRule="auto"/>
              <w:jc w:val="both"/>
              <w:rPr>
                <w:rFonts w:ascii="Arial" w:hAnsi="Arial" w:cs="Arial"/>
                <w:sz w:val="22"/>
                <w:szCs w:val="22"/>
              </w:rPr>
            </w:pPr>
            <w:r w:rsidRPr="005C00C2">
              <w:rPr>
                <w:rFonts w:ascii="Arial" w:hAnsi="Arial" w:cs="Arial"/>
                <w:sz w:val="22"/>
                <w:szCs w:val="22"/>
              </w:rPr>
              <w:t>Los girasoles de Chaclacayo</w:t>
            </w:r>
            <w:r>
              <w:rPr>
                <w:rFonts w:ascii="Arial" w:hAnsi="Arial" w:cs="Arial"/>
                <w:sz w:val="22"/>
                <w:szCs w:val="22"/>
              </w:rPr>
              <w:t xml:space="preserve"> - Lima</w:t>
            </w:r>
          </w:p>
          <w:p w14:paraId="6F59D9A9" w14:textId="11799914" w:rsidR="005C00C2" w:rsidRDefault="005C00C2" w:rsidP="003631A6">
            <w:pPr>
              <w:spacing w:line="360" w:lineRule="auto"/>
              <w:jc w:val="both"/>
              <w:rPr>
                <w:rStyle w:val="Hipervnculo"/>
                <w:rFonts w:ascii="Arial" w:hAnsi="Arial" w:cs="Arial"/>
                <w:sz w:val="22"/>
                <w:szCs w:val="22"/>
              </w:rPr>
            </w:pPr>
            <w:r w:rsidRPr="005C00C2">
              <w:rPr>
                <w:rStyle w:val="Hipervnculo"/>
                <w:rFonts w:ascii="Arial" w:hAnsi="Arial" w:cs="Arial"/>
                <w:sz w:val="22"/>
                <w:szCs w:val="22"/>
              </w:rPr>
              <w:t>juan.carhuaricra@minsur.co</w:t>
            </w:r>
            <w:r>
              <w:rPr>
                <w:rStyle w:val="Hipervnculo"/>
                <w:rFonts w:ascii="Arial" w:hAnsi="Arial" w:cs="Arial"/>
                <w:sz w:val="22"/>
                <w:szCs w:val="22"/>
              </w:rPr>
              <w:t>m</w:t>
            </w:r>
          </w:p>
          <w:p w14:paraId="5148AABE" w14:textId="217B63C9" w:rsidR="005C00C2" w:rsidRPr="005C00C2" w:rsidRDefault="005C00C2" w:rsidP="003631A6">
            <w:pPr>
              <w:spacing w:line="360" w:lineRule="auto"/>
              <w:jc w:val="both"/>
              <w:rPr>
                <w:rStyle w:val="Hipervnculo"/>
              </w:rPr>
            </w:pPr>
            <w:r w:rsidRPr="005C00C2">
              <w:rPr>
                <w:rStyle w:val="Hipervnculo"/>
              </w:rPr>
              <w:t>carhuarij28@gmail.com</w:t>
            </w:r>
          </w:p>
          <w:p w14:paraId="139EACB3" w14:textId="3AC16167" w:rsidR="003E7AD6" w:rsidRPr="00181C59" w:rsidRDefault="003E7AD6" w:rsidP="003631A6">
            <w:pPr>
              <w:spacing w:line="360" w:lineRule="auto"/>
              <w:jc w:val="both"/>
              <w:rPr>
                <w:rFonts w:ascii="Arial" w:hAnsi="Arial" w:cs="Arial"/>
                <w:sz w:val="22"/>
                <w:szCs w:val="22"/>
              </w:rPr>
            </w:pPr>
            <w:r w:rsidRPr="00181C59">
              <w:rPr>
                <w:rFonts w:ascii="Arial" w:hAnsi="Arial" w:cs="Arial"/>
                <w:sz w:val="22"/>
                <w:szCs w:val="22"/>
              </w:rPr>
              <w:t>984 385 602</w:t>
            </w:r>
          </w:p>
        </w:tc>
      </w:tr>
      <w:tr w:rsidR="003E7AD6" w:rsidRPr="00181C59" w14:paraId="782F6AD3" w14:textId="77777777" w:rsidTr="00C31E56">
        <w:trPr>
          <w:trHeight w:val="1221"/>
        </w:trPr>
        <w:tc>
          <w:tcPr>
            <w:tcW w:w="4390" w:type="dxa"/>
          </w:tcPr>
          <w:p w14:paraId="38555080" w14:textId="377DC805" w:rsidR="003E7AD6" w:rsidRPr="00181C59" w:rsidRDefault="003E7AD6" w:rsidP="003631A6">
            <w:pPr>
              <w:spacing w:line="360" w:lineRule="auto"/>
              <w:jc w:val="both"/>
              <w:rPr>
                <w:rFonts w:ascii="Arial" w:hAnsi="Arial" w:cs="Arial"/>
                <w:b/>
                <w:bCs/>
                <w:sz w:val="22"/>
                <w:szCs w:val="22"/>
              </w:rPr>
            </w:pPr>
            <w:r w:rsidRPr="00181C59">
              <w:rPr>
                <w:rFonts w:ascii="Arial" w:hAnsi="Arial" w:cs="Arial"/>
                <w:sz w:val="22"/>
                <w:szCs w:val="22"/>
              </w:rPr>
              <w:t>Miguel Angel Horna Sanchez</w:t>
            </w:r>
            <w:r w:rsidRPr="00181C59">
              <w:rPr>
                <w:rFonts w:ascii="Arial" w:hAnsi="Arial" w:cs="Arial"/>
                <w:b/>
                <w:bCs/>
                <w:sz w:val="22"/>
                <w:szCs w:val="22"/>
              </w:rPr>
              <w:t xml:space="preserve"> </w:t>
            </w:r>
            <w:r w:rsidRPr="00181C59">
              <w:rPr>
                <w:rFonts w:ascii="Arial" w:hAnsi="Arial" w:cs="Arial"/>
                <w:b/>
                <w:bCs/>
                <w:sz w:val="22"/>
                <w:szCs w:val="22"/>
              </w:rPr>
              <w:t>(Coautor)</w:t>
            </w:r>
          </w:p>
        </w:tc>
        <w:tc>
          <w:tcPr>
            <w:tcW w:w="5285" w:type="dxa"/>
          </w:tcPr>
          <w:p w14:paraId="25F105CA" w14:textId="2C2E9304" w:rsidR="00C31E56" w:rsidRDefault="00C31E56" w:rsidP="003631A6">
            <w:pPr>
              <w:spacing w:line="360" w:lineRule="auto"/>
              <w:rPr>
                <w:rFonts w:ascii="Arial" w:hAnsi="Arial" w:cs="Arial"/>
                <w:sz w:val="22"/>
                <w:szCs w:val="22"/>
              </w:rPr>
            </w:pPr>
            <w:r>
              <w:rPr>
                <w:rFonts w:ascii="Arial" w:hAnsi="Arial" w:cs="Arial"/>
                <w:sz w:val="22"/>
                <w:szCs w:val="22"/>
              </w:rPr>
              <w:t>MINSUR</w:t>
            </w:r>
          </w:p>
          <w:p w14:paraId="709428EC" w14:textId="760A83CC" w:rsidR="005C00C2" w:rsidRDefault="003E7AD6" w:rsidP="003631A6">
            <w:pPr>
              <w:spacing w:line="360" w:lineRule="auto"/>
              <w:rPr>
                <w:rFonts w:ascii="Arial" w:hAnsi="Arial" w:cs="Arial"/>
                <w:sz w:val="22"/>
                <w:szCs w:val="22"/>
              </w:rPr>
            </w:pPr>
            <w:r w:rsidRPr="00181C59">
              <w:rPr>
                <w:rFonts w:ascii="Arial" w:hAnsi="Arial" w:cs="Arial"/>
                <w:sz w:val="22"/>
                <w:szCs w:val="22"/>
              </w:rPr>
              <w:t>Supervisor De Obra</w:t>
            </w:r>
          </w:p>
          <w:p w14:paraId="1E1DE492" w14:textId="024052E5" w:rsidR="005C00C2" w:rsidRDefault="005C00C2" w:rsidP="003631A6">
            <w:pPr>
              <w:spacing w:line="360" w:lineRule="auto"/>
              <w:rPr>
                <w:rFonts w:ascii="Arial" w:hAnsi="Arial" w:cs="Arial"/>
                <w:sz w:val="22"/>
                <w:szCs w:val="22"/>
              </w:rPr>
            </w:pPr>
            <w:r w:rsidRPr="005C00C2">
              <w:rPr>
                <w:rFonts w:ascii="Arial" w:hAnsi="Arial" w:cs="Arial"/>
                <w:sz w:val="22"/>
                <w:szCs w:val="22"/>
              </w:rPr>
              <w:t>Mz. G lote 36 Los cedros, Trujillo</w:t>
            </w:r>
          </w:p>
          <w:p w14:paraId="31240BE2" w14:textId="646486F4" w:rsidR="005C00C2" w:rsidRDefault="005C00C2" w:rsidP="003631A6">
            <w:pPr>
              <w:spacing w:line="360" w:lineRule="auto"/>
              <w:rPr>
                <w:rStyle w:val="Hipervnculo"/>
                <w:rFonts w:ascii="Arial" w:hAnsi="Arial" w:cs="Arial"/>
                <w:sz w:val="22"/>
                <w:szCs w:val="22"/>
              </w:rPr>
            </w:pPr>
            <w:hyperlink r:id="rId7" w:history="1">
              <w:r w:rsidRPr="00501585">
                <w:rPr>
                  <w:rStyle w:val="Hipervnculo"/>
                  <w:rFonts w:ascii="Arial" w:hAnsi="Arial" w:cs="Arial"/>
                  <w:sz w:val="22"/>
                  <w:szCs w:val="22"/>
                </w:rPr>
                <w:t>miguel.horna@minsur.com</w:t>
              </w:r>
            </w:hyperlink>
          </w:p>
          <w:p w14:paraId="75129EAB" w14:textId="129789C2" w:rsidR="005C00C2" w:rsidRPr="005C00C2" w:rsidRDefault="005C00C2" w:rsidP="003631A6">
            <w:pPr>
              <w:spacing w:line="360" w:lineRule="auto"/>
              <w:rPr>
                <w:rFonts w:ascii="Arial" w:hAnsi="Arial" w:cs="Arial"/>
                <w:color w:val="467886" w:themeColor="hyperlink"/>
                <w:sz w:val="22"/>
                <w:szCs w:val="22"/>
                <w:u w:val="single"/>
              </w:rPr>
            </w:pPr>
            <w:r w:rsidRPr="005C00C2">
              <w:rPr>
                <w:rFonts w:ascii="Arial" w:hAnsi="Arial" w:cs="Arial"/>
                <w:color w:val="467886" w:themeColor="hyperlink"/>
                <w:sz w:val="22"/>
                <w:szCs w:val="22"/>
                <w:u w:val="single"/>
              </w:rPr>
              <w:t>mhornas2@hotmail.com</w:t>
            </w:r>
          </w:p>
          <w:p w14:paraId="297492C5" w14:textId="7EE3388F" w:rsidR="003E7AD6" w:rsidRPr="00181C59" w:rsidRDefault="003E7AD6" w:rsidP="003631A6">
            <w:pPr>
              <w:spacing w:line="360" w:lineRule="auto"/>
              <w:jc w:val="both"/>
              <w:rPr>
                <w:rFonts w:ascii="Arial" w:hAnsi="Arial" w:cs="Arial"/>
                <w:sz w:val="22"/>
                <w:szCs w:val="22"/>
              </w:rPr>
            </w:pPr>
            <w:r w:rsidRPr="00181C59">
              <w:rPr>
                <w:rFonts w:ascii="Arial" w:hAnsi="Arial" w:cs="Arial"/>
                <w:sz w:val="22"/>
                <w:szCs w:val="22"/>
              </w:rPr>
              <w:t>994 623 822</w:t>
            </w:r>
          </w:p>
        </w:tc>
      </w:tr>
    </w:tbl>
    <w:bookmarkEnd w:id="0"/>
    <w:p w14:paraId="06C35CDF" w14:textId="4F5B1BA1" w:rsidR="00D5001B" w:rsidRPr="00181C59" w:rsidRDefault="00D5001B" w:rsidP="003631A6">
      <w:pPr>
        <w:spacing w:after="0" w:line="360" w:lineRule="auto"/>
        <w:jc w:val="both"/>
        <w:rPr>
          <w:rFonts w:ascii="Arial" w:hAnsi="Arial" w:cs="Arial"/>
          <w:b/>
          <w:bCs/>
          <w:sz w:val="22"/>
          <w:szCs w:val="22"/>
        </w:rPr>
      </w:pPr>
      <w:r w:rsidRPr="00181C59">
        <w:rPr>
          <w:rFonts w:ascii="Arial" w:hAnsi="Arial" w:cs="Arial"/>
          <w:b/>
          <w:bCs/>
          <w:sz w:val="22"/>
          <w:szCs w:val="22"/>
        </w:rPr>
        <w:t>Palabras clave:</w:t>
      </w:r>
      <w:r w:rsidR="000B12A6" w:rsidRPr="00181C59">
        <w:rPr>
          <w:rFonts w:ascii="Arial" w:hAnsi="Arial" w:cs="Arial"/>
          <w:b/>
          <w:bCs/>
          <w:sz w:val="22"/>
          <w:szCs w:val="22"/>
        </w:rPr>
        <w:t xml:space="preserve"> </w:t>
      </w:r>
      <w:r w:rsidR="000B12A6" w:rsidRPr="00181C59">
        <w:rPr>
          <w:rFonts w:ascii="Arial" w:hAnsi="Arial" w:cs="Arial"/>
          <w:sz w:val="22"/>
          <w:szCs w:val="22"/>
        </w:rPr>
        <w:t>P</w:t>
      </w:r>
      <w:r w:rsidRPr="00181C59">
        <w:rPr>
          <w:rFonts w:ascii="Arial" w:hAnsi="Arial" w:cs="Arial"/>
          <w:sz w:val="22"/>
          <w:szCs w:val="22"/>
        </w:rPr>
        <w:t>ad de lixiviación, geosintéticos, tajo explotado, subdrenaje, canales de coronación, solución rica</w:t>
      </w:r>
    </w:p>
    <w:p w14:paraId="0FCE94C2" w14:textId="77777777" w:rsidR="00D5001B" w:rsidRPr="00181C59" w:rsidRDefault="00D5001B" w:rsidP="003631A6">
      <w:pPr>
        <w:spacing w:after="0" w:line="360" w:lineRule="auto"/>
        <w:jc w:val="both"/>
        <w:rPr>
          <w:rFonts w:ascii="Arial" w:hAnsi="Arial" w:cs="Arial"/>
          <w:b/>
          <w:bCs/>
          <w:sz w:val="22"/>
          <w:szCs w:val="22"/>
        </w:rPr>
      </w:pPr>
      <w:bookmarkStart w:id="1" w:name="_Hlk197936948"/>
      <w:r w:rsidRPr="00181C59">
        <w:rPr>
          <w:rFonts w:ascii="Arial" w:hAnsi="Arial" w:cs="Arial"/>
          <w:b/>
          <w:bCs/>
          <w:sz w:val="22"/>
          <w:szCs w:val="22"/>
        </w:rPr>
        <w:t>1. Contexto del trabajo</w:t>
      </w:r>
    </w:p>
    <w:bookmarkEnd w:id="1"/>
    <w:p w14:paraId="032F3D0B" w14:textId="753FC7E7" w:rsidR="00D5001B" w:rsidRPr="00181C59" w:rsidRDefault="00D5001B" w:rsidP="003631A6">
      <w:pPr>
        <w:spacing w:after="0" w:line="360" w:lineRule="auto"/>
        <w:jc w:val="both"/>
        <w:rPr>
          <w:rFonts w:ascii="Arial" w:hAnsi="Arial" w:cs="Arial"/>
          <w:sz w:val="22"/>
          <w:szCs w:val="22"/>
        </w:rPr>
      </w:pPr>
      <w:r w:rsidRPr="00181C59">
        <w:rPr>
          <w:rFonts w:ascii="Arial" w:hAnsi="Arial" w:cs="Arial"/>
          <w:sz w:val="22"/>
          <w:szCs w:val="22"/>
        </w:rPr>
        <w:t>La presente experiencia técnica se desarrolló en una unidad minera ubicada en el sur del Perú, donde se planteó como reto la construcción de un pad de lixiviación sobre una superficie previamente intervenida: un tajo agotado formado por depósitos morrénicos heterogéneos y relieves irregulares. Esta condición geotécnica compleja demandó soluciones de diseño adaptadas a taludes empinados, presencia de suelo residual y exposición a condiciones climáticas extremas propias de la zona altoandina. El proyecto fue concebido para dar continuidad a las operaciones extractivas, aprovechando eficientemente el terreno disponible sin expandir la huella ambiental de la unidad minera.</w:t>
      </w:r>
    </w:p>
    <w:p w14:paraId="464583D3" w14:textId="77777777" w:rsidR="00D5001B" w:rsidRPr="00181C59" w:rsidRDefault="00D5001B" w:rsidP="003631A6">
      <w:pPr>
        <w:spacing w:after="0" w:line="360" w:lineRule="auto"/>
        <w:jc w:val="both"/>
        <w:rPr>
          <w:rFonts w:ascii="Arial" w:hAnsi="Arial" w:cs="Arial"/>
          <w:b/>
          <w:bCs/>
          <w:sz w:val="22"/>
          <w:szCs w:val="22"/>
        </w:rPr>
      </w:pPr>
      <w:bookmarkStart w:id="2" w:name="_Hlk197936956"/>
      <w:r w:rsidRPr="00181C59">
        <w:rPr>
          <w:rFonts w:ascii="Arial" w:hAnsi="Arial" w:cs="Arial"/>
          <w:b/>
          <w:bCs/>
          <w:sz w:val="22"/>
          <w:szCs w:val="22"/>
        </w:rPr>
        <w:t>2. Objetivos del trabajo</w:t>
      </w:r>
    </w:p>
    <w:bookmarkEnd w:id="2"/>
    <w:p w14:paraId="73DF024C" w14:textId="77777777" w:rsidR="00D5001B" w:rsidRPr="00181C59" w:rsidRDefault="00D5001B" w:rsidP="003631A6">
      <w:pPr>
        <w:numPr>
          <w:ilvl w:val="0"/>
          <w:numId w:val="1"/>
        </w:numPr>
        <w:spacing w:after="0" w:line="360" w:lineRule="auto"/>
        <w:jc w:val="both"/>
        <w:rPr>
          <w:rFonts w:ascii="Arial" w:hAnsi="Arial" w:cs="Arial"/>
          <w:sz w:val="22"/>
          <w:szCs w:val="22"/>
        </w:rPr>
      </w:pPr>
      <w:r w:rsidRPr="00181C59">
        <w:rPr>
          <w:rFonts w:ascii="Arial" w:hAnsi="Arial" w:cs="Arial"/>
          <w:sz w:val="22"/>
          <w:szCs w:val="22"/>
        </w:rPr>
        <w:t>Ejecutar un pad de lixiviación funcional y seguro sobre una geometría de tajo previamente explotado.</w:t>
      </w:r>
    </w:p>
    <w:p w14:paraId="4D680F33" w14:textId="77777777" w:rsidR="00D5001B" w:rsidRPr="00181C59" w:rsidRDefault="00D5001B" w:rsidP="003631A6">
      <w:pPr>
        <w:numPr>
          <w:ilvl w:val="0"/>
          <w:numId w:val="1"/>
        </w:numPr>
        <w:spacing w:after="0" w:line="360" w:lineRule="auto"/>
        <w:jc w:val="both"/>
        <w:rPr>
          <w:rFonts w:ascii="Arial" w:hAnsi="Arial" w:cs="Arial"/>
          <w:sz w:val="22"/>
          <w:szCs w:val="22"/>
        </w:rPr>
      </w:pPr>
      <w:r w:rsidRPr="00181C59">
        <w:rPr>
          <w:rFonts w:ascii="Arial" w:hAnsi="Arial" w:cs="Arial"/>
          <w:sz w:val="22"/>
          <w:szCs w:val="22"/>
        </w:rPr>
        <w:lastRenderedPageBreak/>
        <w:t>Adaptar las soluciones de impermeabilización y conducción hidráulica a una superficie con geometría compleja.</w:t>
      </w:r>
    </w:p>
    <w:p w14:paraId="4923DC82" w14:textId="536AF43F" w:rsidR="00D5001B" w:rsidRPr="00181C59" w:rsidRDefault="00D5001B" w:rsidP="003631A6">
      <w:pPr>
        <w:numPr>
          <w:ilvl w:val="0"/>
          <w:numId w:val="1"/>
        </w:numPr>
        <w:spacing w:after="0" w:line="360" w:lineRule="auto"/>
        <w:jc w:val="both"/>
        <w:rPr>
          <w:rFonts w:ascii="Arial" w:hAnsi="Arial" w:cs="Arial"/>
          <w:sz w:val="22"/>
          <w:szCs w:val="22"/>
        </w:rPr>
      </w:pPr>
      <w:r w:rsidRPr="00181C59">
        <w:rPr>
          <w:rFonts w:ascii="Arial" w:hAnsi="Arial" w:cs="Arial"/>
          <w:sz w:val="22"/>
          <w:szCs w:val="22"/>
        </w:rPr>
        <w:t>Documentar un caso aplicable a otras unidades con superficies intervenidas, demostrando viabilidad técnica, operativa y ambiental.</w:t>
      </w:r>
    </w:p>
    <w:p w14:paraId="7FCF391F" w14:textId="77777777" w:rsidR="00D5001B" w:rsidRPr="00181C59" w:rsidRDefault="00D5001B" w:rsidP="003631A6">
      <w:pPr>
        <w:spacing w:after="0" w:line="360" w:lineRule="auto"/>
        <w:jc w:val="both"/>
        <w:rPr>
          <w:rFonts w:ascii="Arial" w:hAnsi="Arial" w:cs="Arial"/>
          <w:b/>
          <w:bCs/>
          <w:sz w:val="22"/>
          <w:szCs w:val="22"/>
        </w:rPr>
      </w:pPr>
      <w:bookmarkStart w:id="3" w:name="_Hlk197936971"/>
      <w:r w:rsidRPr="00181C59">
        <w:rPr>
          <w:rFonts w:ascii="Arial" w:hAnsi="Arial" w:cs="Arial"/>
          <w:b/>
          <w:bCs/>
          <w:sz w:val="22"/>
          <w:szCs w:val="22"/>
        </w:rPr>
        <w:t>3. Metodología empleada</w:t>
      </w:r>
    </w:p>
    <w:bookmarkEnd w:id="3"/>
    <w:p w14:paraId="4BCF488E" w14:textId="77777777" w:rsidR="00D5001B" w:rsidRPr="00181C59" w:rsidRDefault="00D5001B" w:rsidP="003631A6">
      <w:pPr>
        <w:spacing w:after="0" w:line="360" w:lineRule="auto"/>
        <w:jc w:val="both"/>
        <w:rPr>
          <w:rFonts w:ascii="Arial" w:hAnsi="Arial" w:cs="Arial"/>
          <w:sz w:val="22"/>
          <w:szCs w:val="22"/>
        </w:rPr>
      </w:pPr>
      <w:r w:rsidRPr="00181C59">
        <w:rPr>
          <w:rFonts w:ascii="Arial" w:hAnsi="Arial" w:cs="Arial"/>
          <w:sz w:val="22"/>
          <w:szCs w:val="22"/>
        </w:rPr>
        <w:t>El proceso constructivo se estructuró en fases:</w:t>
      </w:r>
    </w:p>
    <w:p w14:paraId="6A1F57CF" w14:textId="77777777"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Preparación del terreno:</w:t>
      </w:r>
      <w:r w:rsidRPr="00181C59">
        <w:rPr>
          <w:rFonts w:ascii="Arial" w:hAnsi="Arial" w:cs="Arial"/>
          <w:sz w:val="22"/>
          <w:szCs w:val="22"/>
        </w:rPr>
        <w:t xml:space="preserve"> conformación de la base con pendientes controladas (mínimo 0.5%) y seis banquetas con anchos promedio de 9 m y taludes de 1.3:1 a 2.5:1.</w:t>
      </w:r>
    </w:p>
    <w:p w14:paraId="4F789370" w14:textId="77777777"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Impermeabilización:</w:t>
      </w:r>
      <w:r w:rsidRPr="00181C59">
        <w:rPr>
          <w:rFonts w:ascii="Arial" w:hAnsi="Arial" w:cs="Arial"/>
          <w:sz w:val="22"/>
          <w:szCs w:val="22"/>
        </w:rPr>
        <w:t xml:space="preserve"> instalación secuencial de suelo compactado, GCL, geomembranas LLDPE de 2 mm (texturizadas y doblemente texturizadas según geometría), y geotextil no tejido de 1000 g/m² en taludes superiores a 33°, donde no era viable colocar sobre-revestimiento.</w:t>
      </w:r>
    </w:p>
    <w:p w14:paraId="5FBD1776" w14:textId="77777777"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Subdrenaje y colección:</w:t>
      </w:r>
      <w:r w:rsidRPr="00181C59">
        <w:rPr>
          <w:rFonts w:ascii="Arial" w:hAnsi="Arial" w:cs="Arial"/>
          <w:sz w:val="22"/>
          <w:szCs w:val="22"/>
        </w:rPr>
        <w:t xml:space="preserve"> zanjas drenantes con tuberías perforadas HDPE Ø100-200 mm conectadas a líneas principales HDPE Ø300-450 mm, derivando las soluciones hacia pozas de subdrenaje.</w:t>
      </w:r>
    </w:p>
    <w:p w14:paraId="7439F9A8" w14:textId="77777777"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Conducción de solución rica:</w:t>
      </w:r>
      <w:r w:rsidRPr="00181C59">
        <w:rPr>
          <w:rFonts w:ascii="Arial" w:hAnsi="Arial" w:cs="Arial"/>
          <w:sz w:val="22"/>
          <w:szCs w:val="22"/>
        </w:rPr>
        <w:t xml:space="preserve"> instalación de tres líneas barren de acero al carbono de 14” de diámetro para conducción segura de solución cianurada.</w:t>
      </w:r>
    </w:p>
    <w:p w14:paraId="6F2BA288" w14:textId="77777777"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Drenaje superficial:</w:t>
      </w:r>
      <w:r w:rsidRPr="00181C59">
        <w:rPr>
          <w:rFonts w:ascii="Arial" w:hAnsi="Arial" w:cs="Arial"/>
          <w:sz w:val="22"/>
          <w:szCs w:val="22"/>
        </w:rPr>
        <w:t xml:space="preserve"> ejecución de canales trapezoidales de concreto f’c = 280 kg/cm² revestidos con geoceldas, con longitudes de hasta 988 m.</w:t>
      </w:r>
    </w:p>
    <w:p w14:paraId="45BDC17E" w14:textId="2140D636" w:rsidR="00D5001B" w:rsidRPr="00181C59" w:rsidRDefault="00D5001B" w:rsidP="003631A6">
      <w:pPr>
        <w:numPr>
          <w:ilvl w:val="0"/>
          <w:numId w:val="2"/>
        </w:numPr>
        <w:spacing w:after="0" w:line="360" w:lineRule="auto"/>
        <w:jc w:val="both"/>
        <w:rPr>
          <w:rFonts w:ascii="Arial" w:hAnsi="Arial" w:cs="Arial"/>
          <w:sz w:val="22"/>
          <w:szCs w:val="22"/>
        </w:rPr>
      </w:pPr>
      <w:r w:rsidRPr="00181C59">
        <w:rPr>
          <w:rFonts w:ascii="Arial" w:hAnsi="Arial" w:cs="Arial"/>
          <w:b/>
          <w:bCs/>
          <w:sz w:val="22"/>
          <w:szCs w:val="22"/>
        </w:rPr>
        <w:t>Control de calidad:</w:t>
      </w:r>
      <w:r w:rsidRPr="00181C59">
        <w:rPr>
          <w:rFonts w:ascii="Arial" w:hAnsi="Arial" w:cs="Arial"/>
          <w:sz w:val="22"/>
          <w:szCs w:val="22"/>
        </w:rPr>
        <w:t xml:space="preserve"> pruebas destructivas, no destructivas y ensayos geoelectricos (lanza seca y dipolo) bajo normas ASTM para verificar la integridad de la geomembrana.</w:t>
      </w:r>
    </w:p>
    <w:p w14:paraId="1BB4D16C" w14:textId="77777777" w:rsidR="00D5001B" w:rsidRPr="00181C59" w:rsidRDefault="00D5001B" w:rsidP="003631A6">
      <w:pPr>
        <w:spacing w:after="0" w:line="360" w:lineRule="auto"/>
        <w:jc w:val="both"/>
        <w:rPr>
          <w:rFonts w:ascii="Arial" w:hAnsi="Arial" w:cs="Arial"/>
          <w:b/>
          <w:bCs/>
          <w:sz w:val="22"/>
          <w:szCs w:val="22"/>
        </w:rPr>
      </w:pPr>
      <w:r w:rsidRPr="00181C59">
        <w:rPr>
          <w:rFonts w:ascii="Arial" w:hAnsi="Arial" w:cs="Arial"/>
          <w:b/>
          <w:bCs/>
          <w:sz w:val="22"/>
          <w:szCs w:val="22"/>
        </w:rPr>
        <w:t>4. Resultados obtenidos</w:t>
      </w:r>
    </w:p>
    <w:p w14:paraId="02D2DD20" w14:textId="77777777" w:rsidR="00D5001B" w:rsidRPr="00181C59" w:rsidRDefault="00D5001B" w:rsidP="003631A6">
      <w:pPr>
        <w:numPr>
          <w:ilvl w:val="0"/>
          <w:numId w:val="3"/>
        </w:numPr>
        <w:spacing w:after="0" w:line="360" w:lineRule="auto"/>
        <w:jc w:val="both"/>
        <w:rPr>
          <w:rFonts w:ascii="Arial" w:hAnsi="Arial" w:cs="Arial"/>
          <w:sz w:val="22"/>
          <w:szCs w:val="22"/>
        </w:rPr>
      </w:pPr>
      <w:r w:rsidRPr="00181C59">
        <w:rPr>
          <w:rFonts w:ascii="Arial" w:hAnsi="Arial" w:cs="Arial"/>
          <w:sz w:val="22"/>
          <w:szCs w:val="22"/>
        </w:rPr>
        <w:t>Se logró revestir una superficie de más de 12 hectáreas, con capacidad para 4 millones de toneladas de mineral.</w:t>
      </w:r>
    </w:p>
    <w:p w14:paraId="6E79D3A3" w14:textId="77777777" w:rsidR="00D5001B" w:rsidRPr="00181C59" w:rsidRDefault="00D5001B" w:rsidP="003631A6">
      <w:pPr>
        <w:numPr>
          <w:ilvl w:val="0"/>
          <w:numId w:val="3"/>
        </w:numPr>
        <w:spacing w:after="0" w:line="360" w:lineRule="auto"/>
        <w:jc w:val="both"/>
        <w:rPr>
          <w:rFonts w:ascii="Arial" w:hAnsi="Arial" w:cs="Arial"/>
          <w:sz w:val="22"/>
          <w:szCs w:val="22"/>
        </w:rPr>
      </w:pPr>
      <w:r w:rsidRPr="00181C59">
        <w:rPr>
          <w:rFonts w:ascii="Arial" w:hAnsi="Arial" w:cs="Arial"/>
          <w:sz w:val="22"/>
          <w:szCs w:val="22"/>
        </w:rPr>
        <w:t>El sistema hidráulico permitió el manejo eficiente de tres tipos de fluido: aguas pluviales, subdrenaje y solución rica, sin afectaciones durante temporada de lluvias.</w:t>
      </w:r>
    </w:p>
    <w:p w14:paraId="52B90B34" w14:textId="77777777" w:rsidR="00D5001B" w:rsidRPr="00181C59" w:rsidRDefault="00D5001B" w:rsidP="003631A6">
      <w:pPr>
        <w:numPr>
          <w:ilvl w:val="0"/>
          <w:numId w:val="3"/>
        </w:numPr>
        <w:spacing w:after="0" w:line="360" w:lineRule="auto"/>
        <w:jc w:val="both"/>
        <w:rPr>
          <w:rFonts w:ascii="Arial" w:hAnsi="Arial" w:cs="Arial"/>
          <w:sz w:val="22"/>
          <w:szCs w:val="22"/>
        </w:rPr>
      </w:pPr>
      <w:r w:rsidRPr="00181C59">
        <w:rPr>
          <w:rFonts w:ascii="Arial" w:hAnsi="Arial" w:cs="Arial"/>
          <w:sz w:val="22"/>
          <w:szCs w:val="22"/>
        </w:rPr>
        <w:t>Las pruebas geoelectricas confirmaron la estanqueidad del sistema, validando su operatividad sin pérdidas.</w:t>
      </w:r>
    </w:p>
    <w:p w14:paraId="47AE0B80" w14:textId="357135CC" w:rsidR="00D5001B" w:rsidRPr="00181C59" w:rsidRDefault="00D5001B" w:rsidP="003631A6">
      <w:pPr>
        <w:numPr>
          <w:ilvl w:val="0"/>
          <w:numId w:val="3"/>
        </w:numPr>
        <w:spacing w:after="0" w:line="360" w:lineRule="auto"/>
        <w:jc w:val="both"/>
        <w:rPr>
          <w:rFonts w:ascii="Arial" w:hAnsi="Arial" w:cs="Arial"/>
          <w:sz w:val="22"/>
          <w:szCs w:val="22"/>
        </w:rPr>
      </w:pPr>
      <w:r w:rsidRPr="00181C59">
        <w:rPr>
          <w:rFonts w:ascii="Arial" w:hAnsi="Arial" w:cs="Arial"/>
          <w:sz w:val="22"/>
          <w:szCs w:val="22"/>
        </w:rPr>
        <w:t>El proyecto se ejecutó dentro del plazo establecido y sin desviaciones significativas en costo ni calidad técnica.</w:t>
      </w:r>
    </w:p>
    <w:p w14:paraId="7AFC1712" w14:textId="77777777" w:rsidR="00D5001B" w:rsidRPr="00181C59" w:rsidRDefault="00D5001B" w:rsidP="003631A6">
      <w:pPr>
        <w:spacing w:after="0" w:line="360" w:lineRule="auto"/>
        <w:jc w:val="both"/>
        <w:rPr>
          <w:rFonts w:ascii="Arial" w:hAnsi="Arial" w:cs="Arial"/>
          <w:b/>
          <w:bCs/>
          <w:sz w:val="22"/>
          <w:szCs w:val="22"/>
        </w:rPr>
      </w:pPr>
      <w:bookmarkStart w:id="4" w:name="_Hlk197937000"/>
      <w:r w:rsidRPr="00181C59">
        <w:rPr>
          <w:rFonts w:ascii="Arial" w:hAnsi="Arial" w:cs="Arial"/>
          <w:b/>
          <w:bCs/>
          <w:sz w:val="22"/>
          <w:szCs w:val="22"/>
        </w:rPr>
        <w:t>5. Conclusiones y recomendaciones</w:t>
      </w:r>
    </w:p>
    <w:bookmarkEnd w:id="4"/>
    <w:p w14:paraId="340E0B1F" w14:textId="77777777" w:rsidR="00D5001B" w:rsidRPr="00181C59" w:rsidRDefault="00D5001B" w:rsidP="003631A6">
      <w:pPr>
        <w:numPr>
          <w:ilvl w:val="0"/>
          <w:numId w:val="4"/>
        </w:numPr>
        <w:spacing w:after="0" w:line="360" w:lineRule="auto"/>
        <w:jc w:val="both"/>
        <w:rPr>
          <w:rFonts w:ascii="Arial" w:hAnsi="Arial" w:cs="Arial"/>
          <w:sz w:val="22"/>
          <w:szCs w:val="22"/>
        </w:rPr>
      </w:pPr>
      <w:r w:rsidRPr="00181C59">
        <w:rPr>
          <w:rFonts w:ascii="Arial" w:hAnsi="Arial" w:cs="Arial"/>
          <w:sz w:val="22"/>
          <w:szCs w:val="22"/>
        </w:rPr>
        <w:t>Es viable reutilizar superficies de tajo agotado para infraestructura de lixiviación, siempre que se apliquen criterios geotécnicos y constructivos adecuados.</w:t>
      </w:r>
    </w:p>
    <w:p w14:paraId="19CD6839" w14:textId="77777777" w:rsidR="00D5001B" w:rsidRPr="00181C59" w:rsidRDefault="00D5001B" w:rsidP="003631A6">
      <w:pPr>
        <w:numPr>
          <w:ilvl w:val="0"/>
          <w:numId w:val="4"/>
        </w:numPr>
        <w:spacing w:after="0" w:line="360" w:lineRule="auto"/>
        <w:jc w:val="both"/>
        <w:rPr>
          <w:rFonts w:ascii="Arial" w:hAnsi="Arial" w:cs="Arial"/>
          <w:sz w:val="22"/>
          <w:szCs w:val="22"/>
        </w:rPr>
      </w:pPr>
      <w:r w:rsidRPr="00181C59">
        <w:rPr>
          <w:rFonts w:ascii="Arial" w:hAnsi="Arial" w:cs="Arial"/>
          <w:sz w:val="22"/>
          <w:szCs w:val="22"/>
        </w:rPr>
        <w:lastRenderedPageBreak/>
        <w:t>El uso de geotextiles de alta densidad como alternativa al sobre-revestimiento representa una solución eficaz y replicable para geometrías complejas.</w:t>
      </w:r>
    </w:p>
    <w:p w14:paraId="782422E1" w14:textId="77777777" w:rsidR="00D5001B" w:rsidRPr="00181C59" w:rsidRDefault="00D5001B" w:rsidP="003631A6">
      <w:pPr>
        <w:numPr>
          <w:ilvl w:val="0"/>
          <w:numId w:val="4"/>
        </w:numPr>
        <w:spacing w:after="0" w:line="360" w:lineRule="auto"/>
        <w:jc w:val="both"/>
        <w:rPr>
          <w:rFonts w:ascii="Arial" w:hAnsi="Arial" w:cs="Arial"/>
          <w:sz w:val="22"/>
          <w:szCs w:val="22"/>
        </w:rPr>
      </w:pPr>
      <w:r w:rsidRPr="00181C59">
        <w:rPr>
          <w:rFonts w:ascii="Arial" w:hAnsi="Arial" w:cs="Arial"/>
          <w:sz w:val="22"/>
          <w:szCs w:val="22"/>
        </w:rPr>
        <w:t>Se recomienda incorporar pruebas geoelectricas como etapa obligatoria del control de calidad en pads de lixiviación.</w:t>
      </w:r>
    </w:p>
    <w:p w14:paraId="7F7C787C" w14:textId="4414C7C3" w:rsidR="00D156FD" w:rsidRPr="00181C59" w:rsidRDefault="00D5001B" w:rsidP="003631A6">
      <w:pPr>
        <w:numPr>
          <w:ilvl w:val="0"/>
          <w:numId w:val="4"/>
        </w:numPr>
        <w:spacing w:after="0" w:line="360" w:lineRule="auto"/>
        <w:jc w:val="both"/>
        <w:rPr>
          <w:rFonts w:ascii="Arial" w:hAnsi="Arial" w:cs="Arial"/>
          <w:sz w:val="22"/>
          <w:szCs w:val="22"/>
        </w:rPr>
      </w:pPr>
      <w:r w:rsidRPr="00181C59">
        <w:rPr>
          <w:rFonts w:ascii="Arial" w:hAnsi="Arial" w:cs="Arial"/>
          <w:sz w:val="22"/>
          <w:szCs w:val="22"/>
        </w:rPr>
        <w:t>La articulación entre ingeniería, contratista y supervisión fue fundamental para alcanzar los estándares de seguridad, funcionalidad y sostenibilidad del proyecto.</w:t>
      </w:r>
    </w:p>
    <w:p w14:paraId="30C15160" w14:textId="69488E30" w:rsidR="0029439D" w:rsidRPr="00181C59" w:rsidRDefault="00C067FD" w:rsidP="003631A6">
      <w:pPr>
        <w:spacing w:after="0" w:line="360" w:lineRule="auto"/>
        <w:jc w:val="both"/>
        <w:rPr>
          <w:rFonts w:ascii="Arial" w:hAnsi="Arial" w:cs="Arial"/>
          <w:b/>
          <w:bCs/>
          <w:sz w:val="22"/>
          <w:szCs w:val="22"/>
        </w:rPr>
      </w:pPr>
      <w:bookmarkStart w:id="5" w:name="_Hlk197937348"/>
      <w:r w:rsidRPr="00181C59">
        <w:rPr>
          <w:rFonts w:ascii="Arial" w:hAnsi="Arial" w:cs="Arial"/>
          <w:b/>
          <w:bCs/>
          <w:sz w:val="22"/>
          <w:szCs w:val="22"/>
        </w:rPr>
        <w:t>Reseña profesional</w:t>
      </w:r>
      <w:bookmarkEnd w:id="5"/>
    </w:p>
    <w:p w14:paraId="4DD4BB33" w14:textId="4E0300D2" w:rsidR="00D156FD" w:rsidRPr="00181C59" w:rsidRDefault="00E21C0D" w:rsidP="003631A6">
      <w:pPr>
        <w:spacing w:after="0" w:line="360" w:lineRule="auto"/>
        <w:jc w:val="both"/>
        <w:rPr>
          <w:rFonts w:ascii="Arial" w:hAnsi="Arial" w:cs="Arial"/>
          <w:b/>
          <w:bCs/>
          <w:sz w:val="22"/>
          <w:szCs w:val="22"/>
        </w:rPr>
      </w:pPr>
      <w:r w:rsidRPr="00181C59">
        <w:rPr>
          <w:rFonts w:ascii="Arial" w:hAnsi="Arial" w:cs="Arial"/>
          <w:b/>
          <w:bCs/>
          <w:sz w:val="22"/>
          <w:szCs w:val="22"/>
        </w:rPr>
        <w:t xml:space="preserve">Autor </w:t>
      </w:r>
    </w:p>
    <w:p w14:paraId="557F3C00" w14:textId="6E17AFE9" w:rsidR="00D156FD" w:rsidRPr="00181C59" w:rsidRDefault="00E21C0D" w:rsidP="003631A6">
      <w:pPr>
        <w:spacing w:after="0" w:line="360" w:lineRule="auto"/>
        <w:jc w:val="both"/>
        <w:rPr>
          <w:rFonts w:ascii="Arial" w:hAnsi="Arial" w:cs="Arial"/>
          <w:sz w:val="22"/>
          <w:szCs w:val="22"/>
        </w:rPr>
      </w:pPr>
      <w:r w:rsidRPr="00181C59">
        <w:rPr>
          <w:rFonts w:ascii="Arial" w:hAnsi="Arial" w:cs="Arial"/>
          <w:sz w:val="22"/>
          <w:szCs w:val="22"/>
        </w:rPr>
        <w:t>Wilber Delgado Poma</w:t>
      </w:r>
    </w:p>
    <w:p w14:paraId="0D2DA2C5" w14:textId="77777777" w:rsidR="00D156FD" w:rsidRPr="00181C59" w:rsidRDefault="00D156FD" w:rsidP="003631A6">
      <w:pPr>
        <w:spacing w:after="0" w:line="360" w:lineRule="auto"/>
        <w:jc w:val="both"/>
        <w:rPr>
          <w:rFonts w:ascii="Arial" w:hAnsi="Arial" w:cs="Arial"/>
          <w:sz w:val="22"/>
          <w:szCs w:val="22"/>
        </w:rPr>
      </w:pPr>
      <w:r w:rsidRPr="00181C59">
        <w:rPr>
          <w:rFonts w:ascii="Arial" w:hAnsi="Arial" w:cs="Arial"/>
          <w:sz w:val="22"/>
          <w:szCs w:val="22"/>
        </w:rPr>
        <w:t>Profesional con sólida trayectoria en el sector minero y de construcción, habiendo ocupado cargos clave como Gerente de Operaciones y Superintendente de Proyectos en Minsur, Superintendente de Construcción en Barrick y Gold Fields, así como Gerente de Proyecto en OHL. Especialista en gestión y control de proyectos, costos y planificación estratégica, con amplia experiencia liderando equipos multidisciplinarios y formando equipos de alto rendimiento orientados a la eficiencia, la seguridad y el cumplimiento de objetivos bajo los más altos estándares de calidad del sector.</w:t>
      </w:r>
    </w:p>
    <w:p w14:paraId="2ACA2015" w14:textId="2DC90C01" w:rsidR="00D156FD" w:rsidRPr="00181C59" w:rsidRDefault="00E21C0D" w:rsidP="003631A6">
      <w:pPr>
        <w:spacing w:after="0" w:line="360" w:lineRule="auto"/>
        <w:jc w:val="both"/>
        <w:rPr>
          <w:rFonts w:ascii="Arial" w:hAnsi="Arial" w:cs="Arial"/>
          <w:b/>
          <w:bCs/>
          <w:sz w:val="22"/>
          <w:szCs w:val="22"/>
        </w:rPr>
      </w:pPr>
      <w:r w:rsidRPr="00181C59">
        <w:rPr>
          <w:rFonts w:ascii="Arial" w:hAnsi="Arial" w:cs="Arial"/>
          <w:b/>
          <w:bCs/>
          <w:sz w:val="22"/>
          <w:szCs w:val="22"/>
        </w:rPr>
        <w:t>Coautor</w:t>
      </w:r>
    </w:p>
    <w:p w14:paraId="7A6AB539" w14:textId="147352B9" w:rsidR="00D156FD" w:rsidRPr="00181C59" w:rsidRDefault="00E21C0D" w:rsidP="003631A6">
      <w:pPr>
        <w:spacing w:after="0" w:line="360" w:lineRule="auto"/>
        <w:jc w:val="both"/>
        <w:rPr>
          <w:rFonts w:ascii="Arial" w:hAnsi="Arial" w:cs="Arial"/>
          <w:sz w:val="22"/>
          <w:szCs w:val="22"/>
        </w:rPr>
      </w:pPr>
      <w:r w:rsidRPr="00181C59">
        <w:rPr>
          <w:rFonts w:ascii="Arial" w:hAnsi="Arial" w:cs="Arial"/>
          <w:sz w:val="22"/>
          <w:szCs w:val="22"/>
        </w:rPr>
        <w:t>Juan Rolin Carhuaricra Capcha</w:t>
      </w:r>
    </w:p>
    <w:p w14:paraId="6AB7361A" w14:textId="77777777" w:rsidR="00D156FD" w:rsidRPr="00181C59" w:rsidRDefault="00D156FD" w:rsidP="003631A6">
      <w:pPr>
        <w:spacing w:after="0" w:line="360" w:lineRule="auto"/>
        <w:jc w:val="both"/>
        <w:rPr>
          <w:rFonts w:ascii="Arial" w:hAnsi="Arial" w:cs="Arial"/>
          <w:sz w:val="22"/>
          <w:szCs w:val="22"/>
        </w:rPr>
      </w:pPr>
      <w:r w:rsidRPr="00181C59">
        <w:rPr>
          <w:rFonts w:ascii="Arial" w:hAnsi="Arial" w:cs="Arial"/>
          <w:sz w:val="22"/>
          <w:szCs w:val="22"/>
        </w:rPr>
        <w:t>Ingeniero en minas con más de 18 años de experiencia en geomecánica y geotecnia en minería subterránea y a cielo abierto en Perú y Chile. Capacidad liderando equipos técnicos en diseño geomecánico, modelamiento numérico y evaluación de estabilidad aplicando diversos métodos de minado. Posee sólida experiencia en supervisión geotécnica e instrumentación de depósitos de relaves, pilas de lixiviación, desmonte y tajos. Cuenta con estudios de posgrado en geotecnia (Universidad de Buenos Aires) y diplomas en planificación y diseño geotécnico (Universidad de Chile). Su enfoque integra criterio técnico, visión operativa y gestión preventiva para garantizar operaciones seguras y sostenibles.</w:t>
      </w:r>
    </w:p>
    <w:p w14:paraId="39EC49F0" w14:textId="0659462A" w:rsidR="00D156FD" w:rsidRPr="00181C59" w:rsidRDefault="00E21C0D" w:rsidP="003631A6">
      <w:pPr>
        <w:spacing w:after="0" w:line="360" w:lineRule="auto"/>
        <w:jc w:val="both"/>
        <w:rPr>
          <w:rFonts w:ascii="Arial" w:hAnsi="Arial" w:cs="Arial"/>
          <w:b/>
          <w:bCs/>
          <w:sz w:val="22"/>
          <w:szCs w:val="22"/>
        </w:rPr>
      </w:pPr>
      <w:r w:rsidRPr="00181C59">
        <w:rPr>
          <w:rFonts w:ascii="Arial" w:hAnsi="Arial" w:cs="Arial"/>
          <w:b/>
          <w:bCs/>
          <w:sz w:val="22"/>
          <w:szCs w:val="22"/>
        </w:rPr>
        <w:t>Coautor</w:t>
      </w:r>
    </w:p>
    <w:p w14:paraId="14F11CAA" w14:textId="595844B8" w:rsidR="00D156FD" w:rsidRPr="00181C59" w:rsidRDefault="00E21C0D" w:rsidP="003631A6">
      <w:pPr>
        <w:spacing w:after="0" w:line="360" w:lineRule="auto"/>
        <w:jc w:val="both"/>
        <w:rPr>
          <w:rFonts w:ascii="Arial" w:hAnsi="Arial" w:cs="Arial"/>
          <w:sz w:val="22"/>
          <w:szCs w:val="22"/>
        </w:rPr>
      </w:pPr>
      <w:r w:rsidRPr="00181C59">
        <w:rPr>
          <w:rFonts w:ascii="Arial" w:hAnsi="Arial" w:cs="Arial"/>
          <w:sz w:val="22"/>
          <w:szCs w:val="22"/>
        </w:rPr>
        <w:t>Miguel Angel Horna Sanchez</w:t>
      </w:r>
    </w:p>
    <w:p w14:paraId="057753C1" w14:textId="634E5ABD" w:rsidR="00D156FD" w:rsidRPr="00181C59" w:rsidRDefault="00D156FD" w:rsidP="003631A6">
      <w:pPr>
        <w:spacing w:after="0" w:line="360" w:lineRule="auto"/>
        <w:jc w:val="both"/>
        <w:rPr>
          <w:rFonts w:ascii="Arial" w:hAnsi="Arial" w:cs="Arial"/>
          <w:sz w:val="22"/>
          <w:szCs w:val="22"/>
        </w:rPr>
      </w:pPr>
      <w:r w:rsidRPr="00181C59">
        <w:rPr>
          <w:rFonts w:ascii="Arial" w:hAnsi="Arial" w:cs="Arial"/>
          <w:sz w:val="22"/>
          <w:szCs w:val="22"/>
        </w:rPr>
        <w:t>Ingeniero Civil con amplia experiencia como Supervisor de Construcción en el sector minero, habiendo liderado proyectos en Minsur y Minera Barrick. Especialista en la ejecución de INFRAESTRUCTURAS y PADs DE LIXIVIACIÓN, con habilidades de trabajo en equipo, análisis técnico, toma de decisiones oportunas y control de calidad, plazo y costos para garantizar altos niveles de satisfacción en los proyectos.</w:t>
      </w:r>
    </w:p>
    <w:sectPr w:rsidR="00D156FD" w:rsidRPr="00181C59" w:rsidSect="00404B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57B94"/>
    <w:multiLevelType w:val="multilevel"/>
    <w:tmpl w:val="689C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22426"/>
    <w:multiLevelType w:val="multilevel"/>
    <w:tmpl w:val="FB9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47C13"/>
    <w:multiLevelType w:val="multilevel"/>
    <w:tmpl w:val="733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10BE9"/>
    <w:multiLevelType w:val="multilevel"/>
    <w:tmpl w:val="4FC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905360">
    <w:abstractNumId w:val="1"/>
  </w:num>
  <w:num w:numId="2" w16cid:durableId="913050263">
    <w:abstractNumId w:val="0"/>
  </w:num>
  <w:num w:numId="3" w16cid:durableId="1075008276">
    <w:abstractNumId w:val="3"/>
  </w:num>
  <w:num w:numId="4" w16cid:durableId="27340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01B"/>
    <w:rsid w:val="00042A89"/>
    <w:rsid w:val="000B12A6"/>
    <w:rsid w:val="000E0F20"/>
    <w:rsid w:val="00103D69"/>
    <w:rsid w:val="00181C59"/>
    <w:rsid w:val="001C6F2A"/>
    <w:rsid w:val="001D29DC"/>
    <w:rsid w:val="0029439D"/>
    <w:rsid w:val="002F77A2"/>
    <w:rsid w:val="00337A19"/>
    <w:rsid w:val="00347695"/>
    <w:rsid w:val="003631A6"/>
    <w:rsid w:val="00376656"/>
    <w:rsid w:val="003E7AD6"/>
    <w:rsid w:val="00404B74"/>
    <w:rsid w:val="0042510E"/>
    <w:rsid w:val="005536FB"/>
    <w:rsid w:val="005C00C2"/>
    <w:rsid w:val="00896236"/>
    <w:rsid w:val="00913F14"/>
    <w:rsid w:val="0096320F"/>
    <w:rsid w:val="009A36BE"/>
    <w:rsid w:val="00B24CE3"/>
    <w:rsid w:val="00C067FD"/>
    <w:rsid w:val="00C31E56"/>
    <w:rsid w:val="00C32FAB"/>
    <w:rsid w:val="00C95569"/>
    <w:rsid w:val="00D156FD"/>
    <w:rsid w:val="00D5001B"/>
    <w:rsid w:val="00E21C0D"/>
    <w:rsid w:val="00F30DE7"/>
    <w:rsid w:val="00F77861"/>
    <w:rsid w:val="00FB1547"/>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0029"/>
  <w15:chartTrackingRefBased/>
  <w15:docId w15:val="{36034A5C-7098-4270-9448-477D504EF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0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0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00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00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00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00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00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00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00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00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00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00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00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00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00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00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00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001B"/>
    <w:rPr>
      <w:rFonts w:eastAsiaTheme="majorEastAsia" w:cstheme="majorBidi"/>
      <w:color w:val="272727" w:themeColor="text1" w:themeTint="D8"/>
    </w:rPr>
  </w:style>
  <w:style w:type="paragraph" w:styleId="Ttulo">
    <w:name w:val="Title"/>
    <w:basedOn w:val="Normal"/>
    <w:next w:val="Normal"/>
    <w:link w:val="TtuloCar"/>
    <w:uiPriority w:val="10"/>
    <w:qFormat/>
    <w:rsid w:val="00D50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00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00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00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001B"/>
    <w:pPr>
      <w:spacing w:before="160"/>
      <w:jc w:val="center"/>
    </w:pPr>
    <w:rPr>
      <w:i/>
      <w:iCs/>
      <w:color w:val="404040" w:themeColor="text1" w:themeTint="BF"/>
    </w:rPr>
  </w:style>
  <w:style w:type="character" w:customStyle="1" w:styleId="CitaCar">
    <w:name w:val="Cita Car"/>
    <w:basedOn w:val="Fuentedeprrafopredeter"/>
    <w:link w:val="Cita"/>
    <w:uiPriority w:val="29"/>
    <w:rsid w:val="00D5001B"/>
    <w:rPr>
      <w:i/>
      <w:iCs/>
      <w:color w:val="404040" w:themeColor="text1" w:themeTint="BF"/>
    </w:rPr>
  </w:style>
  <w:style w:type="paragraph" w:styleId="Prrafodelista">
    <w:name w:val="List Paragraph"/>
    <w:basedOn w:val="Normal"/>
    <w:uiPriority w:val="34"/>
    <w:qFormat/>
    <w:rsid w:val="00D5001B"/>
    <w:pPr>
      <w:ind w:left="720"/>
      <w:contextualSpacing/>
    </w:pPr>
  </w:style>
  <w:style w:type="character" w:styleId="nfasisintenso">
    <w:name w:val="Intense Emphasis"/>
    <w:basedOn w:val="Fuentedeprrafopredeter"/>
    <w:uiPriority w:val="21"/>
    <w:qFormat/>
    <w:rsid w:val="00D5001B"/>
    <w:rPr>
      <w:i/>
      <w:iCs/>
      <w:color w:val="0F4761" w:themeColor="accent1" w:themeShade="BF"/>
    </w:rPr>
  </w:style>
  <w:style w:type="paragraph" w:styleId="Citadestacada">
    <w:name w:val="Intense Quote"/>
    <w:basedOn w:val="Normal"/>
    <w:next w:val="Normal"/>
    <w:link w:val="CitadestacadaCar"/>
    <w:uiPriority w:val="30"/>
    <w:qFormat/>
    <w:rsid w:val="00D50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001B"/>
    <w:rPr>
      <w:i/>
      <w:iCs/>
      <w:color w:val="0F4761" w:themeColor="accent1" w:themeShade="BF"/>
    </w:rPr>
  </w:style>
  <w:style w:type="character" w:styleId="Referenciaintensa">
    <w:name w:val="Intense Reference"/>
    <w:basedOn w:val="Fuentedeprrafopredeter"/>
    <w:uiPriority w:val="32"/>
    <w:qFormat/>
    <w:rsid w:val="00D5001B"/>
    <w:rPr>
      <w:b/>
      <w:bCs/>
      <w:smallCaps/>
      <w:color w:val="0F4761" w:themeColor="accent1" w:themeShade="BF"/>
      <w:spacing w:val="5"/>
    </w:rPr>
  </w:style>
  <w:style w:type="character" w:styleId="Hipervnculo">
    <w:name w:val="Hyperlink"/>
    <w:basedOn w:val="Fuentedeprrafopredeter"/>
    <w:uiPriority w:val="99"/>
    <w:unhideWhenUsed/>
    <w:rsid w:val="00D156FD"/>
    <w:rPr>
      <w:color w:val="467886" w:themeColor="hyperlink"/>
      <w:u w:val="single"/>
    </w:rPr>
  </w:style>
  <w:style w:type="table" w:styleId="Tablaconcuadrcula">
    <w:name w:val="Table Grid"/>
    <w:basedOn w:val="Tablanormal"/>
    <w:uiPriority w:val="39"/>
    <w:rsid w:val="003E7AD6"/>
    <w:pPr>
      <w:spacing w:after="0" w:line="240" w:lineRule="auto"/>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C0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066329">
      <w:bodyDiv w:val="1"/>
      <w:marLeft w:val="0"/>
      <w:marRight w:val="0"/>
      <w:marTop w:val="0"/>
      <w:marBottom w:val="0"/>
      <w:divBdr>
        <w:top w:val="none" w:sz="0" w:space="0" w:color="auto"/>
        <w:left w:val="none" w:sz="0" w:space="0" w:color="auto"/>
        <w:bottom w:val="none" w:sz="0" w:space="0" w:color="auto"/>
        <w:right w:val="none" w:sz="0" w:space="0" w:color="auto"/>
      </w:divBdr>
    </w:div>
    <w:div w:id="209238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iguel.horna@minsu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DELGADO0307@GMAIL.COM" TargetMode="External"/><Relationship Id="rId5" Type="http://schemas.openxmlformats.org/officeDocument/2006/relationships/hyperlink" Target="mailto:WILBER.DELGADO@MINSU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952</Words>
  <Characters>5239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Estrada</dc:creator>
  <cp:keywords/>
  <dc:description/>
  <cp:lastModifiedBy>Maickol Zapana Roka</cp:lastModifiedBy>
  <cp:revision>2</cp:revision>
  <dcterms:created xsi:type="dcterms:W3CDTF">2025-05-13T00:23:00Z</dcterms:created>
  <dcterms:modified xsi:type="dcterms:W3CDTF">2025-05-13T00:23:00Z</dcterms:modified>
</cp:coreProperties>
</file>