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7A5FA6">
      <w:pPr>
        <w:keepNext w:val="0"/>
        <w:keepLines w:val="0"/>
        <w:widowControl/>
        <w:suppressLineNumbers w:val="0"/>
        <w:jc w:val="left"/>
        <w:rPr>
          <w:rStyle w:val="6"/>
          <w:rFonts w:hint="default" w:ascii="Arial" w:hAnsi="Arial" w:cs="Arial"/>
          <w:sz w:val="22"/>
          <w:szCs w:val="22"/>
          <w:lang w:val="en-US"/>
        </w:rPr>
      </w:pPr>
      <w:bookmarkStart w:id="0" w:name="_GoBack"/>
      <w:bookmarkEnd w:id="0"/>
      <w:r>
        <w:rPr>
          <w:rStyle w:val="6"/>
          <w:rFonts w:hint="default" w:ascii="Arial" w:hAnsi="Arial" w:cs="Arial"/>
          <w:sz w:val="22"/>
          <w:szCs w:val="22"/>
          <w:lang w:val="en-US"/>
        </w:rPr>
        <w:t xml:space="preserve">Titulo: Integración del </w:t>
      </w:r>
      <w:r>
        <w:rPr>
          <w:rStyle w:val="6"/>
          <w:rFonts w:hint="default" w:ascii="Arial" w:hAnsi="Arial" w:cs="Arial"/>
          <w:sz w:val="22"/>
          <w:szCs w:val="22"/>
        </w:rPr>
        <w:t xml:space="preserve">GISTM y el Programa APELL para </w:t>
      </w:r>
      <w:r>
        <w:rPr>
          <w:rStyle w:val="6"/>
          <w:rFonts w:hint="default" w:ascii="Arial" w:hAnsi="Arial" w:cs="Arial"/>
          <w:sz w:val="22"/>
          <w:szCs w:val="22"/>
          <w:lang w:val="en-US"/>
        </w:rPr>
        <w:t>una minería sostenible en América Latina</w:t>
      </w:r>
    </w:p>
    <w:p w14:paraId="48393B3F">
      <w:pPr>
        <w:keepNext w:val="0"/>
        <w:keepLines w:val="0"/>
        <w:widowControl/>
        <w:suppressLineNumbers w:val="0"/>
        <w:jc w:val="left"/>
        <w:rPr>
          <w:rStyle w:val="6"/>
          <w:rFonts w:hint="default" w:ascii="Arial" w:hAnsi="Arial" w:cs="Arial"/>
          <w:sz w:val="22"/>
          <w:szCs w:val="22"/>
          <w:lang w:val="en-US"/>
        </w:rPr>
      </w:pPr>
    </w:p>
    <w:p w14:paraId="5D85EFE0">
      <w:pPr>
        <w:keepNext w:val="0"/>
        <w:keepLines w:val="0"/>
        <w:widowControl/>
        <w:suppressLineNumbers w:val="0"/>
        <w:jc w:val="left"/>
        <w:rPr>
          <w:rStyle w:val="6"/>
          <w:rFonts w:hint="default" w:ascii="Arial" w:hAnsi="Arial" w:eastAsia="SimSun" w:cs="Arial"/>
          <w:sz w:val="22"/>
          <w:szCs w:val="22"/>
          <w:lang w:val="en-US"/>
        </w:rPr>
      </w:pPr>
      <w:r>
        <w:rPr>
          <w:rStyle w:val="6"/>
          <w:rFonts w:hint="default" w:ascii="Arial" w:hAnsi="Arial" w:eastAsia="SimSun" w:cs="Arial"/>
          <w:sz w:val="22"/>
          <w:szCs w:val="22"/>
          <w:lang w:val="en-US" w:eastAsia="zh-CN"/>
        </w:rPr>
        <w:t>TEMA: 8. Nuevos enfoques en relacionamiento comunitario.</w:t>
      </w:r>
    </w:p>
    <w:p w14:paraId="6D4CB370">
      <w:pPr>
        <w:keepNext w:val="0"/>
        <w:keepLines w:val="0"/>
        <w:widowControl/>
        <w:suppressLineNumbers w:val="0"/>
        <w:jc w:val="left"/>
        <w:rPr>
          <w:rStyle w:val="6"/>
          <w:rFonts w:hint="default" w:ascii="Arial" w:hAnsi="Arial" w:eastAsia="SimSun" w:cs="Arial"/>
          <w:sz w:val="22"/>
          <w:szCs w:val="22"/>
          <w:lang w:val="en-US" w:eastAsia="zh-CN"/>
        </w:rPr>
      </w:pPr>
    </w:p>
    <w:p w14:paraId="120334D7">
      <w:pPr>
        <w:keepNext w:val="0"/>
        <w:keepLines w:val="0"/>
        <w:widowControl/>
        <w:suppressLineNumbers w:val="0"/>
        <w:jc w:val="left"/>
        <w:rPr>
          <w:rStyle w:val="6"/>
          <w:rFonts w:hint="default" w:ascii="Arial" w:hAnsi="Arial" w:eastAsia="SimSun" w:cs="Arial"/>
          <w:sz w:val="22"/>
          <w:szCs w:val="22"/>
          <w:lang w:val="en-US" w:eastAsia="zh-CN"/>
        </w:rPr>
      </w:pPr>
      <w:r>
        <w:rPr>
          <w:rStyle w:val="6"/>
          <w:rFonts w:hint="default" w:ascii="Arial" w:hAnsi="Arial" w:eastAsia="SimSun" w:cs="Arial"/>
          <w:sz w:val="22"/>
          <w:szCs w:val="22"/>
          <w:lang w:val="en-US" w:eastAsia="zh-CN"/>
        </w:rPr>
        <w:t>CATEGORÍA: V. ESG</w:t>
      </w:r>
    </w:p>
    <w:p w14:paraId="470BD0BF">
      <w:pPr>
        <w:keepNext w:val="0"/>
        <w:keepLines w:val="0"/>
        <w:widowControl/>
        <w:suppressLineNumbers w:val="0"/>
        <w:jc w:val="left"/>
        <w:rPr>
          <w:rStyle w:val="6"/>
          <w:rFonts w:hint="default" w:ascii="Arial" w:hAnsi="Arial" w:eastAsia="SimSun" w:cs="Arial"/>
          <w:sz w:val="22"/>
          <w:szCs w:val="22"/>
          <w:lang w:val="en-US"/>
        </w:rPr>
      </w:pPr>
    </w:p>
    <w:p w14:paraId="1EB4366B">
      <w:pPr>
        <w:pStyle w:val="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Arial" w:hAnsi="Arial" w:cs="Arial"/>
          <w:sz w:val="22"/>
          <w:szCs w:val="22"/>
        </w:rPr>
      </w:pPr>
      <w:r>
        <w:rPr>
          <w:rStyle w:val="6"/>
          <w:rFonts w:hint="default" w:ascii="Arial" w:hAnsi="Arial" w:eastAsia="SimSun" w:cs="Arial"/>
          <w:sz w:val="22"/>
          <w:szCs w:val="22"/>
          <w:lang w:val="en-US"/>
        </w:rPr>
        <w:t xml:space="preserve">Author: </w:t>
      </w:r>
      <w:r>
        <w:rPr>
          <w:rStyle w:val="6"/>
          <w:rFonts w:hint="default" w:ascii="Arial" w:hAnsi="Arial" w:eastAsia="SimSun" w:cs="Arial"/>
          <w:b w:val="0"/>
          <w:bCs w:val="0"/>
          <w:sz w:val="22"/>
          <w:szCs w:val="22"/>
          <w:lang w:val="en-US"/>
        </w:rPr>
        <w:t xml:space="preserve">Giuseppe Damiano,  CEO,  </w:t>
      </w:r>
      <w:r>
        <w:rPr>
          <w:rFonts w:hint="default" w:ascii="Arial" w:hAnsi="Arial" w:cs="Arial"/>
          <w:b w:val="0"/>
          <w:bCs w:val="0"/>
          <w:sz w:val="22"/>
          <w:szCs w:val="22"/>
        </w:rPr>
        <w:t>RAP</w:t>
      </w:r>
      <w:r>
        <w:rPr>
          <w:rFonts w:hint="default" w:ascii="Arial" w:hAnsi="Arial" w:cs="Arial"/>
          <w:sz w:val="22"/>
          <w:szCs w:val="22"/>
        </w:rPr>
        <w:t>ID LA, , Calle Buenaventura Aguirre 101, Of. 621, Barranco, Lima, Perú. Teléfono: +1 786 359 9957. Correo electrónico: gdamiano@rapidla.org</w:t>
      </w:r>
    </w:p>
    <w:p w14:paraId="0502A6C3">
      <w:pPr>
        <w:keepNext w:val="0"/>
        <w:keepLines w:val="0"/>
        <w:widowControl/>
        <w:suppressLineNumbers w:val="0"/>
        <w:jc w:val="left"/>
        <w:rPr>
          <w:rStyle w:val="6"/>
          <w:rFonts w:hint="default" w:ascii="Arial" w:hAnsi="Arial" w:eastAsia="SimSun" w:cs="Arial"/>
          <w:sz w:val="22"/>
          <w:szCs w:val="22"/>
          <w:lang w:val="en-US"/>
        </w:rPr>
      </w:pPr>
    </w:p>
    <w:p w14:paraId="120CCD71">
      <w:pPr>
        <w:pStyle w:val="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Arial" w:hAnsi="Arial" w:cs="Arial"/>
          <w:sz w:val="22"/>
          <w:szCs w:val="22"/>
        </w:rPr>
      </w:pPr>
      <w:r>
        <w:rPr>
          <w:rFonts w:hint="default" w:ascii="Arial" w:hAnsi="Arial" w:cs="Arial"/>
          <w:b/>
          <w:bCs/>
          <w:sz w:val="22"/>
          <w:szCs w:val="22"/>
        </w:rPr>
        <w:t>Introducción</w:t>
      </w:r>
      <w:r>
        <w:rPr>
          <w:rFonts w:hint="default" w:ascii="Arial" w:hAnsi="Arial" w:cs="Arial"/>
          <w:sz w:val="22"/>
          <w:szCs w:val="22"/>
        </w:rPr>
        <w:t xml:space="preserve">: El desarrollo sostenible </w:t>
      </w:r>
      <w:r>
        <w:rPr>
          <w:rFonts w:hint="default" w:ascii="Arial" w:hAnsi="Arial" w:cs="Arial"/>
          <w:sz w:val="22"/>
          <w:szCs w:val="22"/>
          <w:lang w:val="en-US"/>
        </w:rPr>
        <w:t xml:space="preserve">de </w:t>
      </w:r>
      <w:r>
        <w:rPr>
          <w:rFonts w:hint="default" w:ascii="Arial" w:hAnsi="Arial" w:cs="Arial"/>
          <w:sz w:val="22"/>
          <w:szCs w:val="22"/>
        </w:rPr>
        <w:t xml:space="preserve">las comunidades locales </w:t>
      </w:r>
      <w:r>
        <w:rPr>
          <w:rFonts w:hint="default" w:ascii="Arial" w:hAnsi="Arial" w:cs="Arial"/>
          <w:sz w:val="22"/>
          <w:szCs w:val="22"/>
          <w:lang w:val="en-US"/>
        </w:rPr>
        <w:t xml:space="preserve">en las zonas de influencia minera </w:t>
      </w:r>
      <w:r>
        <w:rPr>
          <w:rFonts w:hint="default" w:ascii="Arial" w:hAnsi="Arial" w:cs="Arial"/>
          <w:sz w:val="22"/>
          <w:szCs w:val="22"/>
        </w:rPr>
        <w:t>es crucial para equilibrar el crecimiento económico, la gestión ambiental y la equidad social. El Estándar Global de la Industria para la Gestión de Relaves (GISTM) y el Programa de Concien</w:t>
      </w:r>
      <w:r>
        <w:rPr>
          <w:rFonts w:hint="default" w:ascii="Arial" w:hAnsi="Arial" w:cs="Arial"/>
          <w:sz w:val="22"/>
          <w:szCs w:val="22"/>
          <w:lang w:val="en-US"/>
        </w:rPr>
        <w:t>tizacion</w:t>
      </w:r>
      <w:r>
        <w:rPr>
          <w:rFonts w:hint="default" w:ascii="Arial" w:hAnsi="Arial" w:cs="Arial"/>
          <w:sz w:val="22"/>
          <w:szCs w:val="22"/>
        </w:rPr>
        <w:t xml:space="preserve"> y Preparación para Emergencias a Nivel Local (APELL) son dos marcos complementarios diseñados para promover un desarrollo comunitario seguro, inclusivo y resiliente</w:t>
      </w:r>
      <w:r>
        <w:rPr>
          <w:rFonts w:hint="default" w:ascii="Arial" w:hAnsi="Arial" w:cs="Arial"/>
          <w:sz w:val="22"/>
          <w:szCs w:val="22"/>
          <w:lang w:val="en-US"/>
        </w:rPr>
        <w:t xml:space="preserve"> enfocado el la Reduccion de Riesgo de Desastres (RRD)</w:t>
      </w:r>
      <w:r>
        <w:rPr>
          <w:rFonts w:hint="default" w:ascii="Arial" w:hAnsi="Arial" w:cs="Arial"/>
          <w:sz w:val="22"/>
          <w:szCs w:val="22"/>
        </w:rPr>
        <w:t>. El GISTM, introducido por el Consejo Internacional de Minería y Metales (ICMM), proporciona un marco riguroso para la gestión de relaves con el fin de garantizar la seguridad ambiental y la responsabilidad social en las operaciones mineras</w:t>
      </w:r>
      <w:r>
        <w:rPr>
          <w:rFonts w:hint="default" w:ascii="Arial" w:hAnsi="Arial" w:cs="Arial"/>
          <w:sz w:val="22"/>
          <w:szCs w:val="22"/>
          <w:lang w:val="en-US"/>
        </w:rPr>
        <w:t xml:space="preserve"> y en sus áreas de influencia</w:t>
      </w:r>
      <w:r>
        <w:rPr>
          <w:rFonts w:hint="default" w:ascii="Arial" w:hAnsi="Arial" w:cs="Arial"/>
          <w:sz w:val="22"/>
          <w:szCs w:val="22"/>
        </w:rPr>
        <w:t>. Por su parte, el Programa APELL, desarrollado por el Programa de las Naciones Unidas para el Medio Ambiente (PNUMA), se enfoca en mejorar la preparación local para emergencias industriales y ambientales mediante la colaboración de múltiples partes interesadas. Este estudio examina cómo estos marcos pueden impulsar el desarrollo sostenible a través</w:t>
      </w:r>
      <w:r>
        <w:rPr>
          <w:rFonts w:hint="default" w:ascii="Arial" w:hAnsi="Arial" w:cs="Arial"/>
          <w:sz w:val="22"/>
          <w:szCs w:val="22"/>
          <w:lang w:val="en-US"/>
        </w:rPr>
        <w:t xml:space="preserve"> de un nuevo enfoque por medio del relacionamiento comunitario basado en la Reducción de Riesgo de Desastres que permita </w:t>
      </w:r>
      <w:r>
        <w:rPr>
          <w:rFonts w:hint="default" w:ascii="Arial" w:hAnsi="Arial" w:cs="Arial"/>
          <w:sz w:val="22"/>
          <w:szCs w:val="22"/>
        </w:rPr>
        <w:t>la integración de la resiliencia comunitaria, la gestión ambiental y la equidad social. Utilizando estudios de caso basados en la metodología desarrollada por RAPID-LA en Perú, el estudio resalta conocimientos prácticos para empoderar a las comunidades locales garantizando al mismo tiempo prácticas mineras responsables.</w:t>
      </w:r>
    </w:p>
    <w:p w14:paraId="2F6E795D">
      <w:pPr>
        <w:pStyle w:val="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Arial" w:hAnsi="Arial" w:cs="Arial"/>
          <w:sz w:val="22"/>
          <w:szCs w:val="22"/>
        </w:rPr>
      </w:pPr>
    </w:p>
    <w:p w14:paraId="592B77EC">
      <w:pPr>
        <w:pStyle w:val="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Arial" w:hAnsi="Arial" w:cs="Arial"/>
          <w:sz w:val="22"/>
          <w:szCs w:val="22"/>
        </w:rPr>
      </w:pPr>
      <w:r>
        <w:rPr>
          <w:rFonts w:hint="default" w:ascii="Arial" w:hAnsi="Arial" w:cs="Arial"/>
          <w:b/>
          <w:bCs/>
          <w:sz w:val="22"/>
          <w:szCs w:val="22"/>
        </w:rPr>
        <w:t>Metodología</w:t>
      </w:r>
      <w:r>
        <w:rPr>
          <w:rFonts w:hint="default" w:ascii="Arial" w:hAnsi="Arial" w:cs="Arial"/>
          <w:sz w:val="22"/>
          <w:szCs w:val="22"/>
        </w:rPr>
        <w:t xml:space="preserve">: Este </w:t>
      </w:r>
      <w:r>
        <w:rPr>
          <w:rFonts w:hint="default" w:ascii="Arial" w:hAnsi="Arial" w:cs="Arial"/>
          <w:sz w:val="22"/>
          <w:szCs w:val="22"/>
          <w:lang w:val="en-US"/>
        </w:rPr>
        <w:t xml:space="preserve">estudio </w:t>
      </w:r>
      <w:r>
        <w:rPr>
          <w:rFonts w:hint="default" w:ascii="Arial" w:hAnsi="Arial" w:cs="Arial"/>
          <w:sz w:val="22"/>
          <w:szCs w:val="22"/>
        </w:rPr>
        <w:t>emplea un enfoque de estudio de caso, analizando la implementación de los marcos GISTM y APELL por parte de RAPID LA en varias regiones mineras de Perú. También se empleó una metodología participativa, involucrando a las comunidades en el proceso de evaluación para garantizar perspectivas culturalmente sensibles e inclusivas. Se realizaron entrevistas semi</w:t>
      </w:r>
      <w:r>
        <w:rPr>
          <w:rFonts w:hint="default" w:ascii="Arial" w:hAnsi="Arial" w:cs="Arial"/>
          <w:sz w:val="22"/>
          <w:szCs w:val="22"/>
          <w:lang w:val="en-US"/>
        </w:rPr>
        <w:t>-</w:t>
      </w:r>
      <w:r>
        <w:rPr>
          <w:rFonts w:hint="default" w:ascii="Arial" w:hAnsi="Arial" w:cs="Arial"/>
          <w:sz w:val="22"/>
          <w:szCs w:val="22"/>
        </w:rPr>
        <w:t>estructuradas con actores clave, incluidos funcionarios del gobierno local, líderes comunitarios y defensores del medio ambiente. Se llevó a cabo un análisis temático cualitativo para identificar áreas clave de alineación entre los marcos, tales como la reducción de riesgos, la participación de las partes interesadas y el desarrollo de capacidades.</w:t>
      </w:r>
    </w:p>
    <w:p w14:paraId="74E84034">
      <w:pPr>
        <w:pStyle w:val="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Arial" w:hAnsi="Arial" w:cs="Arial"/>
          <w:sz w:val="22"/>
          <w:szCs w:val="22"/>
        </w:rPr>
      </w:pPr>
    </w:p>
    <w:p w14:paraId="5C1E0B2C">
      <w:pPr>
        <w:pStyle w:val="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Arial" w:hAnsi="Arial" w:cs="Arial"/>
          <w:sz w:val="22"/>
          <w:szCs w:val="22"/>
        </w:rPr>
      </w:pPr>
      <w:r>
        <w:rPr>
          <w:rFonts w:hint="default" w:ascii="Arial" w:hAnsi="Arial" w:cs="Arial"/>
          <w:b/>
          <w:bCs/>
          <w:sz w:val="22"/>
          <w:szCs w:val="22"/>
        </w:rPr>
        <w:t>Resultados</w:t>
      </w:r>
      <w:r>
        <w:rPr>
          <w:rFonts w:hint="default" w:ascii="Arial" w:hAnsi="Arial" w:cs="Arial"/>
          <w:sz w:val="22"/>
          <w:szCs w:val="22"/>
        </w:rPr>
        <w:t>: Los hallazgos destacan que la integración del GISTM con el Programa APELL</w:t>
      </w:r>
      <w:r>
        <w:rPr>
          <w:rFonts w:hint="default" w:ascii="Arial" w:hAnsi="Arial" w:cs="Arial"/>
          <w:sz w:val="22"/>
          <w:szCs w:val="22"/>
          <w:lang w:val="en-US"/>
        </w:rPr>
        <w:t xml:space="preserve"> permite desarrollar un nuevo enfoque  en el relacionamiento comunitario basado en la Reducción de Riesgo de Desastres</w:t>
      </w:r>
      <w:r>
        <w:rPr>
          <w:rFonts w:hint="default" w:ascii="Arial" w:hAnsi="Arial" w:cs="Arial"/>
          <w:sz w:val="22"/>
          <w:szCs w:val="22"/>
        </w:rPr>
        <w:t xml:space="preserve"> </w:t>
      </w:r>
      <w:r>
        <w:rPr>
          <w:rFonts w:hint="default" w:ascii="Arial" w:hAnsi="Arial" w:cs="Arial"/>
          <w:sz w:val="22"/>
          <w:szCs w:val="22"/>
          <w:lang w:val="en-US"/>
        </w:rPr>
        <w:t xml:space="preserve"> que permite </w:t>
      </w:r>
      <w:r>
        <w:rPr>
          <w:rFonts w:hint="default" w:ascii="Arial" w:hAnsi="Arial" w:cs="Arial"/>
          <w:sz w:val="22"/>
          <w:szCs w:val="22"/>
        </w:rPr>
        <w:t>mejora</w:t>
      </w:r>
      <w:r>
        <w:rPr>
          <w:rFonts w:hint="default" w:ascii="Arial" w:hAnsi="Arial" w:cs="Arial"/>
          <w:sz w:val="22"/>
          <w:szCs w:val="22"/>
          <w:lang w:val="en-US"/>
        </w:rPr>
        <w:t>r</w:t>
      </w:r>
      <w:r>
        <w:rPr>
          <w:rFonts w:hint="default" w:ascii="Arial" w:hAnsi="Arial" w:cs="Arial"/>
          <w:sz w:val="22"/>
          <w:szCs w:val="22"/>
        </w:rPr>
        <w:t xml:space="preserve"> significativamente el desarrollo sostenible en comunidades afectadas por la minería. Esta integración fortalece la resiliencia comunitaria y mejora la gestión de riesgos ambientales, lo que conduce a resultados más seguros y sostenibles.</w:t>
      </w:r>
    </w:p>
    <w:p w14:paraId="054CD2B5">
      <w:pPr>
        <w:pStyle w:val="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Arial" w:hAnsi="Arial" w:cs="Arial"/>
          <w:sz w:val="22"/>
          <w:szCs w:val="22"/>
        </w:rPr>
      </w:pPr>
      <w:r>
        <w:rPr>
          <w:rFonts w:hint="default" w:ascii="Arial" w:hAnsi="Arial" w:cs="Arial"/>
          <w:sz w:val="22"/>
          <w:szCs w:val="22"/>
        </w:rPr>
        <w:t xml:space="preserve">Las prácticas rigurosas de gestión de relaves del GISTM desempeñan un papel crucial en la reducción de riesgos </w:t>
      </w:r>
      <w:r>
        <w:rPr>
          <w:rFonts w:hint="default" w:ascii="Arial" w:hAnsi="Arial" w:cs="Arial"/>
          <w:sz w:val="22"/>
          <w:szCs w:val="22"/>
          <w:lang w:val="en-US"/>
        </w:rPr>
        <w:t xml:space="preserve">de desastres </w:t>
      </w:r>
      <w:r>
        <w:rPr>
          <w:rFonts w:hint="default" w:ascii="Arial" w:hAnsi="Arial" w:cs="Arial"/>
          <w:sz w:val="22"/>
          <w:szCs w:val="22"/>
        </w:rPr>
        <w:t xml:space="preserve">al minimizar la probabilidad de fallas catastróficas que podrían dañar los ecosistemas locales y los medios de vida. Mientras tanto, el APELL fomenta la comunicación activa y la colaboración entre las partes interesadas, mejorando la preparación y la respuesta local ante posibles emergencias. Las comunidades que adoptaron ambos marcos demostraron una mayor resiliencia, conciencia de los protocolos de emergencia y participación </w:t>
      </w:r>
      <w:r>
        <w:rPr>
          <w:rFonts w:hint="default" w:ascii="Arial" w:hAnsi="Arial" w:cs="Arial"/>
          <w:sz w:val="22"/>
          <w:szCs w:val="22"/>
          <w:lang w:val="en-US"/>
        </w:rPr>
        <w:t>pro-activa</w:t>
      </w:r>
      <w:r>
        <w:rPr>
          <w:rFonts w:hint="default" w:ascii="Arial" w:hAnsi="Arial" w:cs="Arial"/>
          <w:sz w:val="22"/>
          <w:szCs w:val="22"/>
        </w:rPr>
        <w:t xml:space="preserve"> en la gestión de riesgos.</w:t>
      </w:r>
    </w:p>
    <w:p w14:paraId="6487DFE6">
      <w:pPr>
        <w:pStyle w:val="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Arial" w:hAnsi="Arial" w:cs="Arial"/>
          <w:sz w:val="22"/>
          <w:szCs w:val="22"/>
        </w:rPr>
      </w:pPr>
      <w:r>
        <w:rPr>
          <w:rFonts w:hint="default" w:ascii="Arial" w:hAnsi="Arial" w:cs="Arial"/>
          <w:sz w:val="22"/>
          <w:szCs w:val="22"/>
        </w:rPr>
        <w:t>Un factor clave que facilitó esta integración fue la metodología de RAPID LA, que resultó fundamental para identificar áreas prioritarias de intervención. Esta metodología aseguró una participación significativa de la comunidad, facilitó la toma de decisiones inclusiva y ayudó a cerrar la brecha entre las empresas mineras y las comunidades locales. Por ejemplo, los talleres participativos bajo el marco APELL fomentaron la cohesión social, la confianza y una comunicación efectiva entre los miembros de la comunidad, los gobiernos locales y las partes interesadas de la industria.</w:t>
      </w:r>
    </w:p>
    <w:p w14:paraId="0A4FB1A5">
      <w:pPr>
        <w:pStyle w:val="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Arial" w:hAnsi="Arial" w:cs="Arial"/>
          <w:sz w:val="22"/>
          <w:szCs w:val="22"/>
          <w:lang w:val="en-US"/>
        </w:rPr>
      </w:pPr>
      <w:r>
        <w:rPr>
          <w:rFonts w:hint="default" w:ascii="Arial" w:hAnsi="Arial" w:cs="Arial"/>
          <w:sz w:val="22"/>
          <w:szCs w:val="22"/>
        </w:rPr>
        <w:t>Además, RAPID LA identificó desafíos sistémicos que dificultan la plena realización de los objetivos de desarrollo sostenible, como las brechas en la capacidad institucional y el acceso limitado a financiamiento. A pesar de estos obstáculos, la implementación combinada de GISTM y APELL fomentó la colaboración, la transparencia y la rendición de cuentas, sentando las bases para beneficios a largo plazo tanto para las comunidades como para las empresas mineras</w:t>
      </w:r>
      <w:r>
        <w:rPr>
          <w:rFonts w:hint="default" w:ascii="Arial" w:hAnsi="Arial" w:cs="Arial"/>
          <w:sz w:val="22"/>
          <w:szCs w:val="22"/>
          <w:lang w:val="en-US"/>
        </w:rPr>
        <w:t>.</w:t>
      </w:r>
    </w:p>
    <w:p w14:paraId="59ACB912">
      <w:pPr>
        <w:pStyle w:val="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Arial" w:hAnsi="Arial" w:cs="Arial"/>
          <w:sz w:val="22"/>
          <w:szCs w:val="22"/>
        </w:rPr>
      </w:pPr>
    </w:p>
    <w:p w14:paraId="26CC36BA">
      <w:pPr>
        <w:pStyle w:val="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Arial" w:hAnsi="Arial" w:cs="Arial"/>
          <w:sz w:val="22"/>
          <w:szCs w:val="22"/>
        </w:rPr>
      </w:pPr>
      <w:r>
        <w:rPr>
          <w:rFonts w:hint="default" w:ascii="Arial" w:hAnsi="Arial" w:cs="Arial"/>
          <w:b/>
          <w:bCs/>
          <w:sz w:val="22"/>
          <w:szCs w:val="22"/>
        </w:rPr>
        <w:t>Conclusiones</w:t>
      </w:r>
      <w:r>
        <w:rPr>
          <w:rFonts w:hint="default" w:ascii="Arial" w:hAnsi="Arial" w:cs="Arial"/>
          <w:sz w:val="22"/>
          <w:szCs w:val="22"/>
        </w:rPr>
        <w:t xml:space="preserve">: El estudio concluye que la integración del GISTM y el Programa APELL, utilizando la metodología de RAPID-LA, proporciona un marco práctico y escalable </w:t>
      </w:r>
      <w:r>
        <w:rPr>
          <w:rFonts w:hint="default" w:ascii="Arial" w:hAnsi="Arial" w:cs="Arial"/>
          <w:sz w:val="22"/>
          <w:szCs w:val="22"/>
          <w:lang w:val="en-US"/>
        </w:rPr>
        <w:t xml:space="preserve">que por medio de la Reducción de Riesgo de Desastres </w:t>
      </w:r>
      <w:r>
        <w:rPr>
          <w:rFonts w:hint="default" w:ascii="Arial" w:hAnsi="Arial" w:cs="Arial"/>
          <w:sz w:val="22"/>
          <w:szCs w:val="22"/>
        </w:rPr>
        <w:t>fortalece la seguridad, la resiliencia y la sostenibilidad. Las empresas mineras se benefician de una mejor mitigación de riesgos, el cumplimiento normativo y una mayor confianza de las partes interesadas, mientras que las comunidades obtienen una mejor preparación ante desastres, protección ambiental, oportunidades económicas y desarrollo sostenible a largo plazo. Esta metodología presenta un modelo viable para armonizar el crecimiento industrial con la sostenibilidad social y ambiental en el sector minero de América Latina.</w:t>
      </w:r>
    </w:p>
    <w:p w14:paraId="324482AB"/>
    <w:p w14:paraId="7558996A"/>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3A27E6"/>
    <w:rsid w:val="025221C3"/>
    <w:rsid w:val="09C23408"/>
    <w:rsid w:val="410D087D"/>
    <w:rsid w:val="52336770"/>
    <w:rsid w:val="57D83D01"/>
    <w:rsid w:val="62F64A44"/>
    <w:rsid w:val="6A263E16"/>
    <w:rsid w:val="713A27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Emphasis"/>
    <w:basedOn w:val="2"/>
    <w:qFormat/>
    <w:uiPriority w:val="0"/>
    <w:rPr>
      <w:i/>
      <w:iCs/>
    </w:rPr>
  </w:style>
  <w:style w:type="paragraph" w:styleId="5">
    <w:name w:val="Normal (Web)"/>
    <w:basedOn w:val="1"/>
    <w:uiPriority w:val="0"/>
    <w:rPr>
      <w:sz w:val="24"/>
      <w:szCs w:val="24"/>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12</TotalTime>
  <ScaleCrop>false</ScaleCrop>
  <LinksUpToDate>false</LinksUpToDate>
  <CharactersWithSpaces>0</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2025-04-11T10:36:00Z</dcterms:created>
  <dc:creator>Unopro Management</dc:creator>
  <cp:lastModifiedBy>Unopro Management</cp:lastModifiedBy>
  <dcterms:modified xsi:type="dcterms:W3CDTF">2025-04-18T20:12:00Z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C8039947D92E44B4BAE62C33DDF3E99B_13</vt:lpwstr>
  </property>
</Properties>
</file>