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1E7" w:rsidRDefault="00674FAF" w:rsidP="00BC4964">
      <w:pPr>
        <w:pStyle w:val="Textoindependiente"/>
        <w:tabs>
          <w:tab w:val="left" w:pos="2790"/>
        </w:tabs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p w:rsidR="002E21E7" w:rsidRDefault="002E21E7">
      <w:pPr>
        <w:pStyle w:val="Textoindependiente"/>
        <w:spacing w:before="50"/>
        <w:rPr>
          <w:rFonts w:ascii="Times New Roman"/>
          <w:sz w:val="20"/>
        </w:rPr>
      </w:pPr>
    </w:p>
    <w:p w:rsidR="002E21E7" w:rsidRPr="00972A3D" w:rsidRDefault="00560001">
      <w:pPr>
        <w:spacing w:before="1"/>
        <w:ind w:left="2791" w:right="2792" w:hanging="2"/>
        <w:jc w:val="center"/>
        <w:rPr>
          <w:b/>
        </w:rPr>
      </w:pPr>
      <w:r w:rsidRPr="00972A3D">
        <w:rPr>
          <w:b/>
        </w:rPr>
        <w:t>PERUMIN 37 Convención Minera Arequipa,</w:t>
      </w:r>
      <w:r w:rsidRPr="00972A3D">
        <w:rPr>
          <w:b/>
          <w:spacing w:val="-5"/>
        </w:rPr>
        <w:t xml:space="preserve"> </w:t>
      </w:r>
      <w:r w:rsidRPr="00972A3D">
        <w:rPr>
          <w:b/>
        </w:rPr>
        <w:t>22</w:t>
      </w:r>
      <w:r w:rsidRPr="00972A3D">
        <w:rPr>
          <w:b/>
          <w:spacing w:val="-5"/>
        </w:rPr>
        <w:t xml:space="preserve"> </w:t>
      </w:r>
      <w:r w:rsidRPr="00972A3D">
        <w:rPr>
          <w:b/>
        </w:rPr>
        <w:t>–</w:t>
      </w:r>
      <w:r w:rsidRPr="00972A3D">
        <w:rPr>
          <w:b/>
          <w:spacing w:val="-8"/>
        </w:rPr>
        <w:t xml:space="preserve"> </w:t>
      </w:r>
      <w:r w:rsidRPr="00972A3D">
        <w:rPr>
          <w:b/>
        </w:rPr>
        <w:t>26</w:t>
      </w:r>
      <w:r w:rsidRPr="00972A3D">
        <w:rPr>
          <w:b/>
          <w:spacing w:val="-8"/>
        </w:rPr>
        <w:t xml:space="preserve"> </w:t>
      </w:r>
      <w:r w:rsidRPr="00972A3D">
        <w:rPr>
          <w:b/>
        </w:rPr>
        <w:t>de</w:t>
      </w:r>
      <w:r w:rsidRPr="00972A3D">
        <w:rPr>
          <w:b/>
          <w:spacing w:val="-8"/>
        </w:rPr>
        <w:t xml:space="preserve"> </w:t>
      </w:r>
      <w:r w:rsidRPr="00972A3D">
        <w:rPr>
          <w:b/>
        </w:rPr>
        <w:t>setiembre,</w:t>
      </w:r>
      <w:r w:rsidRPr="00972A3D">
        <w:rPr>
          <w:b/>
          <w:spacing w:val="-8"/>
        </w:rPr>
        <w:t xml:space="preserve"> </w:t>
      </w:r>
      <w:r w:rsidRPr="00972A3D">
        <w:rPr>
          <w:b/>
        </w:rPr>
        <w:t>2025</w:t>
      </w:r>
    </w:p>
    <w:p w:rsidR="002E21E7" w:rsidRDefault="002E21E7">
      <w:pPr>
        <w:pStyle w:val="Textoindependiente"/>
        <w:spacing w:before="1"/>
        <w:rPr>
          <w:b/>
          <w:sz w:val="20"/>
        </w:rPr>
      </w:pPr>
    </w:p>
    <w:p w:rsidR="00560001" w:rsidRPr="00972A3D" w:rsidRDefault="00357E41" w:rsidP="00560001">
      <w:pPr>
        <w:ind w:left="943" w:right="947"/>
        <w:jc w:val="center"/>
        <w:rPr>
          <w:b/>
        </w:rPr>
      </w:pPr>
      <w:r w:rsidRPr="00972A3D">
        <w:rPr>
          <w:b/>
        </w:rPr>
        <w:t>FORO DE TECNOLOGÍA, INNOVACIÓN Y SOSTENIBILIDAD CONVOCATORIA DE TRABAJOS TÉCNICOS PREMIO NACIONAL DE MINERÍA</w:t>
      </w:r>
    </w:p>
    <w:p w:rsidR="00A33927" w:rsidRDefault="00A33927">
      <w:pPr>
        <w:pStyle w:val="Textoindependiente"/>
        <w:spacing w:before="64"/>
        <w:rPr>
          <w:b/>
        </w:rPr>
      </w:pPr>
    </w:p>
    <w:p w:rsidR="002E21E7" w:rsidRDefault="00A73981" w:rsidP="00A33927">
      <w:pPr>
        <w:pStyle w:val="Textoindependiente"/>
        <w:ind w:left="1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MARCO DE ANÁLISIS DE FACTORES HUMANOS PARA LA INDUSTRIA MINERA PERUANA</w:t>
      </w:r>
    </w:p>
    <w:p w:rsidR="00A33927" w:rsidRPr="00A33927" w:rsidRDefault="00A33927" w:rsidP="00A33927">
      <w:pPr>
        <w:pStyle w:val="Textoindependiente"/>
        <w:ind w:left="1"/>
        <w:jc w:val="center"/>
        <w:rPr>
          <w:b/>
          <w:sz w:val="22"/>
          <w:szCs w:val="22"/>
        </w:rPr>
      </w:pPr>
    </w:p>
    <w:p w:rsidR="002E21E7" w:rsidRPr="003B0D6A" w:rsidRDefault="00560001" w:rsidP="00A33927">
      <w:pPr>
        <w:spacing w:before="30"/>
        <w:ind w:left="1"/>
        <w:jc w:val="center"/>
      </w:pPr>
      <w:r w:rsidRPr="003B0D6A">
        <w:rPr>
          <w:b/>
        </w:rPr>
        <w:t>Categoría:</w:t>
      </w:r>
      <w:r w:rsidRPr="003B0D6A">
        <w:rPr>
          <w:b/>
          <w:spacing w:val="-8"/>
        </w:rPr>
        <w:t xml:space="preserve"> </w:t>
      </w:r>
      <w:r w:rsidR="003A6573">
        <w:t>ESG</w:t>
      </w:r>
    </w:p>
    <w:p w:rsidR="00907654" w:rsidRPr="00907654" w:rsidRDefault="00907654" w:rsidP="00907654">
      <w:pPr>
        <w:spacing w:before="30"/>
        <w:ind w:left="1"/>
        <w:rPr>
          <w:sz w:val="18"/>
        </w:rPr>
      </w:pPr>
    </w:p>
    <w:p w:rsidR="002E21E7" w:rsidRPr="000015BE" w:rsidRDefault="00907654" w:rsidP="00A33927">
      <w:pPr>
        <w:spacing w:before="13" w:line="276" w:lineRule="auto"/>
        <w:ind w:left="1"/>
        <w:jc w:val="center"/>
        <w:rPr>
          <w:sz w:val="20"/>
          <w:szCs w:val="20"/>
        </w:rPr>
      </w:pPr>
      <w:r w:rsidRPr="000015BE">
        <w:rPr>
          <w:sz w:val="20"/>
          <w:szCs w:val="20"/>
        </w:rPr>
        <w:t>Lincol Javier Jimenez Balboa</w:t>
      </w:r>
      <w:r w:rsidR="00560001" w:rsidRPr="000015BE">
        <w:rPr>
          <w:sz w:val="20"/>
          <w:szCs w:val="20"/>
        </w:rPr>
        <w:t>,</w:t>
      </w:r>
      <w:r w:rsidR="00560001" w:rsidRPr="000015BE">
        <w:rPr>
          <w:spacing w:val="-4"/>
          <w:sz w:val="20"/>
          <w:szCs w:val="20"/>
        </w:rPr>
        <w:t xml:space="preserve"> </w:t>
      </w:r>
      <w:r w:rsidRPr="000015BE">
        <w:rPr>
          <w:sz w:val="20"/>
          <w:szCs w:val="20"/>
        </w:rPr>
        <w:t>Ingeniero de Operaciones Mina</w:t>
      </w:r>
      <w:r w:rsidR="00560001" w:rsidRPr="000015BE">
        <w:rPr>
          <w:sz w:val="20"/>
          <w:szCs w:val="20"/>
        </w:rPr>
        <w:t>,</w:t>
      </w:r>
      <w:r w:rsidR="00560001" w:rsidRPr="000015BE">
        <w:rPr>
          <w:spacing w:val="-4"/>
          <w:sz w:val="20"/>
          <w:szCs w:val="20"/>
        </w:rPr>
        <w:t xml:space="preserve"> </w:t>
      </w:r>
      <w:r w:rsidRPr="000015BE">
        <w:rPr>
          <w:spacing w:val="-4"/>
          <w:sz w:val="20"/>
          <w:szCs w:val="20"/>
        </w:rPr>
        <w:t xml:space="preserve">Jirón Progreso 301, </w:t>
      </w:r>
      <w:hyperlink r:id="rId7" w:history="1">
        <w:r w:rsidRPr="000015BE">
          <w:rPr>
            <w:rStyle w:val="Hipervnculo"/>
            <w:spacing w:val="-4"/>
            <w:sz w:val="20"/>
            <w:szCs w:val="20"/>
          </w:rPr>
          <w:t>Lincol.</w:t>
        </w:r>
        <w:r w:rsidRPr="000015BE">
          <w:rPr>
            <w:rStyle w:val="Hipervnculo"/>
            <w:sz w:val="20"/>
            <w:szCs w:val="20"/>
          </w:rPr>
          <w:t>Jimenez@unmsm.edu.pe</w:t>
        </w:r>
      </w:hyperlink>
      <w:r w:rsidR="00A33927" w:rsidRPr="000015BE">
        <w:rPr>
          <w:sz w:val="20"/>
          <w:szCs w:val="20"/>
        </w:rPr>
        <w:t>, 903567934</w:t>
      </w:r>
    </w:p>
    <w:p w:rsidR="00A33927" w:rsidRDefault="00A33927" w:rsidP="00A33927">
      <w:pPr>
        <w:spacing w:before="13" w:line="276" w:lineRule="auto"/>
        <w:ind w:left="1"/>
        <w:jc w:val="center"/>
        <w:rPr>
          <w:sz w:val="18"/>
        </w:rPr>
      </w:pPr>
    </w:p>
    <w:p w:rsidR="002E21E7" w:rsidRPr="000015BE" w:rsidRDefault="00EC1F89" w:rsidP="000015BE">
      <w:pPr>
        <w:pStyle w:val="Textoindependiente"/>
        <w:spacing w:line="360" w:lineRule="auto"/>
        <w:ind w:firstLine="720"/>
        <w:rPr>
          <w:b/>
          <w:sz w:val="22"/>
          <w:szCs w:val="22"/>
        </w:rPr>
      </w:pPr>
      <w:r w:rsidRPr="000015BE">
        <w:rPr>
          <w:b/>
          <w:sz w:val="22"/>
          <w:szCs w:val="22"/>
        </w:rPr>
        <w:t>Palabras clave</w:t>
      </w:r>
      <w:r w:rsidR="00560001" w:rsidRPr="000015BE">
        <w:rPr>
          <w:b/>
          <w:sz w:val="22"/>
          <w:szCs w:val="22"/>
        </w:rPr>
        <w:t xml:space="preserve">: </w:t>
      </w:r>
      <w:r w:rsidR="00A72E49">
        <w:rPr>
          <w:sz w:val="22"/>
          <w:szCs w:val="22"/>
        </w:rPr>
        <w:t xml:space="preserve">Análisis de Factores Humanos, Factor Causal, Modelo de </w:t>
      </w:r>
      <w:bookmarkStart w:id="0" w:name="_GoBack"/>
      <w:bookmarkEnd w:id="0"/>
      <w:r w:rsidR="00A72E49">
        <w:rPr>
          <w:sz w:val="22"/>
          <w:szCs w:val="22"/>
        </w:rPr>
        <w:t>Causalidad, Industria Minera</w:t>
      </w:r>
    </w:p>
    <w:p w:rsidR="00907654" w:rsidRDefault="00907654" w:rsidP="00357E41">
      <w:pPr>
        <w:pStyle w:val="Ttulo1"/>
        <w:ind w:left="0"/>
        <w:rPr>
          <w:spacing w:val="-2"/>
        </w:rPr>
      </w:pPr>
    </w:p>
    <w:p w:rsidR="00331E2C" w:rsidRDefault="00050761" w:rsidP="00050761">
      <w:pPr>
        <w:widowControl/>
        <w:autoSpaceDE/>
        <w:autoSpaceDN/>
        <w:spacing w:after="240" w:line="360" w:lineRule="auto"/>
        <w:ind w:firstLine="720"/>
        <w:rPr>
          <w:rFonts w:eastAsia="Calibri"/>
        </w:rPr>
      </w:pPr>
      <w:r w:rsidRPr="00050761">
        <w:rPr>
          <w:rFonts w:eastAsia="Calibri"/>
        </w:rPr>
        <w:t>En un intento por incorporar los factores humanos en las fallas técnicas como factores causales d</w:t>
      </w:r>
      <w:r w:rsidR="00F62D61">
        <w:rPr>
          <w:rFonts w:eastAsia="Calibri"/>
        </w:rPr>
        <w:t>e accidentes, se ha</w:t>
      </w:r>
      <w:r w:rsidRPr="00050761">
        <w:rPr>
          <w:rFonts w:eastAsia="Calibri"/>
        </w:rPr>
        <w:t xml:space="preserve"> promovido el concepto de análisis de factores humanos. Los modelos de análisis de factores humanos buscan identificar las condiciones latentes dentro del sistema que influyen en la</w:t>
      </w:r>
      <w:r w:rsidR="00CB0DC1">
        <w:rPr>
          <w:rFonts w:eastAsia="Calibri"/>
        </w:rPr>
        <w:t xml:space="preserve">s acciones </w:t>
      </w:r>
      <w:r w:rsidRPr="00050761">
        <w:rPr>
          <w:rFonts w:eastAsia="Calibri"/>
        </w:rPr>
        <w:t>del operador</w:t>
      </w:r>
      <w:r w:rsidR="00CB0DC1">
        <w:rPr>
          <w:rFonts w:eastAsia="Calibri"/>
        </w:rPr>
        <w:t xml:space="preserve"> o </w:t>
      </w:r>
      <w:r w:rsidR="003210F7">
        <w:rPr>
          <w:rFonts w:eastAsia="Calibri"/>
        </w:rPr>
        <w:t>funcionario</w:t>
      </w:r>
      <w:r w:rsidR="00CB0DC1">
        <w:rPr>
          <w:rFonts w:eastAsia="Calibri"/>
        </w:rPr>
        <w:t xml:space="preserve">, las cuales pueden desencadenar un incidente. Este, </w:t>
      </w:r>
      <w:r w:rsidR="00F62D61">
        <w:rPr>
          <w:rFonts w:eastAsia="Calibri"/>
        </w:rPr>
        <w:t>ante ciertas desatenciones</w:t>
      </w:r>
      <w:r w:rsidR="00CB0DC1">
        <w:rPr>
          <w:rFonts w:eastAsia="Calibri"/>
        </w:rPr>
        <w:t xml:space="preserve"> relacionadas con </w:t>
      </w:r>
      <w:r w:rsidR="00F62D61">
        <w:rPr>
          <w:rFonts w:eastAsia="Calibri"/>
        </w:rPr>
        <w:t>actos y condiciones subestá</w:t>
      </w:r>
      <w:r w:rsidR="00CB0DC1">
        <w:rPr>
          <w:rFonts w:eastAsia="Calibri"/>
        </w:rPr>
        <w:t xml:space="preserve">ndar, </w:t>
      </w:r>
      <w:r w:rsidR="00F62D61">
        <w:rPr>
          <w:rFonts w:eastAsia="Calibri"/>
        </w:rPr>
        <w:t>podría materializar</w:t>
      </w:r>
      <w:r w:rsidR="00CB0DC1">
        <w:rPr>
          <w:rFonts w:eastAsia="Calibri"/>
        </w:rPr>
        <w:t>se en</w:t>
      </w:r>
      <w:r w:rsidR="00F62D61">
        <w:rPr>
          <w:rFonts w:eastAsia="Calibri"/>
        </w:rPr>
        <w:t xml:space="preserve"> un accidente</w:t>
      </w:r>
      <w:r w:rsidRPr="00050761">
        <w:rPr>
          <w:rFonts w:eastAsia="Calibri"/>
        </w:rPr>
        <w:t>. Para una aplicación efectiva de los modelos de análisis de factores humanos, se recomienda</w:t>
      </w:r>
      <w:r w:rsidR="00FC14FE">
        <w:rPr>
          <w:rFonts w:eastAsia="Calibri"/>
        </w:rPr>
        <w:t xml:space="preserve"> utilizar</w:t>
      </w:r>
      <w:r w:rsidRPr="00050761">
        <w:rPr>
          <w:rFonts w:eastAsia="Calibri"/>
        </w:rPr>
        <w:t xml:space="preserve"> un modelo específico de</w:t>
      </w:r>
      <w:r w:rsidR="00FC14FE">
        <w:rPr>
          <w:rFonts w:eastAsia="Calibri"/>
        </w:rPr>
        <w:t>l</w:t>
      </w:r>
      <w:r w:rsidRPr="00050761">
        <w:rPr>
          <w:rFonts w:eastAsia="Calibri"/>
        </w:rPr>
        <w:t xml:space="preserve"> dominio. La mayoría de los modelos existentes </w:t>
      </w:r>
      <w:r w:rsidR="00FC14FE">
        <w:rPr>
          <w:rFonts w:eastAsia="Calibri"/>
        </w:rPr>
        <w:t xml:space="preserve">han sido desarrollados </w:t>
      </w:r>
      <w:r w:rsidR="00CE1353">
        <w:rPr>
          <w:rFonts w:eastAsia="Calibri"/>
        </w:rPr>
        <w:t xml:space="preserve">con categorías y </w:t>
      </w:r>
      <w:r w:rsidRPr="00050761">
        <w:rPr>
          <w:rFonts w:eastAsia="Calibri"/>
        </w:rPr>
        <w:t>subcate</w:t>
      </w:r>
      <w:r w:rsidR="00CE1353">
        <w:rPr>
          <w:rFonts w:eastAsia="Calibri"/>
        </w:rPr>
        <w:t xml:space="preserve">gorías propias de un dominio particular, lo que </w:t>
      </w:r>
      <w:r w:rsidRPr="00050761">
        <w:rPr>
          <w:rFonts w:eastAsia="Calibri"/>
        </w:rPr>
        <w:t>presenta desafíos y dificulta su aplicac</w:t>
      </w:r>
      <w:r w:rsidR="00CE1353">
        <w:rPr>
          <w:rFonts w:eastAsia="Calibri"/>
        </w:rPr>
        <w:t xml:space="preserve">ión </w:t>
      </w:r>
      <w:r w:rsidRPr="00050761">
        <w:rPr>
          <w:rFonts w:eastAsia="Calibri"/>
        </w:rPr>
        <w:t>fuera del domi</w:t>
      </w:r>
      <w:r w:rsidR="00CE1353">
        <w:rPr>
          <w:rFonts w:eastAsia="Calibri"/>
        </w:rPr>
        <w:t>nio para el cual fueron desarrollados</w:t>
      </w:r>
      <w:r w:rsidRPr="00050761">
        <w:rPr>
          <w:rFonts w:eastAsia="Calibri"/>
        </w:rPr>
        <w:t xml:space="preserve">. </w:t>
      </w:r>
    </w:p>
    <w:p w:rsidR="00331E2C" w:rsidRDefault="00174002" w:rsidP="00050761">
      <w:pPr>
        <w:widowControl/>
        <w:autoSpaceDE/>
        <w:autoSpaceDN/>
        <w:spacing w:after="240" w:line="360" w:lineRule="auto"/>
        <w:ind w:firstLine="720"/>
        <w:rPr>
          <w:rFonts w:eastAsia="Calibri"/>
        </w:rPr>
      </w:pPr>
      <w:r>
        <w:rPr>
          <w:rFonts w:eastAsia="Calibri"/>
        </w:rPr>
        <w:t>Este trabajo busca</w:t>
      </w:r>
      <w:r w:rsidR="00050761" w:rsidRPr="00050761">
        <w:rPr>
          <w:rFonts w:eastAsia="Calibri"/>
        </w:rPr>
        <w:t xml:space="preserve"> proponer un marco de análisis de factores humanos p</w:t>
      </w:r>
      <w:r>
        <w:rPr>
          <w:rFonts w:eastAsia="Calibri"/>
        </w:rPr>
        <w:t>ara la industria minera peruana</w:t>
      </w:r>
      <w:r w:rsidR="00050761" w:rsidRPr="00050761">
        <w:rPr>
          <w:rFonts w:eastAsia="Calibri"/>
        </w:rPr>
        <w:t xml:space="preserve">. </w:t>
      </w:r>
      <w:r w:rsidR="00DF1AE5">
        <w:rPr>
          <w:rFonts w:eastAsia="Calibri"/>
        </w:rPr>
        <w:t>Para ello, s</w:t>
      </w:r>
      <w:r w:rsidR="00050761" w:rsidRPr="00050761">
        <w:rPr>
          <w:rFonts w:eastAsia="Calibri"/>
        </w:rPr>
        <w:t xml:space="preserve">e realizó un estudio comparativo entre tres modelos de causalidad de accidentes y métodos de investigación predominantes en la literatura: AcciMap, HFACS y </w:t>
      </w:r>
      <w:r w:rsidR="00356081">
        <w:rPr>
          <w:rFonts w:eastAsia="Calibri"/>
        </w:rPr>
        <w:t>STAMP. La evaluación</w:t>
      </w:r>
      <w:r w:rsidR="00050761" w:rsidRPr="00050761">
        <w:rPr>
          <w:rFonts w:eastAsia="Calibri"/>
        </w:rPr>
        <w:t xml:space="preserve"> demostró que HFACS es</w:t>
      </w:r>
      <w:r w:rsidR="00DF1AE5">
        <w:rPr>
          <w:rFonts w:eastAsia="Calibri"/>
        </w:rPr>
        <w:t xml:space="preserve"> el más</w:t>
      </w:r>
      <w:r w:rsidR="00050761" w:rsidRPr="00050761">
        <w:rPr>
          <w:rFonts w:eastAsia="Calibri"/>
        </w:rPr>
        <w:t xml:space="preserve"> adecuado para el análisis de datos de incidentes</w:t>
      </w:r>
      <w:r w:rsidR="00DF1AE5">
        <w:rPr>
          <w:rFonts w:eastAsia="Calibri"/>
        </w:rPr>
        <w:t>,</w:t>
      </w:r>
      <w:r w:rsidR="00050761" w:rsidRPr="00050761">
        <w:rPr>
          <w:rFonts w:eastAsia="Calibri"/>
        </w:rPr>
        <w:t xml:space="preserve"> por las siguientes razones: facilidad de aprendizaje y uso, idoneidad para el análisis</w:t>
      </w:r>
      <w:r w:rsidR="00DF1AE5">
        <w:rPr>
          <w:rFonts w:eastAsia="Calibri"/>
        </w:rPr>
        <w:t xml:space="preserve"> de múltiples incidentes, posibilidad de </w:t>
      </w:r>
      <w:r w:rsidR="00050761" w:rsidRPr="00050761">
        <w:rPr>
          <w:rFonts w:eastAsia="Calibri"/>
        </w:rPr>
        <w:t xml:space="preserve">cuantificación estadística de tendencias y patrones, y alta confiabilidad </w:t>
      </w:r>
      <w:r w:rsidR="009B2490">
        <w:rPr>
          <w:rFonts w:eastAsia="Calibri"/>
        </w:rPr>
        <w:t xml:space="preserve">tanto </w:t>
      </w:r>
      <w:r w:rsidR="00050761" w:rsidRPr="00050761">
        <w:rPr>
          <w:rFonts w:eastAsia="Calibri"/>
        </w:rPr>
        <w:t xml:space="preserve">inter e intracodificador. </w:t>
      </w:r>
    </w:p>
    <w:p w:rsidR="00050761" w:rsidRPr="00050761" w:rsidRDefault="00050761" w:rsidP="00050761">
      <w:pPr>
        <w:widowControl/>
        <w:autoSpaceDE/>
        <w:autoSpaceDN/>
        <w:spacing w:after="240" w:line="360" w:lineRule="auto"/>
        <w:ind w:firstLine="720"/>
        <w:rPr>
          <w:rFonts w:eastAsia="Calibri"/>
          <w:lang w:val="es-PE"/>
        </w:rPr>
      </w:pPr>
      <w:r w:rsidRPr="00050761">
        <w:rPr>
          <w:rFonts w:eastAsia="Calibri"/>
        </w:rPr>
        <w:t xml:space="preserve">Se realizó un estudio exhaustivo sobre </w:t>
      </w:r>
      <w:r w:rsidR="00A32DB0">
        <w:rPr>
          <w:rFonts w:eastAsia="Calibri"/>
        </w:rPr>
        <w:t xml:space="preserve">el modelo </w:t>
      </w:r>
      <w:r w:rsidRPr="00050761">
        <w:rPr>
          <w:rFonts w:eastAsia="Calibri"/>
        </w:rPr>
        <w:t>HFACS y sus derivados. Con ba</w:t>
      </w:r>
      <w:r w:rsidR="00A32DB0">
        <w:rPr>
          <w:rFonts w:eastAsia="Calibri"/>
        </w:rPr>
        <w:t xml:space="preserve">se en las recomendaciones y </w:t>
      </w:r>
      <w:r w:rsidRPr="00050761">
        <w:rPr>
          <w:rFonts w:eastAsia="Calibri"/>
        </w:rPr>
        <w:t xml:space="preserve">hallazgos de investigaciones </w:t>
      </w:r>
      <w:r w:rsidR="00A32DB0">
        <w:rPr>
          <w:rFonts w:eastAsia="Calibri"/>
        </w:rPr>
        <w:t>previas presentes en la</w:t>
      </w:r>
      <w:r w:rsidRPr="00050761">
        <w:rPr>
          <w:rFonts w:eastAsia="Calibri"/>
        </w:rPr>
        <w:t xml:space="preserve"> literatura, se propuso el Sistema de</w:t>
      </w:r>
      <w:r w:rsidR="00A32DB0">
        <w:rPr>
          <w:rFonts w:eastAsia="Calibri"/>
        </w:rPr>
        <w:t xml:space="preserve"> Análisis y </w:t>
      </w:r>
      <w:r w:rsidRPr="00050761">
        <w:rPr>
          <w:rFonts w:eastAsia="Calibri"/>
        </w:rPr>
        <w:t>Clasificación</w:t>
      </w:r>
      <w:r w:rsidR="00A32DB0">
        <w:rPr>
          <w:rFonts w:eastAsia="Calibri"/>
        </w:rPr>
        <w:t xml:space="preserve"> de Factores Humanos</w:t>
      </w:r>
      <w:r w:rsidRPr="00050761">
        <w:rPr>
          <w:rFonts w:eastAsia="Calibri"/>
        </w:rPr>
        <w:t xml:space="preserve"> pa</w:t>
      </w:r>
      <w:r w:rsidR="00F62D61">
        <w:rPr>
          <w:rFonts w:eastAsia="Calibri"/>
        </w:rPr>
        <w:t>ra la Industria Minera Peruana</w:t>
      </w:r>
      <w:r w:rsidRPr="00050761">
        <w:rPr>
          <w:rFonts w:eastAsia="Calibri"/>
        </w:rPr>
        <w:t>.</w:t>
      </w:r>
    </w:p>
    <w:p w:rsidR="00331E2C" w:rsidRDefault="00F62D61" w:rsidP="00331E2C">
      <w:pPr>
        <w:widowControl/>
        <w:autoSpaceDE/>
        <w:autoSpaceDN/>
        <w:spacing w:after="240" w:line="360" w:lineRule="auto"/>
        <w:ind w:firstLine="720"/>
        <w:rPr>
          <w:rFonts w:eastAsia="Calibri"/>
        </w:rPr>
      </w:pPr>
      <w:r>
        <w:rPr>
          <w:rFonts w:eastAsia="Calibri"/>
        </w:rPr>
        <w:lastRenderedPageBreak/>
        <w:t xml:space="preserve">HFACS </w:t>
      </w:r>
      <w:r w:rsidR="00331E2C" w:rsidRPr="00331E2C">
        <w:rPr>
          <w:rFonts w:eastAsia="Calibri"/>
        </w:rPr>
        <w:t>consta de cuatro ni</w:t>
      </w:r>
      <w:r w:rsidR="006C7B7E">
        <w:rPr>
          <w:rFonts w:eastAsia="Calibri"/>
        </w:rPr>
        <w:t>veles: influencias externas</w:t>
      </w:r>
      <w:r w:rsidR="00331E2C" w:rsidRPr="00331E2C">
        <w:rPr>
          <w:rFonts w:eastAsia="Calibri"/>
        </w:rPr>
        <w:t>, factor</w:t>
      </w:r>
      <w:r w:rsidR="006C7B7E">
        <w:rPr>
          <w:rFonts w:eastAsia="Calibri"/>
        </w:rPr>
        <w:t>es</w:t>
      </w:r>
      <w:r w:rsidR="00331E2C" w:rsidRPr="00331E2C">
        <w:rPr>
          <w:rFonts w:eastAsia="Calibri"/>
        </w:rPr>
        <w:t xml:space="preserve"> organizacional</w:t>
      </w:r>
      <w:r w:rsidR="006C7B7E">
        <w:rPr>
          <w:rFonts w:eastAsia="Calibri"/>
        </w:rPr>
        <w:t>es</w:t>
      </w:r>
      <w:r w:rsidR="00331E2C" w:rsidRPr="00331E2C">
        <w:rPr>
          <w:rFonts w:eastAsia="Calibri"/>
        </w:rPr>
        <w:t>, condi</w:t>
      </w:r>
      <w:r w:rsidR="006C7B7E">
        <w:rPr>
          <w:rFonts w:eastAsia="Calibri"/>
        </w:rPr>
        <w:t>ci</w:t>
      </w:r>
      <w:r w:rsidR="00B6582C">
        <w:rPr>
          <w:rFonts w:eastAsia="Calibri"/>
        </w:rPr>
        <w:t>ones indi</w:t>
      </w:r>
      <w:r w:rsidR="00F6267A">
        <w:rPr>
          <w:rFonts w:eastAsia="Calibri"/>
        </w:rPr>
        <w:t>viduales o del entorno local de</w:t>
      </w:r>
      <w:r w:rsidR="00B6582C">
        <w:rPr>
          <w:rFonts w:eastAsia="Calibri"/>
        </w:rPr>
        <w:t xml:space="preserve"> trabajo</w:t>
      </w:r>
      <w:r w:rsidR="00F6267A">
        <w:rPr>
          <w:rFonts w:eastAsia="Calibri"/>
        </w:rPr>
        <w:t xml:space="preserve">, </w:t>
      </w:r>
      <w:r w:rsidR="00331E2C" w:rsidRPr="00331E2C">
        <w:rPr>
          <w:rFonts w:eastAsia="Calibri"/>
        </w:rPr>
        <w:t>y acto</w:t>
      </w:r>
      <w:r w:rsidR="00F6267A">
        <w:rPr>
          <w:rFonts w:eastAsia="Calibri"/>
        </w:rPr>
        <w:t>s</w:t>
      </w:r>
      <w:r w:rsidR="00331E2C" w:rsidRPr="00331E2C">
        <w:rPr>
          <w:rFonts w:eastAsia="Calibri"/>
        </w:rPr>
        <w:t xml:space="preserve"> inseguro</w:t>
      </w:r>
      <w:r w:rsidR="00F6267A">
        <w:rPr>
          <w:rFonts w:eastAsia="Calibri"/>
        </w:rPr>
        <w:t>s</w:t>
      </w:r>
      <w:r w:rsidR="00331E2C" w:rsidRPr="00331E2C">
        <w:rPr>
          <w:rFonts w:eastAsia="Calibri"/>
        </w:rPr>
        <w:t>. Se generó una lista parcial de factores causales en cada nivel</w:t>
      </w:r>
      <w:r w:rsidR="002B3BCE">
        <w:rPr>
          <w:rFonts w:eastAsia="Calibri"/>
        </w:rPr>
        <w:t>, destinada a servir como guía durante la codificación y la</w:t>
      </w:r>
      <w:r w:rsidR="00331E2C" w:rsidRPr="00331E2C">
        <w:rPr>
          <w:rFonts w:eastAsia="Calibri"/>
        </w:rPr>
        <w:t xml:space="preserve"> investigación de incidentes.</w:t>
      </w:r>
    </w:p>
    <w:p w:rsidR="00F44C54" w:rsidRPr="00331E2C" w:rsidRDefault="00F44C54" w:rsidP="00331E2C">
      <w:pPr>
        <w:widowControl/>
        <w:autoSpaceDE/>
        <w:autoSpaceDN/>
        <w:spacing w:after="240" w:line="360" w:lineRule="auto"/>
        <w:ind w:firstLine="720"/>
        <w:rPr>
          <w:rFonts w:eastAsia="Calibri"/>
          <w:lang w:val="es-PE"/>
        </w:rPr>
      </w:pPr>
      <w:r w:rsidRPr="00F44C54">
        <w:rPr>
          <w:rFonts w:eastAsia="Calibri"/>
        </w:rPr>
        <w:t>Se espera que la presente investigación sirva como base para futuros estudios enfocados en el análisis de los factores humanos como causas fundamentales de accidentes en la indu</w:t>
      </w:r>
      <w:r>
        <w:rPr>
          <w:rFonts w:eastAsia="Calibri"/>
        </w:rPr>
        <w:t>stria minera. E</w:t>
      </w:r>
      <w:r w:rsidRPr="00F44C54">
        <w:rPr>
          <w:rFonts w:eastAsia="Calibri"/>
        </w:rPr>
        <w:t>ste trabajo busca contribuir al desarrollo de estrategias más eficaces de prevención, gestión del riesgo y mejora continua en materia de seguridad laboral en minería.</w:t>
      </w:r>
    </w:p>
    <w:p w:rsidR="00907654" w:rsidRPr="00907654" w:rsidRDefault="00907654" w:rsidP="00907654">
      <w:pPr>
        <w:widowControl/>
        <w:autoSpaceDE/>
        <w:autoSpaceDN/>
        <w:jc w:val="both"/>
        <w:rPr>
          <w:rFonts w:eastAsia="Calibri"/>
          <w:i/>
          <w:iCs/>
          <w:lang w:val="es-PE"/>
        </w:rPr>
      </w:pPr>
    </w:p>
    <w:p w:rsidR="00907654" w:rsidRPr="00907654" w:rsidRDefault="00907654" w:rsidP="00907654">
      <w:pPr>
        <w:pStyle w:val="Ttulo1"/>
      </w:pPr>
    </w:p>
    <w:sectPr w:rsidR="00907654" w:rsidRPr="00907654">
      <w:headerReference w:type="default" r:id="rId8"/>
      <w:footerReference w:type="default" r:id="rId9"/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709" w:rsidRDefault="00EC5709" w:rsidP="00BC4964">
      <w:r>
        <w:separator/>
      </w:r>
    </w:p>
  </w:endnote>
  <w:endnote w:type="continuationSeparator" w:id="0">
    <w:p w:rsidR="00EC5709" w:rsidRDefault="00EC5709" w:rsidP="00BC4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9E8" w:rsidRDefault="00B519E8">
    <w:pPr>
      <w:pStyle w:val="Piedepgina"/>
      <w:rPr>
        <w:sz w:val="16"/>
        <w:szCs w:val="16"/>
      </w:rPr>
    </w:pPr>
    <w:r w:rsidRPr="00B519E8">
      <w:rPr>
        <w:sz w:val="16"/>
        <w:szCs w:val="16"/>
      </w:rPr>
      <w:t>Los</w:t>
    </w:r>
    <w:r>
      <w:rPr>
        <w:sz w:val="16"/>
        <w:szCs w:val="16"/>
      </w:rPr>
      <w:t xml:space="preserve"> Canarios 155-157 Urb. San César</w:t>
    </w:r>
  </w:p>
  <w:p w:rsidR="00B519E8" w:rsidRPr="00B519E8" w:rsidRDefault="00B519E8">
    <w:pPr>
      <w:pStyle w:val="Piedepgina"/>
      <w:rPr>
        <w:sz w:val="16"/>
        <w:szCs w:val="16"/>
      </w:rPr>
    </w:pPr>
    <w:r w:rsidRPr="00B519E8">
      <w:rPr>
        <w:sz w:val="16"/>
        <w:szCs w:val="16"/>
      </w:rPr>
      <w:t>Lima 12 - Perú</w:t>
    </w:r>
    <w:r w:rsidRPr="00B519E8">
      <w:rPr>
        <w:sz w:val="16"/>
        <w:szCs w:val="16"/>
      </w:rPr>
      <w:ptab w:relativeTo="margin" w:alignment="center" w:leader="none"/>
    </w:r>
    <w:r w:rsidRPr="00B519E8">
      <w:rPr>
        <w:sz w:val="16"/>
        <w:szCs w:val="16"/>
      </w:rPr>
      <w:t>Tel: (511) 313 4160 Ext.100</w:t>
    </w:r>
    <w:r w:rsidRPr="00B519E8">
      <w:rPr>
        <w:sz w:val="16"/>
        <w:szCs w:val="16"/>
      </w:rPr>
      <w:ptab w:relativeTo="margin" w:alignment="right" w:leader="none"/>
    </w:r>
    <w:r>
      <w:rPr>
        <w:sz w:val="16"/>
        <w:szCs w:val="16"/>
      </w:rPr>
      <w:t>www.perumin.com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709" w:rsidRDefault="00EC5709" w:rsidP="00BC4964">
      <w:r>
        <w:separator/>
      </w:r>
    </w:p>
  </w:footnote>
  <w:footnote w:type="continuationSeparator" w:id="0">
    <w:p w:rsidR="00EC5709" w:rsidRDefault="00EC5709" w:rsidP="00BC49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964" w:rsidRDefault="00197609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-510643</wp:posOffset>
          </wp:positionH>
          <wp:positionV relativeFrom="paragraph">
            <wp:posOffset>-384810</wp:posOffset>
          </wp:positionV>
          <wp:extent cx="1815465" cy="500380"/>
          <wp:effectExtent l="0" t="0" r="0" b="0"/>
          <wp:wrapSquare wrapText="bothSides"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5465" cy="500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4672398</wp:posOffset>
          </wp:positionH>
          <wp:positionV relativeFrom="paragraph">
            <wp:posOffset>-394970</wp:posOffset>
          </wp:positionV>
          <wp:extent cx="1419225" cy="499745"/>
          <wp:effectExtent l="0" t="0" r="9525" b="0"/>
          <wp:wrapSquare wrapText="bothSides"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99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5E16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561"/>
    <w:multiLevelType w:val="hybridMultilevel"/>
    <w:tmpl w:val="A226F5CE"/>
    <w:lvl w:ilvl="0" w:tplc="63BC98C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856D6F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AFD0756C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21003FB6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822660DC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3FA05A52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6ED2EC18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17C650C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2990FE9A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E3C46A9"/>
    <w:multiLevelType w:val="hybridMultilevel"/>
    <w:tmpl w:val="1BE698A4"/>
    <w:lvl w:ilvl="0" w:tplc="4A26F758">
      <w:start w:val="1"/>
      <w:numFmt w:val="decimal"/>
      <w:lvlText w:val="%1."/>
      <w:lvlJc w:val="left"/>
      <w:pPr>
        <w:ind w:left="7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4C27F6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B26E676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00565C44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26F86EEA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72163AC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CDC3800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DD56A908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05DE92C2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E21E7"/>
    <w:rsid w:val="000015BE"/>
    <w:rsid w:val="00050761"/>
    <w:rsid w:val="000B6943"/>
    <w:rsid w:val="00174002"/>
    <w:rsid w:val="00197609"/>
    <w:rsid w:val="001C68F0"/>
    <w:rsid w:val="002B3BCE"/>
    <w:rsid w:val="002D23EC"/>
    <w:rsid w:val="002E21E7"/>
    <w:rsid w:val="003066F4"/>
    <w:rsid w:val="003210F7"/>
    <w:rsid w:val="00331E2C"/>
    <w:rsid w:val="00356081"/>
    <w:rsid w:val="00357E41"/>
    <w:rsid w:val="003A6573"/>
    <w:rsid w:val="003B0D6A"/>
    <w:rsid w:val="00560001"/>
    <w:rsid w:val="00600DF7"/>
    <w:rsid w:val="00674FAF"/>
    <w:rsid w:val="006922B6"/>
    <w:rsid w:val="006C7B7E"/>
    <w:rsid w:val="006E6954"/>
    <w:rsid w:val="007C6CA6"/>
    <w:rsid w:val="00830B22"/>
    <w:rsid w:val="008A2DF6"/>
    <w:rsid w:val="00907654"/>
    <w:rsid w:val="00925E16"/>
    <w:rsid w:val="009629F7"/>
    <w:rsid w:val="00972A3D"/>
    <w:rsid w:val="00994726"/>
    <w:rsid w:val="009B2490"/>
    <w:rsid w:val="00A32DB0"/>
    <w:rsid w:val="00A33927"/>
    <w:rsid w:val="00A72E49"/>
    <w:rsid w:val="00A73981"/>
    <w:rsid w:val="00B41147"/>
    <w:rsid w:val="00B519E8"/>
    <w:rsid w:val="00B6582C"/>
    <w:rsid w:val="00B96126"/>
    <w:rsid w:val="00BC4964"/>
    <w:rsid w:val="00CB0DC1"/>
    <w:rsid w:val="00CE1353"/>
    <w:rsid w:val="00DF1AE5"/>
    <w:rsid w:val="00E11B7D"/>
    <w:rsid w:val="00E94759"/>
    <w:rsid w:val="00EC1F89"/>
    <w:rsid w:val="00EC5709"/>
    <w:rsid w:val="00F44C54"/>
    <w:rsid w:val="00F6267A"/>
    <w:rsid w:val="00F62D61"/>
    <w:rsid w:val="00FC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258E100"/>
  <w15:docId w15:val="{AC924687-6464-427B-A9D2-D99626A3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1"/>
      <w:outlineLvl w:val="0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6000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C496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4964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C496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4964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incol.Jimenez@unmsm.edu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454</Words>
  <Characters>2503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/>
      <vt:lpstr/>
    </vt:vector>
  </TitlesOfParts>
  <Company>HP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USER</cp:lastModifiedBy>
  <cp:revision>40</cp:revision>
  <dcterms:created xsi:type="dcterms:W3CDTF">2025-03-17T06:48:00Z</dcterms:created>
  <dcterms:modified xsi:type="dcterms:W3CDTF">2025-05-12T02:27:00Z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2025-03-17T00:00:00Z</vt:filetime>
  </property>
  <property fmtid="{D5CDD505-2E9C-101B-9397-08002B2CF9AE}" pid="5" name="Producer">
    <vt:lpwstr>3-Heights(TM) PDF Security Shell 4.8.25.2 (http://www.pdf-tools.com)</vt:lpwstr>
  </property>
</Properties>
</file>