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04D3" w14:textId="17460E5A" w:rsidR="00992DEC" w:rsidRPr="00546F39" w:rsidRDefault="00992DEC" w:rsidP="00992DEC">
      <w:p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Título del trabajo:</w:t>
      </w:r>
      <w:r w:rsidRPr="00546F39">
        <w:rPr>
          <w:rFonts w:ascii="Arial" w:hAnsi="Arial" w:cs="Arial"/>
          <w:sz w:val="22"/>
          <w:szCs w:val="22"/>
          <w:lang w:val="es-PE"/>
        </w:rPr>
        <w:br/>
      </w:r>
      <w:r w:rsidR="008D1FD6" w:rsidRPr="00546F39">
        <w:rPr>
          <w:rFonts w:ascii="Arial" w:hAnsi="Arial" w:cs="Arial"/>
          <w:sz w:val="22"/>
          <w:szCs w:val="22"/>
          <w:lang w:val="es-PE"/>
        </w:rPr>
        <w:t>Uso de Reactores Nucleares Modulares Pequeños y Energía Renovable para la Independencia Energética y la Descarbonización de la Gran Minería Peruana</w:t>
      </w:r>
    </w:p>
    <w:p w14:paraId="657FE6A5" w14:textId="3C439D1C" w:rsidR="00992DEC" w:rsidRPr="00546F39" w:rsidRDefault="00992DEC" w:rsidP="00992DEC">
      <w:p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Impacto de la Transición Energética en la Minería</w:t>
      </w:r>
      <w:r w:rsidRPr="00546F39">
        <w:rPr>
          <w:rFonts w:ascii="Arial" w:hAnsi="Arial" w:cs="Arial"/>
          <w:sz w:val="22"/>
          <w:szCs w:val="22"/>
          <w:lang w:val="es-PE"/>
        </w:rPr>
        <w:br/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Regulación y Economía Minera</w:t>
      </w:r>
    </w:p>
    <w:p w14:paraId="64A5D65C" w14:textId="41F0BF8A" w:rsidR="00F669CF" w:rsidRPr="00546F39" w:rsidRDefault="00F669CF" w:rsidP="00546F39">
      <w:pPr>
        <w:rPr>
          <w:rFonts w:ascii="Arial" w:hAnsi="Arial" w:cs="Arial"/>
          <w:sz w:val="22"/>
          <w:szCs w:val="22"/>
        </w:rPr>
      </w:pPr>
      <w:r w:rsidRPr="00546F39">
        <w:rPr>
          <w:rFonts w:ascii="Arial" w:hAnsi="Arial" w:cs="Arial"/>
          <w:b/>
          <w:bCs/>
          <w:sz w:val="22"/>
          <w:szCs w:val="22"/>
        </w:rPr>
        <w:t>Palabras Clave</w:t>
      </w:r>
      <w:r w:rsidR="00546F39">
        <w:rPr>
          <w:rFonts w:ascii="Arial" w:hAnsi="Arial" w:cs="Arial"/>
          <w:b/>
          <w:bCs/>
          <w:sz w:val="22"/>
          <w:szCs w:val="22"/>
        </w:rPr>
        <w:t xml:space="preserve">; </w:t>
      </w:r>
      <w:r w:rsidRPr="00546F39">
        <w:rPr>
          <w:rFonts w:ascii="Arial" w:hAnsi="Arial" w:cs="Arial"/>
          <w:sz w:val="22"/>
          <w:szCs w:val="22"/>
        </w:rPr>
        <w:t>Energía Nuclear</w:t>
      </w:r>
      <w:r w:rsidR="00546F39">
        <w:rPr>
          <w:rFonts w:ascii="Arial" w:hAnsi="Arial" w:cs="Arial"/>
          <w:sz w:val="22"/>
          <w:szCs w:val="22"/>
        </w:rPr>
        <w:t xml:space="preserve">, </w:t>
      </w:r>
      <w:r w:rsidRPr="00546F39">
        <w:rPr>
          <w:rFonts w:ascii="Arial" w:hAnsi="Arial" w:cs="Arial"/>
          <w:sz w:val="22"/>
          <w:szCs w:val="22"/>
        </w:rPr>
        <w:t>SMR (</w:t>
      </w:r>
      <w:proofErr w:type="spellStart"/>
      <w:r w:rsidRPr="00546F39">
        <w:rPr>
          <w:rFonts w:ascii="Arial" w:hAnsi="Arial" w:cs="Arial"/>
          <w:sz w:val="22"/>
          <w:szCs w:val="22"/>
        </w:rPr>
        <w:t>Reactores</w:t>
      </w:r>
      <w:proofErr w:type="spellEnd"/>
      <w:r w:rsidRPr="00546F3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46F39">
        <w:rPr>
          <w:rFonts w:ascii="Arial" w:hAnsi="Arial" w:cs="Arial"/>
          <w:sz w:val="22"/>
          <w:szCs w:val="22"/>
        </w:rPr>
        <w:t>Modulares</w:t>
      </w:r>
      <w:proofErr w:type="spellEnd"/>
      <w:r w:rsidRPr="00546F3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46F39">
        <w:rPr>
          <w:rFonts w:ascii="Arial" w:hAnsi="Arial" w:cs="Arial"/>
          <w:sz w:val="22"/>
          <w:szCs w:val="22"/>
        </w:rPr>
        <w:t>Pequeños</w:t>
      </w:r>
      <w:proofErr w:type="spellEnd"/>
      <w:r w:rsidRPr="00546F39">
        <w:rPr>
          <w:rFonts w:ascii="Arial" w:hAnsi="Arial" w:cs="Arial"/>
          <w:sz w:val="22"/>
          <w:szCs w:val="22"/>
        </w:rPr>
        <w:t>)</w:t>
      </w:r>
      <w:r w:rsidR="00546F3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46F39">
        <w:rPr>
          <w:rFonts w:ascii="Arial" w:hAnsi="Arial" w:cs="Arial"/>
          <w:sz w:val="22"/>
          <w:szCs w:val="22"/>
        </w:rPr>
        <w:t>Energías</w:t>
      </w:r>
      <w:proofErr w:type="spellEnd"/>
      <w:r w:rsidRPr="00546F3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46F39">
        <w:rPr>
          <w:rFonts w:ascii="Arial" w:hAnsi="Arial" w:cs="Arial"/>
          <w:sz w:val="22"/>
          <w:szCs w:val="22"/>
        </w:rPr>
        <w:t>Renovables</w:t>
      </w:r>
      <w:proofErr w:type="spellEnd"/>
      <w:r w:rsidR="00546F3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46F39">
        <w:rPr>
          <w:rFonts w:ascii="Arial" w:hAnsi="Arial" w:cs="Arial"/>
          <w:sz w:val="22"/>
          <w:szCs w:val="22"/>
        </w:rPr>
        <w:t>Minería</w:t>
      </w:r>
      <w:proofErr w:type="spellEnd"/>
      <w:r w:rsidRPr="00546F39">
        <w:rPr>
          <w:rFonts w:ascii="Arial" w:hAnsi="Arial" w:cs="Arial"/>
          <w:sz w:val="22"/>
          <w:szCs w:val="22"/>
        </w:rPr>
        <w:t xml:space="preserve"> Remota</w:t>
      </w:r>
      <w:r w:rsidR="00546F39">
        <w:rPr>
          <w:rFonts w:ascii="Arial" w:hAnsi="Arial" w:cs="Arial"/>
          <w:sz w:val="22"/>
          <w:szCs w:val="22"/>
        </w:rPr>
        <w:t xml:space="preserve">, </w:t>
      </w:r>
      <w:r w:rsidRPr="00546F39">
        <w:rPr>
          <w:rFonts w:ascii="Arial" w:hAnsi="Arial" w:cs="Arial"/>
          <w:sz w:val="22"/>
          <w:szCs w:val="22"/>
        </w:rPr>
        <w:t xml:space="preserve">Costos de </w:t>
      </w:r>
      <w:proofErr w:type="spellStart"/>
      <w:r w:rsidRPr="00546F39">
        <w:rPr>
          <w:rFonts w:ascii="Arial" w:hAnsi="Arial" w:cs="Arial"/>
          <w:sz w:val="22"/>
          <w:szCs w:val="22"/>
        </w:rPr>
        <w:t>Producción</w:t>
      </w:r>
      <w:proofErr w:type="spellEnd"/>
      <w:r w:rsidR="00546F3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46F39">
        <w:rPr>
          <w:rFonts w:ascii="Arial" w:hAnsi="Arial" w:cs="Arial"/>
          <w:sz w:val="22"/>
          <w:szCs w:val="22"/>
        </w:rPr>
        <w:t>Reducción</w:t>
      </w:r>
      <w:proofErr w:type="spellEnd"/>
      <w:r w:rsidRPr="00546F39">
        <w:rPr>
          <w:rFonts w:ascii="Arial" w:hAnsi="Arial" w:cs="Arial"/>
          <w:sz w:val="22"/>
          <w:szCs w:val="22"/>
        </w:rPr>
        <w:t xml:space="preserve"> de CO</w:t>
      </w:r>
      <w:r w:rsidRPr="00546F39">
        <w:rPr>
          <w:rFonts w:ascii="Cambria Math" w:hAnsi="Cambria Math" w:cs="Cambria Math"/>
          <w:sz w:val="22"/>
          <w:szCs w:val="22"/>
        </w:rPr>
        <w:t>₂</w:t>
      </w:r>
    </w:p>
    <w:p w14:paraId="573C2F69" w14:textId="6F9AC481" w:rsidR="00992DEC" w:rsidRPr="00546F39" w:rsidRDefault="00992DEC" w:rsidP="00546F39">
      <w:p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</w:rPr>
        <w:t>Datos del Autor:</w:t>
      </w:r>
      <w:r w:rsidR="00546F39" w:rsidRPr="00546F39">
        <w:rPr>
          <w:rFonts w:ascii="Arial" w:hAnsi="Arial" w:cs="Arial"/>
          <w:b/>
          <w:bCs/>
          <w:sz w:val="22"/>
          <w:szCs w:val="22"/>
        </w:rPr>
        <w:t xml:space="preserve"> </w:t>
      </w:r>
      <w:r w:rsidR="00CB7D40" w:rsidRPr="00546F39">
        <w:rPr>
          <w:rFonts w:ascii="Arial" w:hAnsi="Arial" w:cs="Arial"/>
          <w:sz w:val="22"/>
          <w:szCs w:val="22"/>
          <w:lang w:val="es-PE"/>
        </w:rPr>
        <w:t>Brian David Pajares Correa</w:t>
      </w:r>
      <w:r w:rsidR="00546F39">
        <w:rPr>
          <w:rFonts w:ascii="Arial" w:hAnsi="Arial" w:cs="Arial"/>
          <w:sz w:val="22"/>
          <w:szCs w:val="22"/>
          <w:lang w:val="es-PE"/>
        </w:rPr>
        <w:t xml:space="preserve"> / 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Empresa: </w:t>
      </w:r>
      <w:r w:rsidR="00E84393" w:rsidRPr="00546F39">
        <w:rPr>
          <w:rFonts w:ascii="Arial" w:hAnsi="Arial" w:cs="Arial"/>
          <w:sz w:val="22"/>
          <w:szCs w:val="22"/>
          <w:lang w:val="es-PE"/>
        </w:rPr>
        <w:t>Independiente</w:t>
      </w:r>
      <w:r w:rsidR="00546F39">
        <w:rPr>
          <w:rFonts w:ascii="Arial" w:hAnsi="Arial" w:cs="Arial"/>
          <w:sz w:val="22"/>
          <w:szCs w:val="22"/>
          <w:lang w:val="es-PE"/>
        </w:rPr>
        <w:t xml:space="preserve"> / 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Cargo: </w:t>
      </w:r>
      <w:r w:rsidR="00E84393" w:rsidRPr="00546F39">
        <w:rPr>
          <w:rFonts w:ascii="Arial" w:hAnsi="Arial" w:cs="Arial"/>
          <w:sz w:val="22"/>
          <w:szCs w:val="22"/>
          <w:lang w:val="es-PE"/>
        </w:rPr>
        <w:t>Independiente</w:t>
      </w:r>
    </w:p>
    <w:p w14:paraId="51BC3A4E" w14:textId="3DBD01DE" w:rsidR="00CB7D40" w:rsidRPr="00546F39" w:rsidRDefault="00992DEC" w:rsidP="00546F39">
      <w:pPr>
        <w:rPr>
          <w:rFonts w:ascii="Arial" w:hAnsi="Arial" w:cs="Arial"/>
          <w:sz w:val="22"/>
          <w:szCs w:val="22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Dirección: </w:t>
      </w:r>
      <w:r w:rsidR="00CB7D40" w:rsidRPr="00546F39">
        <w:rPr>
          <w:rFonts w:ascii="Arial" w:hAnsi="Arial" w:cs="Arial"/>
          <w:sz w:val="22"/>
          <w:szCs w:val="22"/>
          <w:lang w:val="es-PE"/>
        </w:rPr>
        <w:t>Jr. Juan Pablo II 265 Cajamarca</w:t>
      </w:r>
      <w:r w:rsidR="00546F39">
        <w:rPr>
          <w:rFonts w:ascii="Arial" w:hAnsi="Arial" w:cs="Arial"/>
          <w:sz w:val="22"/>
          <w:szCs w:val="22"/>
          <w:lang w:val="es-PE"/>
        </w:rPr>
        <w:t xml:space="preserve"> / 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Correo: </w:t>
      </w:r>
      <w:hyperlink r:id="rId5" w:history="1">
        <w:r w:rsidR="00546F39" w:rsidRPr="003D1909">
          <w:rPr>
            <w:rStyle w:val="Hipervnculo"/>
            <w:rFonts w:ascii="Arial" w:hAnsi="Arial" w:cs="Arial"/>
            <w:sz w:val="22"/>
            <w:szCs w:val="22"/>
            <w:lang w:val="es-PE"/>
          </w:rPr>
          <w:t>Brian.d.pajares@gmail.com</w:t>
        </w:r>
      </w:hyperlink>
      <w:r w:rsidR="00546F39">
        <w:rPr>
          <w:rFonts w:ascii="Arial" w:hAnsi="Arial" w:cs="Arial"/>
          <w:sz w:val="22"/>
          <w:szCs w:val="22"/>
          <w:lang w:val="es-PE"/>
        </w:rPr>
        <w:t xml:space="preserve"> / </w:t>
      </w:r>
      <w:proofErr w:type="spellStart"/>
      <w:r w:rsidRPr="00546F39">
        <w:rPr>
          <w:rFonts w:ascii="Arial" w:hAnsi="Arial" w:cs="Arial"/>
          <w:sz w:val="22"/>
          <w:szCs w:val="22"/>
        </w:rPr>
        <w:t>Celular</w:t>
      </w:r>
      <w:proofErr w:type="spellEnd"/>
      <w:r w:rsidRPr="00546F39">
        <w:rPr>
          <w:rFonts w:ascii="Arial" w:hAnsi="Arial" w:cs="Arial"/>
          <w:sz w:val="22"/>
          <w:szCs w:val="22"/>
        </w:rPr>
        <w:t xml:space="preserve">: +51 </w:t>
      </w:r>
      <w:r w:rsidR="00CB7D40" w:rsidRPr="00546F39">
        <w:rPr>
          <w:rFonts w:ascii="Arial" w:hAnsi="Arial" w:cs="Arial"/>
          <w:sz w:val="22"/>
          <w:szCs w:val="22"/>
        </w:rPr>
        <w:t>988808110</w:t>
      </w:r>
    </w:p>
    <w:p w14:paraId="38B83F17" w14:textId="77777777" w:rsidR="004A198A" w:rsidRPr="00546F39" w:rsidRDefault="004A198A" w:rsidP="004A198A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Resumen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Técnico</w:t>
      </w:r>
    </w:p>
    <w:p w14:paraId="6D277FF3" w14:textId="77777777" w:rsidR="00A75050" w:rsidRPr="00546F39" w:rsidRDefault="004A198A" w:rsidP="00A75050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Contexto o Escenario</w:t>
      </w:r>
    </w:p>
    <w:p w14:paraId="0F592C80" w14:textId="638F57B2" w:rsidR="004A198A" w:rsidRPr="00546F39" w:rsidRDefault="004A198A" w:rsidP="00A75050">
      <w:pPr>
        <w:jc w:val="both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La transición energética global exige que la gran minería adopte fuentes energéticas limpias, confiables y competitivas. En el Perú, minas de cobre de gran escala como Las Bambas, Antapaccay y Quellaveco suelen ubicarse en zonas remotas, donde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el diésel y la conexión a redes distantes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dominan la matriz de abastecimiento, generando altos costos de transporte y emisiones. La introducción de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energías renovables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(solar, eólica) combinadas con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reactores modulares pequeños (SMR)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de cuarta generación ofrece una alternativa con mayor independencia energética y reducción sustancial de la huella de carbono.</w:t>
      </w:r>
    </w:p>
    <w:p w14:paraId="6B0CE77D" w14:textId="77777777" w:rsidR="004A198A" w:rsidRPr="00546F39" w:rsidRDefault="004A198A" w:rsidP="004A198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Objetivos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del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Trabajo</w:t>
      </w:r>
      <w:proofErr w:type="spellEnd"/>
    </w:p>
    <w:p w14:paraId="6919A111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Cuantificar la factibilidad técnica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de la implementación de SMR en conjunto con renovables para suministrar la demanda energética de grandes operaciones cupríferas peruanas.</w:t>
      </w:r>
    </w:p>
    <w:p w14:paraId="1744F05B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Determinar el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Costo Nivelado de Energía (LCOE)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bajo distintos escenarios (base diésel, red eléctrica convencional,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solar+SMR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,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eólica+SMR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).</w:t>
      </w:r>
    </w:p>
    <w:p w14:paraId="4AC58B1B" w14:textId="3C61D66A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Estimar la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reducción de emisiones de CO</w:t>
      </w:r>
      <w:r w:rsidRPr="00546F39">
        <w:rPr>
          <w:rFonts w:ascii="Cambria Math" w:hAnsi="Cambria Math" w:cs="Cambria Math"/>
          <w:b/>
          <w:bCs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frente al uso de combustibles fósiles en la generación eléctrica requerida por minas remotas.</w:t>
      </w:r>
      <w:r w:rsidR="004D74E1" w:rsidRPr="00546F39">
        <w:rPr>
          <w:rFonts w:ascii="Arial" w:hAnsi="Arial" w:cs="Arial"/>
          <w:sz w:val="22"/>
          <w:szCs w:val="22"/>
          <w:lang w:val="es-PE"/>
        </w:rPr>
        <w:t xml:space="preserve"> Caso de estudio </w:t>
      </w:r>
      <w:r w:rsidR="00E3130A" w:rsidRPr="00546F39">
        <w:rPr>
          <w:rFonts w:ascii="Arial" w:hAnsi="Arial" w:cs="Arial"/>
          <w:sz w:val="22"/>
          <w:szCs w:val="22"/>
          <w:lang w:val="es-PE"/>
        </w:rPr>
        <w:t>Quellaveco</w:t>
      </w:r>
      <w:r w:rsidR="004D74E1" w:rsidRPr="00546F39">
        <w:rPr>
          <w:rFonts w:ascii="Arial" w:hAnsi="Arial" w:cs="Arial"/>
          <w:sz w:val="22"/>
          <w:szCs w:val="22"/>
          <w:lang w:val="es-PE"/>
        </w:rPr>
        <w:t>.</w:t>
      </w:r>
    </w:p>
    <w:p w14:paraId="17765F8E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Proponer lineamientos regulatorios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que faciliten la adopción de SMR y renovables, garantizando seguridad, competitividad y sostenibilidad.</w:t>
      </w:r>
    </w:p>
    <w:p w14:paraId="333C8EC6" w14:textId="77777777" w:rsidR="004A198A" w:rsidRPr="00546F39" w:rsidRDefault="004A198A" w:rsidP="004A198A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Metodología Empleada</w:t>
      </w:r>
      <w:r w:rsidRPr="00546F39">
        <w:rPr>
          <w:rFonts w:ascii="Arial" w:hAnsi="Arial" w:cs="Arial"/>
          <w:sz w:val="22"/>
          <w:szCs w:val="22"/>
          <w:lang w:val="es-PE"/>
        </w:rPr>
        <w:br/>
        <w:t>Para sustentar las estimaciones se realizó lo siguiente:</w:t>
      </w:r>
    </w:p>
    <w:p w14:paraId="353E00A5" w14:textId="77777777" w:rsidR="004A198A" w:rsidRPr="00546F39" w:rsidRDefault="004A198A" w:rsidP="00702E99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Recolección de Datos Operativos de Minas Peruanas</w:t>
      </w:r>
      <w:r w:rsidRPr="00546F39">
        <w:rPr>
          <w:rFonts w:ascii="Arial" w:hAnsi="Arial" w:cs="Arial"/>
          <w:sz w:val="22"/>
          <w:szCs w:val="22"/>
          <w:lang w:val="es-PE"/>
        </w:rPr>
        <w:t>:</w:t>
      </w:r>
      <w:r w:rsidRPr="00546F39">
        <w:rPr>
          <w:rFonts w:ascii="Arial" w:hAnsi="Arial" w:cs="Arial"/>
          <w:sz w:val="22"/>
          <w:szCs w:val="22"/>
          <w:lang w:val="es-PE"/>
        </w:rPr>
        <w:br/>
        <w:t xml:space="preserve">Se recopiló información del consumo eléctrico promedio de grandes minas de cobre. En el caso de Quellaveco, por ejemplo, las proyecciones energéticas rondan los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200 a 300 MW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de potencia continua.</w:t>
      </w:r>
    </w:p>
    <w:p w14:paraId="26AB950E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Selección de Tecnologías SMR y Capacidades de Diseño</w:t>
      </w:r>
      <w:r w:rsidRPr="00546F39">
        <w:rPr>
          <w:rFonts w:ascii="Arial" w:hAnsi="Arial" w:cs="Arial"/>
          <w:sz w:val="22"/>
          <w:szCs w:val="22"/>
          <w:lang w:val="es-PE"/>
        </w:rPr>
        <w:t>:</w:t>
      </w:r>
      <w:r w:rsidRPr="00546F39">
        <w:rPr>
          <w:rFonts w:ascii="Arial" w:hAnsi="Arial" w:cs="Arial"/>
          <w:sz w:val="22"/>
          <w:szCs w:val="22"/>
          <w:lang w:val="es-PE"/>
        </w:rPr>
        <w:br/>
        <w:t xml:space="preserve">Se consideró como referencia el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diseño de un SMR de ~100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  <w:lang w:val="es-PE"/>
        </w:rPr>
        <w:t>MWe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por módulo, con un factor de capacidad del 90%. Un módulo de este tipo puede llegar a producir cerca de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788,400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b/>
          <w:bCs/>
          <w:sz w:val="22"/>
          <w:szCs w:val="22"/>
          <w:lang w:val="es-PE"/>
        </w:rPr>
        <w:t>/año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(100 MW * 24 h/d * 365 días * 0,90). En caso de requerirse mayor capacidad, se contempló la opción de multiplicar el número de módulos (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p.e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. 2 o 3 módulos).</w:t>
      </w:r>
    </w:p>
    <w:p w14:paraId="1F820F22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Simulaciones de Integración Renovable</w:t>
      </w:r>
      <w:r w:rsidRPr="00546F39">
        <w:rPr>
          <w:rFonts w:ascii="Arial" w:hAnsi="Arial" w:cs="Arial"/>
          <w:sz w:val="22"/>
          <w:szCs w:val="22"/>
          <w:lang w:val="es-PE"/>
        </w:rPr>
        <w:t>:</w:t>
      </w:r>
      <w:r w:rsidRPr="00546F39">
        <w:rPr>
          <w:rFonts w:ascii="Arial" w:hAnsi="Arial" w:cs="Arial"/>
          <w:sz w:val="22"/>
          <w:szCs w:val="22"/>
          <w:lang w:val="es-PE"/>
        </w:rPr>
        <w:br/>
        <w:t>Utilizando software de modelado energético (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p.e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. HOMER Pro y un módulo de simulación nuclear simplificado), se generaron escenarios con penetración de energía solar fotovoltaica (25 a 30% de la demanda) y eólica (10 a 20%). El SMR actuaría como base firme,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garantizando disponibilidad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incluso en periodos de baja irradiación o viento.</w:t>
      </w:r>
    </w:p>
    <w:p w14:paraId="5B8B450C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Cálculo de LCOE en Diferentes Escenarios</w:t>
      </w:r>
      <w:r w:rsidRPr="00546F39">
        <w:rPr>
          <w:rFonts w:ascii="Arial" w:hAnsi="Arial" w:cs="Arial"/>
          <w:sz w:val="22"/>
          <w:szCs w:val="22"/>
          <w:lang w:val="es-PE"/>
        </w:rPr>
        <w:t>:</w:t>
      </w:r>
    </w:p>
    <w:p w14:paraId="08E4B1F5" w14:textId="77777777" w:rsidR="004A198A" w:rsidRPr="00546F39" w:rsidRDefault="004A198A" w:rsidP="004A198A">
      <w:pPr>
        <w:numPr>
          <w:ilvl w:val="2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Escenario A (Diésel/Red Convencional):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LCOE entre 80 y 120 USD/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, incluyendo costos de transporte de combustible y gastos de operación.</w:t>
      </w:r>
    </w:p>
    <w:p w14:paraId="488BBA40" w14:textId="77777777" w:rsidR="004A198A" w:rsidRPr="00546F39" w:rsidRDefault="004A198A" w:rsidP="004A198A">
      <w:pPr>
        <w:numPr>
          <w:ilvl w:val="2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Escenario B (SMR Puro):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Estimaciones iniciales de 50 a 70 USD/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, dependiendo del financiamiento y escala de proyecto.</w:t>
      </w:r>
    </w:p>
    <w:p w14:paraId="33751692" w14:textId="77777777" w:rsidR="004A198A" w:rsidRPr="00546F39" w:rsidRDefault="004A198A" w:rsidP="004A198A">
      <w:pPr>
        <w:numPr>
          <w:ilvl w:val="2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Escenario C (SMR + Solar/Eólica):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Se obtuvo un rango de 45 a 65 USD/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, con costos algo mayores en la instalación inicial, pero con ahorros significativos en largo plazo.</w:t>
      </w:r>
    </w:p>
    <w:p w14:paraId="2DEFB967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Estimación de Reducción de Emisiones de CO</w:t>
      </w:r>
      <w:r w:rsidRPr="00546F39">
        <w:rPr>
          <w:rFonts w:ascii="Cambria Math" w:hAnsi="Cambria Math" w:cs="Cambria Math"/>
          <w:b/>
          <w:bCs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>:</w:t>
      </w:r>
      <w:r w:rsidRPr="00546F39">
        <w:rPr>
          <w:rFonts w:ascii="Arial" w:hAnsi="Arial" w:cs="Arial"/>
          <w:sz w:val="22"/>
          <w:szCs w:val="22"/>
          <w:lang w:val="es-PE"/>
        </w:rPr>
        <w:br/>
        <w:t>Considerando un factor de emisión promedio de 0,70 kg CO</w:t>
      </w:r>
      <w:r w:rsidRPr="00546F39">
        <w:rPr>
          <w:rFonts w:ascii="Cambria Math" w:hAnsi="Cambria Math" w:cs="Cambria Math"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/kWh para generación con diésel en altura, un solo SMR de 100 MW generando 788,400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/año podría desplazar hasta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552,000 toneladas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de CO</w:t>
      </w:r>
      <w:r w:rsidRPr="00546F39">
        <w:rPr>
          <w:rFonts w:ascii="Cambria Math" w:hAnsi="Cambria Math" w:cs="Cambria Math"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anuales (0,70 kg/kWh * 788,400,000 kWh). Si se integran energías renovables, la cifra asciende, pues la participación fósil disminuye aún más.</w:t>
      </w:r>
    </w:p>
    <w:p w14:paraId="1A4C8A4B" w14:textId="33CB3D51" w:rsidR="008F11EA" w:rsidRPr="00546F39" w:rsidRDefault="008F11EA" w:rsidP="00C071D9">
      <w:pPr>
        <w:ind w:left="1080" w:firstLine="3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Caso Práctico: </w:t>
      </w:r>
      <w:r w:rsidR="00503D7B" w:rsidRPr="00546F39">
        <w:rPr>
          <w:rFonts w:ascii="Arial" w:hAnsi="Arial" w:cs="Arial"/>
          <w:sz w:val="22"/>
          <w:szCs w:val="22"/>
          <w:lang w:val="es-PE"/>
        </w:rPr>
        <w:t>Las Bambas</w:t>
      </w:r>
    </w:p>
    <w:p w14:paraId="056217AC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Demanda estimada: ~200 MW con un factor de carga de 85% (1,490,400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/año).</w:t>
      </w:r>
    </w:p>
    <w:p w14:paraId="1F32CC58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Escenario Actual (Diésel + Red):</w:t>
      </w:r>
    </w:p>
    <w:p w14:paraId="7AD621E9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Costo anual ≈ 1,490,400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× 100 USD/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= 149 millones USD.</w:t>
      </w:r>
    </w:p>
    <w:p w14:paraId="03DFCE9A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Emisiones ≈ 1,490,400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× 1,000 kWh/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× 0.70 kg/kWh = 1,043,280 t CO</w:t>
      </w:r>
      <w:r w:rsidRPr="00546F39">
        <w:rPr>
          <w:rFonts w:ascii="Cambria Math" w:hAnsi="Cambria Math" w:cs="Cambria Math"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>/año.</w:t>
      </w:r>
    </w:p>
    <w:p w14:paraId="3C058D3D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Escenario SMR + Renovables:</w:t>
      </w:r>
    </w:p>
    <w:p w14:paraId="3C0825D7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Costo anual ≈ 1,490,400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× 60 USD/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= 89.4 millones USD.</w:t>
      </w:r>
    </w:p>
    <w:p w14:paraId="1FA08A4A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lastRenderedPageBreak/>
        <w:t xml:space="preserve">Emisiones ≈ 1,490,400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× 1,000 kWh/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MWh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× 0.05 kg/kWh = 74,520 t CO</w:t>
      </w:r>
      <w:r w:rsidRPr="00546F39">
        <w:rPr>
          <w:rFonts w:ascii="Cambria Math" w:hAnsi="Cambria Math" w:cs="Cambria Math"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>/año (principalmente por respaldo fósil ocasional).</w:t>
      </w:r>
    </w:p>
    <w:p w14:paraId="6CE602E9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Ahorro Económico: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~59.6 millones USD/año</w:t>
      </w:r>
    </w:p>
    <w:p w14:paraId="350A3F04" w14:textId="77777777" w:rsidR="004473A8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Reducción de Emisiones: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~968,760 t CO</w:t>
      </w:r>
      <w:r w:rsidRPr="00546F39">
        <w:rPr>
          <w:rFonts w:ascii="Cambria Math" w:hAnsi="Cambria Math" w:cs="Cambria Math"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>/año menos</w:t>
      </w:r>
    </w:p>
    <w:p w14:paraId="63498E45" w14:textId="5E566FC2" w:rsidR="008F11EA" w:rsidRPr="00546F39" w:rsidRDefault="008F11EA" w:rsidP="004473A8">
      <w:pPr>
        <w:pStyle w:val="Prrafodelista"/>
        <w:numPr>
          <w:ilvl w:val="0"/>
          <w:numId w:val="7"/>
        </w:numPr>
        <w:ind w:left="2070"/>
        <w:rPr>
          <w:rFonts w:ascii="Arial" w:hAnsi="Arial" w:cs="Arial"/>
          <w:sz w:val="22"/>
          <w:szCs w:val="22"/>
          <w:lang w:val="es-PE"/>
        </w:rPr>
      </w:pP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Viabilidad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Regulativa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y Social</w:t>
      </w:r>
      <w:r w:rsidRPr="00546F39">
        <w:rPr>
          <w:rFonts w:ascii="Arial" w:hAnsi="Arial" w:cs="Arial"/>
          <w:sz w:val="22"/>
          <w:szCs w:val="22"/>
        </w:rPr>
        <w:t>:</w:t>
      </w:r>
    </w:p>
    <w:p w14:paraId="17E3E64E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Es preciso crear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marcos de licenciamiento nuclear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específicos para SMR.</w:t>
      </w:r>
    </w:p>
    <w:p w14:paraId="1D06EDC5" w14:textId="77777777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Acompañamiento a comunidades y autoridades para garantizar la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aceptación social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del componente nuclear.</w:t>
      </w:r>
    </w:p>
    <w:p w14:paraId="7835503F" w14:textId="771DB690" w:rsidR="008F11EA" w:rsidRPr="00546F39" w:rsidRDefault="008F11EA" w:rsidP="004473A8">
      <w:pPr>
        <w:ind w:left="2160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>Potenciar líneas de financiamiento verde que incentiven la adopción de tecnologías limpias en minería.</w:t>
      </w:r>
    </w:p>
    <w:p w14:paraId="60A88081" w14:textId="77777777" w:rsidR="004A198A" w:rsidRPr="00546F39" w:rsidRDefault="004A198A" w:rsidP="004A198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Resultados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Hallazgos</w:t>
      </w:r>
      <w:proofErr w:type="spellEnd"/>
    </w:p>
    <w:p w14:paraId="3B56B7C5" w14:textId="04A740D8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Ahorro Económico</w:t>
      </w:r>
      <w:r w:rsidRPr="00546F39">
        <w:rPr>
          <w:rFonts w:ascii="Arial" w:hAnsi="Arial" w:cs="Arial"/>
          <w:sz w:val="22"/>
          <w:szCs w:val="22"/>
          <w:lang w:val="es-PE"/>
        </w:rPr>
        <w:t>: El LCOE resultante de la combinación SMR + renovables se ubicó hasta un 30% por debajo del diésel convencional, ofreciendo estabilidad a largo plazo frente a la volatilidad de combustibles.</w:t>
      </w:r>
      <w:r w:rsidR="00503D7B" w:rsidRPr="00546F39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937739" w:rsidRPr="00546F39">
        <w:rPr>
          <w:rFonts w:ascii="Arial" w:hAnsi="Arial" w:cs="Arial"/>
          <w:sz w:val="22"/>
          <w:szCs w:val="22"/>
          <w:lang w:val="es-PE"/>
        </w:rPr>
        <w:t>Las bambas</w:t>
      </w:r>
      <w:r w:rsidR="00503D7B" w:rsidRPr="00546F39">
        <w:rPr>
          <w:rFonts w:ascii="Arial" w:hAnsi="Arial" w:cs="Arial"/>
          <w:sz w:val="22"/>
          <w:szCs w:val="22"/>
          <w:lang w:val="es-PE"/>
        </w:rPr>
        <w:t xml:space="preserve"> </w:t>
      </w:r>
      <w:r w:rsidR="00937739" w:rsidRPr="00546F39">
        <w:rPr>
          <w:rFonts w:ascii="Arial" w:hAnsi="Arial" w:cs="Arial"/>
          <w:sz w:val="22"/>
          <w:szCs w:val="22"/>
          <w:lang w:val="es-PE"/>
        </w:rPr>
        <w:t>podría</w:t>
      </w:r>
      <w:proofErr w:type="gramEnd"/>
      <w:r w:rsidR="00503D7B" w:rsidRPr="00546F39">
        <w:rPr>
          <w:rFonts w:ascii="Arial" w:hAnsi="Arial" w:cs="Arial"/>
          <w:sz w:val="22"/>
          <w:szCs w:val="22"/>
          <w:lang w:val="es-PE"/>
        </w:rPr>
        <w:t xml:space="preserve"> ahorrar 59 Millones de USD al año.</w:t>
      </w:r>
    </w:p>
    <w:p w14:paraId="08D4D16B" w14:textId="529A8C3F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Reducción Masiva de Emisiones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: Se proyectó una disminución de hasta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70%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en emisiones de CO</w:t>
      </w:r>
      <w:r w:rsidRPr="00546F39">
        <w:rPr>
          <w:rFonts w:ascii="Cambria Math" w:hAnsi="Cambria Math" w:cs="Cambria Math"/>
          <w:sz w:val="22"/>
          <w:szCs w:val="22"/>
          <w:lang w:val="es-PE"/>
        </w:rPr>
        <w:t>₂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respecto a las configuraciones fósiles, contribuyendo a la meta de descarbonización y mejorando la imagen “verde” del cobre peruano.</w:t>
      </w:r>
      <w:r w:rsidR="00503D7B" w:rsidRPr="00546F39">
        <w:rPr>
          <w:rFonts w:ascii="Arial" w:hAnsi="Arial" w:cs="Arial"/>
          <w:sz w:val="22"/>
          <w:szCs w:val="22"/>
          <w:lang w:val="es-PE"/>
        </w:rPr>
        <w:t xml:space="preserve"> </w:t>
      </w:r>
      <w:r w:rsidR="00937739" w:rsidRPr="00546F39">
        <w:rPr>
          <w:rFonts w:ascii="Arial" w:hAnsi="Arial" w:cs="Arial"/>
          <w:sz w:val="22"/>
          <w:szCs w:val="22"/>
          <w:lang w:val="es-PE"/>
        </w:rPr>
        <w:t xml:space="preserve">Las Bambas </w:t>
      </w:r>
      <w:r w:rsidR="00503D7B" w:rsidRPr="00546F39">
        <w:rPr>
          <w:rFonts w:ascii="Arial" w:hAnsi="Arial" w:cs="Arial"/>
          <w:sz w:val="22"/>
          <w:szCs w:val="22"/>
          <w:lang w:val="es-PE"/>
        </w:rPr>
        <w:t xml:space="preserve">dejaría de emitir </w:t>
      </w:r>
      <w:r w:rsidR="00937739" w:rsidRPr="00546F39">
        <w:rPr>
          <w:rFonts w:ascii="Arial" w:hAnsi="Arial" w:cs="Arial"/>
          <w:sz w:val="22"/>
          <w:szCs w:val="22"/>
          <w:lang w:val="es-PE"/>
        </w:rPr>
        <w:t>968 mil t de CO2.</w:t>
      </w:r>
    </w:p>
    <w:p w14:paraId="6772A8F8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Base Energética Robusta</w:t>
      </w:r>
      <w:r w:rsidRPr="00546F39">
        <w:rPr>
          <w:rFonts w:ascii="Arial" w:hAnsi="Arial" w:cs="Arial"/>
          <w:sz w:val="22"/>
          <w:szCs w:val="22"/>
          <w:lang w:val="es-PE"/>
        </w:rPr>
        <w:t>: El rol de los SMR como fuente firme complementa la intermitencia solar y eólica, evitando cortes de suministro en zonas alejadas y garantizando la continuidad de operaciones mineras.</w:t>
      </w:r>
    </w:p>
    <w:p w14:paraId="34C92DA7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Necesidad de Ajuste Regulatorio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: La adopción de SMR requiere marcos específicos de licenciamiento, supervisión de la autoridad nuclear peruana y programas de financiamiento verde. Las simulaciones señalan un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alto potencial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de implementación si se establece un marco institucional y legal adaptado a esta tecnología.</w:t>
      </w:r>
    </w:p>
    <w:p w14:paraId="24E9274D" w14:textId="77777777" w:rsidR="004A198A" w:rsidRPr="00546F39" w:rsidRDefault="004A198A" w:rsidP="004A198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Conclusiones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Recomendaciones</w:t>
      </w:r>
      <w:proofErr w:type="spellEnd"/>
    </w:p>
    <w:p w14:paraId="1F958154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Viabilidad Técnica y Económica</w:t>
      </w:r>
      <w:r w:rsidRPr="00546F39">
        <w:rPr>
          <w:rFonts w:ascii="Arial" w:hAnsi="Arial" w:cs="Arial"/>
          <w:sz w:val="22"/>
          <w:szCs w:val="22"/>
          <w:lang w:val="es-PE"/>
        </w:rPr>
        <w:t>: La combinación de SMR y energías renovables constituye una alternativa competitiva y confiable para minas remotas, con claras ventajas en costos y reducción de emisiones.</w:t>
      </w:r>
    </w:p>
    <w:p w14:paraId="458F2A83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Impulso Regulatorio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: Se recomienda la creación de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marcos normativos claros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y programas piloto en conjunto con el sector privado, garantizando la seguridad nuclear y la coordinación con renovables.</w:t>
      </w:r>
    </w:p>
    <w:p w14:paraId="205EC9DF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Escalabilidad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: Los resultados sugieren una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implementación escalonada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por módulos de 100 MW, ajustada a la demanda de cada mina y evitando sobredimensionamiento.</w:t>
      </w:r>
    </w:p>
    <w:p w14:paraId="6F73212A" w14:textId="77777777" w:rsidR="004A198A" w:rsidRPr="00546F39" w:rsidRDefault="004A198A" w:rsidP="004A198A">
      <w:pPr>
        <w:numPr>
          <w:ilvl w:val="1"/>
          <w:numId w:val="2"/>
        </w:numPr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Beneficios Sostenibles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: La adopción temprana de SMR y renovables podría convertir al cobre peruano en un producto de </w:t>
      </w:r>
      <w:r w:rsidRPr="00546F39">
        <w:rPr>
          <w:rFonts w:ascii="Arial" w:hAnsi="Arial" w:cs="Arial"/>
          <w:b/>
          <w:bCs/>
          <w:sz w:val="22"/>
          <w:szCs w:val="22"/>
          <w:lang w:val="es-PE"/>
        </w:rPr>
        <w:t>baja huella de carbono</w:t>
      </w:r>
      <w:r w:rsidRPr="00546F39">
        <w:rPr>
          <w:rFonts w:ascii="Arial" w:hAnsi="Arial" w:cs="Arial"/>
          <w:sz w:val="22"/>
          <w:szCs w:val="22"/>
          <w:lang w:val="es-PE"/>
        </w:rPr>
        <w:t>, generando ventajas en mercados internacionales que valoran la sostenibilidad.</w:t>
      </w:r>
    </w:p>
    <w:p w14:paraId="2ECC2818" w14:textId="77777777" w:rsidR="004A198A" w:rsidRPr="00546F39" w:rsidRDefault="00000000" w:rsidP="004A198A">
      <w:pPr>
        <w:rPr>
          <w:rFonts w:ascii="Arial" w:hAnsi="Arial" w:cs="Arial"/>
          <w:sz w:val="22"/>
          <w:szCs w:val="22"/>
        </w:rPr>
      </w:pPr>
      <w:r w:rsidRPr="00546F39">
        <w:rPr>
          <w:rFonts w:ascii="Arial" w:hAnsi="Arial" w:cs="Arial"/>
          <w:sz w:val="22"/>
          <w:szCs w:val="22"/>
        </w:rPr>
        <w:pict w14:anchorId="7C7BE976">
          <v:rect id="_x0000_i1025" style="width:0;height:1.5pt" o:hralign="center" o:hrstd="t" o:hr="t" fillcolor="#a0a0a0" stroked="f"/>
        </w:pict>
      </w:r>
    </w:p>
    <w:p w14:paraId="692AE07B" w14:textId="77777777" w:rsidR="004A198A" w:rsidRPr="00546F39" w:rsidRDefault="004A198A" w:rsidP="004A198A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Reseña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Profesional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los</w:t>
      </w:r>
      <w:proofErr w:type="spellEnd"/>
      <w:r w:rsidRPr="00546F3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46F39">
        <w:rPr>
          <w:rFonts w:ascii="Arial" w:hAnsi="Arial" w:cs="Arial"/>
          <w:b/>
          <w:bCs/>
          <w:sz w:val="22"/>
          <w:szCs w:val="22"/>
        </w:rPr>
        <w:t>Participantes</w:t>
      </w:r>
      <w:proofErr w:type="spellEnd"/>
    </w:p>
    <w:p w14:paraId="1ECAEF5D" w14:textId="77777777" w:rsidR="00FF61DD" w:rsidRPr="00546F39" w:rsidRDefault="00CF772F" w:rsidP="00FF61DD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b/>
          <w:bCs/>
          <w:sz w:val="22"/>
          <w:szCs w:val="22"/>
          <w:lang w:val="es-PE"/>
        </w:rPr>
        <w:t>Brian David Pajares Correa</w:t>
      </w:r>
      <w:r w:rsidR="004A198A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(Autor)</w:t>
      </w:r>
    </w:p>
    <w:p w14:paraId="10C5DB7A" w14:textId="68EB1D2B" w:rsidR="009567F8" w:rsidRPr="00546F39" w:rsidRDefault="004A198A" w:rsidP="00FF61DD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br/>
      </w:r>
      <w:r w:rsidR="00E42E51" w:rsidRPr="00546F39">
        <w:rPr>
          <w:rFonts w:ascii="Arial" w:hAnsi="Arial" w:cs="Arial"/>
          <w:sz w:val="22"/>
          <w:szCs w:val="22"/>
          <w:lang w:val="es-PE"/>
        </w:rPr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Máster en Gestión de Proyectos por la </w:t>
      </w:r>
      <w:proofErr w:type="spell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University</w:t>
      </w:r>
      <w:proofErr w:type="spellEnd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proofErr w:type="spell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of</w:t>
      </w:r>
      <w:proofErr w:type="spellEnd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Maryland (EE.UU.)</w:t>
      </w:r>
      <w:r w:rsidR="00E42E51" w:rsidRPr="00546F39">
        <w:rPr>
          <w:rFonts w:ascii="Arial" w:hAnsi="Arial" w:cs="Arial"/>
          <w:sz w:val="22"/>
          <w:szCs w:val="22"/>
          <w:lang w:val="es-PE"/>
        </w:rPr>
        <w:t xml:space="preserve">, especializado en cambio organizacional, y un </w:t>
      </w:r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MBA por </w:t>
      </w:r>
      <w:proofErr w:type="spell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Centrum</w:t>
      </w:r>
      <w:proofErr w:type="spellEnd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proofErr w:type="gram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Católica</w:t>
      </w:r>
      <w:proofErr w:type="gramEnd"/>
      <w:r w:rsidR="00E42E51" w:rsidRPr="00546F39">
        <w:rPr>
          <w:rFonts w:ascii="Arial" w:hAnsi="Arial" w:cs="Arial"/>
          <w:sz w:val="22"/>
          <w:szCs w:val="22"/>
          <w:lang w:val="es-PE"/>
        </w:rPr>
        <w:t xml:space="preserve">, con estudios en la </w:t>
      </w:r>
      <w:proofErr w:type="spell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University</w:t>
      </w:r>
      <w:proofErr w:type="spellEnd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proofErr w:type="spell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of</w:t>
      </w:r>
      <w:proofErr w:type="spellEnd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Victoria (Canadá)</w:t>
      </w:r>
      <w:r w:rsidR="00E42E51" w:rsidRPr="00546F39">
        <w:rPr>
          <w:rFonts w:ascii="Arial" w:hAnsi="Arial" w:cs="Arial"/>
          <w:sz w:val="22"/>
          <w:szCs w:val="22"/>
          <w:lang w:val="es-PE"/>
        </w:rPr>
        <w:t xml:space="preserve"> y </w:t>
      </w:r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Maastricht </w:t>
      </w:r>
      <w:proofErr w:type="spellStart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>University</w:t>
      </w:r>
      <w:proofErr w:type="spellEnd"/>
      <w:r w:rsidR="00E42E51" w:rsidRPr="00546F39">
        <w:rPr>
          <w:rFonts w:ascii="Arial" w:hAnsi="Arial" w:cs="Arial"/>
          <w:b/>
          <w:bCs/>
          <w:sz w:val="22"/>
          <w:szCs w:val="22"/>
          <w:lang w:val="es-PE"/>
        </w:rPr>
        <w:t xml:space="preserve"> (Holanda)</w:t>
      </w:r>
      <w:r w:rsidR="00E42E51" w:rsidRPr="00546F39">
        <w:rPr>
          <w:rFonts w:ascii="Arial" w:hAnsi="Arial" w:cs="Arial"/>
          <w:sz w:val="22"/>
          <w:szCs w:val="22"/>
          <w:lang w:val="es-PE"/>
        </w:rPr>
        <w:t>.</w:t>
      </w:r>
    </w:p>
    <w:p w14:paraId="61766B5D" w14:textId="73178AA2" w:rsidR="00F11655" w:rsidRPr="00546F39" w:rsidRDefault="00F11655" w:rsidP="006672C1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Su experiencia profesional incluye roles estratégicos como Ingeniero Senior de Proyectos de Tecnología en Antamina, </w:t>
      </w:r>
      <w:proofErr w:type="gramStart"/>
      <w:r w:rsidRPr="00546F39">
        <w:rPr>
          <w:rFonts w:ascii="Arial" w:hAnsi="Arial" w:cs="Arial"/>
          <w:sz w:val="22"/>
          <w:szCs w:val="22"/>
          <w:lang w:val="es-PE"/>
        </w:rPr>
        <w:t>Jefe</w:t>
      </w:r>
      <w:proofErr w:type="gramEnd"/>
      <w:r w:rsidRPr="00546F39">
        <w:rPr>
          <w:rFonts w:ascii="Arial" w:hAnsi="Arial" w:cs="Arial"/>
          <w:sz w:val="22"/>
          <w:szCs w:val="22"/>
          <w:lang w:val="es-PE"/>
        </w:rPr>
        <w:t xml:space="preserve"> de </w:t>
      </w:r>
      <w:r w:rsidR="00E25948" w:rsidRPr="00546F39">
        <w:rPr>
          <w:rFonts w:ascii="Arial" w:hAnsi="Arial" w:cs="Arial"/>
          <w:sz w:val="22"/>
          <w:szCs w:val="22"/>
          <w:lang w:val="es-PE"/>
        </w:rPr>
        <w:t>Innovación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en Minas Buenaventura, y </w:t>
      </w:r>
      <w:proofErr w:type="gramStart"/>
      <w:r w:rsidR="00E25948" w:rsidRPr="00546F39">
        <w:rPr>
          <w:rFonts w:ascii="Arial" w:hAnsi="Arial" w:cs="Arial"/>
          <w:sz w:val="22"/>
          <w:szCs w:val="22"/>
          <w:lang w:val="es-PE"/>
        </w:rPr>
        <w:t>Jefe</w:t>
      </w:r>
      <w:proofErr w:type="gramEnd"/>
      <w:r w:rsidR="00E25948" w:rsidRPr="00546F39">
        <w:rPr>
          <w:rFonts w:ascii="Arial" w:hAnsi="Arial" w:cs="Arial"/>
          <w:sz w:val="22"/>
          <w:szCs w:val="22"/>
          <w:lang w:val="es-PE"/>
        </w:rPr>
        <w:t xml:space="preserve"> de Innovación en </w:t>
      </w:r>
      <w:proofErr w:type="spellStart"/>
      <w:r w:rsidR="00E25948" w:rsidRPr="00546F39">
        <w:rPr>
          <w:rFonts w:ascii="Arial" w:hAnsi="Arial" w:cs="Arial"/>
          <w:sz w:val="22"/>
          <w:szCs w:val="22"/>
          <w:lang w:val="es-PE"/>
        </w:rPr>
        <w:t>Sitech</w:t>
      </w:r>
      <w:proofErr w:type="spellEnd"/>
      <w:r w:rsidR="00E25948" w:rsidRPr="00546F39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E25948" w:rsidRPr="00546F39">
        <w:rPr>
          <w:rFonts w:ascii="Arial" w:hAnsi="Arial" w:cs="Arial"/>
          <w:sz w:val="22"/>
          <w:szCs w:val="22"/>
          <w:lang w:val="es-PE"/>
        </w:rPr>
        <w:t>Ferreycorp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, donde ha dirigido la implementación de soluciones de alto impacto </w:t>
      </w:r>
      <w:r w:rsidR="00E25948" w:rsidRPr="00546F39">
        <w:rPr>
          <w:rFonts w:ascii="Arial" w:hAnsi="Arial" w:cs="Arial"/>
          <w:sz w:val="22"/>
          <w:szCs w:val="22"/>
          <w:lang w:val="es-PE"/>
        </w:rPr>
        <w:t>para el sector minero e industrias en general</w:t>
      </w:r>
      <w:r w:rsidRPr="00546F39">
        <w:rPr>
          <w:rFonts w:ascii="Arial" w:hAnsi="Arial" w:cs="Arial"/>
          <w:sz w:val="22"/>
          <w:szCs w:val="22"/>
          <w:lang w:val="es-PE"/>
        </w:rPr>
        <w:t>. Ha colaborado con consultoras de clase mundial como McKinsey</w:t>
      </w:r>
      <w:r w:rsidR="006672C1" w:rsidRPr="00546F39">
        <w:rPr>
          <w:rFonts w:ascii="Arial" w:hAnsi="Arial" w:cs="Arial"/>
          <w:sz w:val="22"/>
          <w:szCs w:val="22"/>
          <w:lang w:val="es-PE"/>
        </w:rPr>
        <w:t>, BCG</w:t>
      </w:r>
      <w:r w:rsidRPr="00546F39">
        <w:rPr>
          <w:rFonts w:ascii="Arial" w:hAnsi="Arial" w:cs="Arial"/>
          <w:sz w:val="22"/>
          <w:szCs w:val="22"/>
          <w:lang w:val="es-PE"/>
        </w:rPr>
        <w:t xml:space="preserve"> y Quintil Valley, así como con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start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-ups tecnológicas de alto crecimiento como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Space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AG.</w:t>
      </w:r>
    </w:p>
    <w:p w14:paraId="1701C46D" w14:textId="6935C17A" w:rsidR="00F11655" w:rsidRPr="00546F39" w:rsidRDefault="00F11655" w:rsidP="006672C1">
      <w:pPr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546F39">
        <w:rPr>
          <w:rFonts w:ascii="Arial" w:hAnsi="Arial" w:cs="Arial"/>
          <w:sz w:val="22"/>
          <w:szCs w:val="22"/>
          <w:lang w:val="es-PE"/>
        </w:rPr>
        <w:t xml:space="preserve">Brian es además especialista en tecnologías disruptivas aplicadas a minería, con certificaciones en Scrum Master, PMP,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Six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Sigma Black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Belt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y Machine </w:t>
      </w:r>
      <w:proofErr w:type="spellStart"/>
      <w:r w:rsidRPr="00546F39">
        <w:rPr>
          <w:rFonts w:ascii="Arial" w:hAnsi="Arial" w:cs="Arial"/>
          <w:sz w:val="22"/>
          <w:szCs w:val="22"/>
          <w:lang w:val="es-PE"/>
        </w:rPr>
        <w:t>Learning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 w:rsidR="006672C1" w:rsidRPr="00546F39">
        <w:rPr>
          <w:rFonts w:ascii="Arial" w:hAnsi="Arial" w:cs="Arial"/>
          <w:sz w:val="22"/>
          <w:szCs w:val="22"/>
          <w:lang w:val="es-PE"/>
        </w:rPr>
        <w:t>tecnològica</w:t>
      </w:r>
      <w:proofErr w:type="spellEnd"/>
      <w:r w:rsidRPr="00546F39">
        <w:rPr>
          <w:rFonts w:ascii="Arial" w:hAnsi="Arial" w:cs="Arial"/>
          <w:sz w:val="22"/>
          <w:szCs w:val="22"/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49C0DF36" w14:textId="77777777" w:rsidR="00F11655" w:rsidRPr="00546F39" w:rsidRDefault="00F11655" w:rsidP="006672C1">
      <w:pPr>
        <w:ind w:left="720"/>
        <w:rPr>
          <w:rFonts w:ascii="Arial" w:hAnsi="Arial" w:cs="Arial"/>
          <w:sz w:val="22"/>
          <w:szCs w:val="22"/>
          <w:lang w:val="es-PE"/>
        </w:rPr>
      </w:pPr>
    </w:p>
    <w:sectPr w:rsidR="00F11655" w:rsidRPr="00546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239"/>
    <w:multiLevelType w:val="multilevel"/>
    <w:tmpl w:val="C294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4294"/>
    <w:multiLevelType w:val="multilevel"/>
    <w:tmpl w:val="C89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641D"/>
    <w:multiLevelType w:val="hybridMultilevel"/>
    <w:tmpl w:val="FBAA34A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FF600A5"/>
    <w:multiLevelType w:val="multilevel"/>
    <w:tmpl w:val="DFA8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D2900"/>
    <w:multiLevelType w:val="multilevel"/>
    <w:tmpl w:val="4FD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D1EB5"/>
    <w:multiLevelType w:val="multilevel"/>
    <w:tmpl w:val="7D5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68486">
    <w:abstractNumId w:val="6"/>
  </w:num>
  <w:num w:numId="2" w16cid:durableId="501547925">
    <w:abstractNumId w:val="3"/>
  </w:num>
  <w:num w:numId="3" w16cid:durableId="173224037">
    <w:abstractNumId w:val="1"/>
  </w:num>
  <w:num w:numId="4" w16cid:durableId="1421759263">
    <w:abstractNumId w:val="0"/>
  </w:num>
  <w:num w:numId="5" w16cid:durableId="1768958720">
    <w:abstractNumId w:val="5"/>
  </w:num>
  <w:num w:numId="6" w16cid:durableId="884952851">
    <w:abstractNumId w:val="4"/>
  </w:num>
  <w:num w:numId="7" w16cid:durableId="1060324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F8"/>
    <w:rsid w:val="001E6557"/>
    <w:rsid w:val="004473A8"/>
    <w:rsid w:val="004A198A"/>
    <w:rsid w:val="004D74E1"/>
    <w:rsid w:val="00503D7B"/>
    <w:rsid w:val="00546F39"/>
    <w:rsid w:val="005C143B"/>
    <w:rsid w:val="006672C1"/>
    <w:rsid w:val="00702E99"/>
    <w:rsid w:val="008D1FD6"/>
    <w:rsid w:val="008F11EA"/>
    <w:rsid w:val="00937739"/>
    <w:rsid w:val="009567F8"/>
    <w:rsid w:val="00992DEC"/>
    <w:rsid w:val="00A75050"/>
    <w:rsid w:val="00C071D9"/>
    <w:rsid w:val="00C32D53"/>
    <w:rsid w:val="00CB7D40"/>
    <w:rsid w:val="00CF772F"/>
    <w:rsid w:val="00D11377"/>
    <w:rsid w:val="00DE151B"/>
    <w:rsid w:val="00E25948"/>
    <w:rsid w:val="00E3130A"/>
    <w:rsid w:val="00E42E51"/>
    <w:rsid w:val="00E83794"/>
    <w:rsid w:val="00E84393"/>
    <w:rsid w:val="00F11655"/>
    <w:rsid w:val="00F669CF"/>
    <w:rsid w:val="00FF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672B22"/>
  <w15:chartTrackingRefBased/>
  <w15:docId w15:val="{4BF588FE-3AA4-4B70-821B-574F6828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7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7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7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7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7F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75050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F1165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46F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ian.d.pajar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1266</Words>
  <Characters>6964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Carla Bustamante</cp:lastModifiedBy>
  <cp:revision>2</cp:revision>
  <dcterms:created xsi:type="dcterms:W3CDTF">2025-05-16T21:33:00Z</dcterms:created>
  <dcterms:modified xsi:type="dcterms:W3CDTF">2025-05-16T21:33:00Z</dcterms:modified>
</cp:coreProperties>
</file>