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167B" w14:textId="5487EE6F" w:rsidR="00813AA6" w:rsidRDefault="00813AA6" w:rsidP="00621DCA">
      <w:pPr>
        <w:jc w:val="center"/>
        <w:rPr>
          <w:rFonts w:ascii="Arial" w:hAnsi="Arial" w:cs="Arial"/>
          <w:b/>
          <w:bCs/>
        </w:rPr>
      </w:pPr>
      <w:r w:rsidRPr="00813AA6">
        <w:rPr>
          <w:rFonts w:ascii="Arial" w:hAnsi="Arial" w:cs="Arial"/>
          <w:b/>
          <w:bCs/>
        </w:rPr>
        <w:t>Minerales críticos: herramientas y enfoques para su prospección metalogenética en la era de la inteligencia artificial</w:t>
      </w:r>
    </w:p>
    <w:p w14:paraId="5EB9F538" w14:textId="33C406DE" w:rsidR="00360285" w:rsidRPr="00360285" w:rsidRDefault="00360285" w:rsidP="00360285">
      <w:pPr>
        <w:jc w:val="center"/>
        <w:rPr>
          <w:rFonts w:ascii="Arial" w:hAnsi="Arial" w:cs="Arial"/>
        </w:rPr>
      </w:pPr>
      <w:r w:rsidRPr="00360285">
        <w:rPr>
          <w:rFonts w:ascii="Arial" w:hAnsi="Arial" w:cs="Arial"/>
        </w:rPr>
        <w:t>Autor</w:t>
      </w:r>
      <w:r w:rsidR="00437ECD">
        <w:rPr>
          <w:rFonts w:ascii="Arial" w:hAnsi="Arial" w:cs="Arial"/>
        </w:rPr>
        <w:t>es</w:t>
      </w:r>
      <w:r w:rsidRPr="00360285">
        <w:rPr>
          <w:rFonts w:ascii="Arial" w:hAnsi="Arial" w:cs="Arial"/>
        </w:rPr>
        <w:t>: Alonso Marchena</w:t>
      </w:r>
      <w:r w:rsidR="003025F2">
        <w:rPr>
          <w:rFonts w:ascii="Arial" w:hAnsi="Arial" w:cs="Arial"/>
        </w:rPr>
        <w:t xml:space="preserve">, </w:t>
      </w:r>
      <w:r w:rsidR="00D44D65">
        <w:rPr>
          <w:rFonts w:ascii="Arial" w:hAnsi="Arial" w:cs="Arial"/>
        </w:rPr>
        <w:t>Magno Silva, Jorge</w:t>
      </w:r>
      <w:r w:rsidR="003025F2">
        <w:rPr>
          <w:rFonts w:ascii="Arial" w:hAnsi="Arial" w:cs="Arial"/>
        </w:rPr>
        <w:t xml:space="preserve"> Chira </w:t>
      </w:r>
    </w:p>
    <w:p w14:paraId="2E254427" w14:textId="62247072" w:rsidR="00621DCA" w:rsidRDefault="00FB3569" w:rsidP="00621DCA">
      <w:pPr>
        <w:jc w:val="both"/>
        <w:rPr>
          <w:rFonts w:ascii="Arial" w:hAnsi="Arial" w:cs="Arial"/>
        </w:rPr>
      </w:pPr>
      <w:r w:rsidRPr="00FB3569">
        <w:rPr>
          <w:rFonts w:ascii="Arial" w:hAnsi="Arial" w:cs="Arial"/>
          <w:b/>
          <w:bCs/>
        </w:rPr>
        <w:t>Introducción.</w:t>
      </w:r>
      <w:r>
        <w:rPr>
          <w:rFonts w:ascii="Arial" w:hAnsi="Arial" w:cs="Arial"/>
        </w:rPr>
        <w:t xml:space="preserve"> </w:t>
      </w:r>
      <w:r w:rsidR="00621DCA" w:rsidRPr="00621DCA">
        <w:rPr>
          <w:rFonts w:ascii="Arial" w:hAnsi="Arial" w:cs="Arial"/>
        </w:rPr>
        <w:t>Los minerales críticos para la transición energética —litio, cobalto, níquel, cromo, manganeso, tierras raras y grafito— enfrentan un alto riesgo de suministro ante la creciente demanda por tecnologías verdes. En el Perú, salvo el cobre, su producción es limitada y muchos aparecen como subproductos (Co, Ni, Ge, In, Mo, Re</w:t>
      </w:r>
      <w:r w:rsidR="0066165F">
        <w:rPr>
          <w:rFonts w:ascii="Arial" w:hAnsi="Arial" w:cs="Arial"/>
        </w:rPr>
        <w:t>, entre otros</w:t>
      </w:r>
      <w:r w:rsidR="00621DCA" w:rsidRPr="00621DCA">
        <w:rPr>
          <w:rFonts w:ascii="Arial" w:hAnsi="Arial" w:cs="Arial"/>
        </w:rPr>
        <w:t xml:space="preserve">) o se vinculan a procesos metalogenéticos distintos a los de los commodities tradicionales. Para identificar su potencial, se requieren </w:t>
      </w:r>
      <w:r w:rsidR="0066165F">
        <w:rPr>
          <w:rFonts w:ascii="Arial" w:hAnsi="Arial" w:cs="Arial"/>
        </w:rPr>
        <w:t xml:space="preserve">nuevas herramientas, tales como </w:t>
      </w:r>
      <w:r w:rsidR="00621DCA" w:rsidRPr="00621DCA">
        <w:rPr>
          <w:rFonts w:ascii="Arial" w:hAnsi="Arial" w:cs="Arial"/>
        </w:rPr>
        <w:t>estudios detallados de química mineral y geoquímica espacial en minas y proyectos, que permitan entender su distribución a escala de depósito y su relación con los fluidos hidrotermales. Estos análisis facilitarán evaluar la viabilidad técnica y económica de su futura recuperación metalúrgica como subproductos.</w:t>
      </w:r>
      <w:r w:rsidR="00621DCA">
        <w:rPr>
          <w:rFonts w:ascii="Arial" w:hAnsi="Arial" w:cs="Arial"/>
        </w:rPr>
        <w:t xml:space="preserve"> </w:t>
      </w:r>
      <w:r w:rsidR="00621DCA" w:rsidRPr="00621DCA">
        <w:rPr>
          <w:rFonts w:ascii="Arial" w:hAnsi="Arial" w:cs="Arial"/>
        </w:rPr>
        <w:t>Respecto a la prospectividad de nuevas áreas, el Perú cuenta con un notable potencial geológico para minerales críticos en dos ámbitos principales: la cordillera occidental, ya explorada, y la cordillera oriental, aún subexplorada, pero con múltiples ocurrencias e indicios. Esta última plantea desafíos por su complejidad geológica</w:t>
      </w:r>
      <w:r w:rsidR="00621DCA">
        <w:rPr>
          <w:rFonts w:ascii="Arial" w:hAnsi="Arial" w:cs="Arial"/>
        </w:rPr>
        <w:t xml:space="preserve">, procesos metalogenéticos particulares y escasez de depósitos de minerales críticos conocidos </w:t>
      </w:r>
      <w:r w:rsidR="00621DCA" w:rsidRPr="00621DCA">
        <w:rPr>
          <w:rFonts w:ascii="Arial" w:hAnsi="Arial" w:cs="Arial"/>
        </w:rPr>
        <w:t>lo que reduce la eficacia de los métodos prospectivos tradicionales de tipo inductivo. En este contexto, se propone el enfoque de Sistemas Minerales (SM), de carácter deductivo basado en la identificación de procesos formadores de depósitos a distintas escalas, como una alternativa más efectiva</w:t>
      </w:r>
      <w:r w:rsidR="00621DCA">
        <w:rPr>
          <w:rFonts w:ascii="Arial" w:hAnsi="Arial" w:cs="Arial"/>
        </w:rPr>
        <w:t xml:space="preserve"> (fue diseñado originalmente para reconocer favorabilidad por depósitos ocultos, o depósitos con escasa evidencia aflorante)</w:t>
      </w:r>
      <w:r w:rsidR="00621DCA" w:rsidRPr="00621DCA">
        <w:rPr>
          <w:rFonts w:ascii="Arial" w:hAnsi="Arial" w:cs="Arial"/>
        </w:rPr>
        <w:t>. Su integración con técnicas de Inteligencia Artificial (IA), capaces de reconocer patrones ocultos en grandes volúmenes de datos, ofrece una herramienta poderosa para vectorizar nuevas áreas favorables, combinando conocimiento experto (“knowledge driven”) con modelos automatizados (“data driven”).</w:t>
      </w:r>
    </w:p>
    <w:p w14:paraId="46D37C36" w14:textId="716AED7A" w:rsidR="00360285" w:rsidRDefault="00FB3569" w:rsidP="00621DCA">
      <w:pPr>
        <w:jc w:val="both"/>
        <w:rPr>
          <w:rFonts w:ascii="Arial" w:hAnsi="Arial" w:cs="Arial"/>
        </w:rPr>
      </w:pPr>
      <w:r w:rsidRPr="00FB3569">
        <w:rPr>
          <w:rFonts w:ascii="Arial" w:hAnsi="Arial" w:cs="Arial"/>
          <w:b/>
          <w:bCs/>
        </w:rPr>
        <w:t>Objetivo.</w:t>
      </w:r>
      <w:r>
        <w:rPr>
          <w:rFonts w:ascii="Arial" w:hAnsi="Arial" w:cs="Arial"/>
        </w:rPr>
        <w:t xml:space="preserve"> </w:t>
      </w:r>
      <w:r w:rsidR="003025F2">
        <w:rPr>
          <w:rFonts w:ascii="Arial" w:hAnsi="Arial" w:cs="Arial"/>
        </w:rPr>
        <w:t>Este trabajo, el cual viene siendo desarrollado de manera continua por el INGEMMET desde el año 2023</w:t>
      </w:r>
      <w:r w:rsidR="00C24638">
        <w:rPr>
          <w:rFonts w:ascii="Arial" w:hAnsi="Arial" w:cs="Arial"/>
        </w:rPr>
        <w:t>,</w:t>
      </w:r>
      <w:r w:rsidR="003025F2">
        <w:rPr>
          <w:rFonts w:ascii="Arial" w:hAnsi="Arial" w:cs="Arial"/>
        </w:rPr>
        <w:t xml:space="preserve"> tiene como objetivo</w:t>
      </w:r>
      <w:r w:rsidR="00C24638">
        <w:rPr>
          <w:rFonts w:ascii="Arial" w:hAnsi="Arial" w:cs="Arial"/>
        </w:rPr>
        <w:t xml:space="preserve"> </w:t>
      </w:r>
      <w:r w:rsidR="007769BC">
        <w:rPr>
          <w:rFonts w:ascii="Arial" w:hAnsi="Arial" w:cs="Arial"/>
        </w:rPr>
        <w:t xml:space="preserve">evaluar la potencialidad del Perú por minerales críticos a través del reporte de posibles subproductos por medio de la química mineral, así como también </w:t>
      </w:r>
      <w:r w:rsidR="003025F2">
        <w:rPr>
          <w:rFonts w:ascii="Arial" w:hAnsi="Arial" w:cs="Arial"/>
        </w:rPr>
        <w:t>generar nuevos mapas de prospectividad mineral por minerales críticos, empleando como herramientas nuevos enfoques metalogenéticos como los sistemas minerales</w:t>
      </w:r>
      <w:r w:rsidR="00B25EB1">
        <w:rPr>
          <w:rFonts w:ascii="Arial" w:hAnsi="Arial" w:cs="Arial"/>
        </w:rPr>
        <w:t xml:space="preserve"> (SM)</w:t>
      </w:r>
      <w:r w:rsidR="003025F2">
        <w:rPr>
          <w:rFonts w:ascii="Arial" w:hAnsi="Arial" w:cs="Arial"/>
        </w:rPr>
        <w:t>, así como su integración con técnicas de extracción de información a partir de grandes volúmenes de datos como la inteligencia artificial</w:t>
      </w:r>
      <w:r w:rsidR="00B25EB1">
        <w:rPr>
          <w:rFonts w:ascii="Arial" w:hAnsi="Arial" w:cs="Arial"/>
        </w:rPr>
        <w:t xml:space="preserve"> (IA)</w:t>
      </w:r>
      <w:r w:rsidR="003025F2">
        <w:rPr>
          <w:rFonts w:ascii="Arial" w:hAnsi="Arial" w:cs="Arial"/>
        </w:rPr>
        <w:t>, particularmente los algoritmos de bosques aleatorios (random forest) y redes neuronales artificiales de perceptrón multicapa.</w:t>
      </w:r>
    </w:p>
    <w:p w14:paraId="51FAD79C" w14:textId="267E35AA" w:rsidR="00FC79E1" w:rsidRPr="00FC79E1" w:rsidRDefault="00FC79E1" w:rsidP="00803E60">
      <w:pPr>
        <w:keepNext/>
        <w:tabs>
          <w:tab w:val="left" w:pos="3492"/>
        </w:tabs>
        <w:jc w:val="both"/>
        <w:rPr>
          <w:rFonts w:ascii="Arial" w:hAnsi="Arial" w:cs="Arial"/>
        </w:rPr>
      </w:pPr>
      <w:r w:rsidRPr="00FC79E1">
        <w:rPr>
          <w:rFonts w:ascii="Arial" w:hAnsi="Arial" w:cs="Arial"/>
          <w:b/>
          <w:bCs/>
        </w:rPr>
        <w:t>Metodología.</w:t>
      </w:r>
      <w:r w:rsidR="00621DCA">
        <w:rPr>
          <w:rFonts w:ascii="Arial" w:hAnsi="Arial" w:cs="Arial"/>
        </w:rPr>
        <w:t xml:space="preserve"> </w:t>
      </w:r>
      <w:r w:rsidR="00621DCA" w:rsidRPr="00621DCA">
        <w:rPr>
          <w:rFonts w:ascii="Arial" w:hAnsi="Arial" w:cs="Arial"/>
        </w:rPr>
        <w:t xml:space="preserve">Se realizan visitas a minas y proyectos para muestrear espacialmente menas y gangas (estas últimas para estudios de inclusiones fluidas). Las muestras se analizan mediante microsonda electrónica en un laboratorio externo y, para inclusiones fluidas, en el laboratorio del INGEMMET. Con los resultados, se ejecuta un análisis estadístico para obtener medianas de elementos mayores y menores en cada mineral metálico, así como temperaturas de homogenización y salinidad de minerales paragéneticos. Para evaluar nuevas áreas prospectivas se aplica el enfoque de sistemas minerales (SM), que considera los depósitos como productos predecibles de procesos críticos interrelacionados a distintas escalas, responsables de su formación y preservación (Wyborn et al., 1994). Este enfoque integra causas y consecuencias en un sistema de flujo de fluidos impulsado por energía, y su metodología se basa en esquematizar dicho sistema según modelos como los propuestos por McCuaig y </w:t>
      </w:r>
      <w:r w:rsidR="00621DCA" w:rsidRPr="00621DCA">
        <w:rPr>
          <w:rFonts w:ascii="Arial" w:hAnsi="Arial" w:cs="Arial"/>
        </w:rPr>
        <w:lastRenderedPageBreak/>
        <w:t>Hronsky (2010, 2014) y Hronsky &amp; Kreuser (2019).</w:t>
      </w:r>
      <w:r>
        <w:rPr>
          <w:rFonts w:ascii="Arial" w:hAnsi="Arial" w:cs="Arial"/>
        </w:rPr>
        <w:t>, y representa estos procesos en mapas predictores, los cuales son integrados por medio de la IA.</w:t>
      </w:r>
    </w:p>
    <w:p w14:paraId="45D70DD1" w14:textId="0DA6E0B3" w:rsidR="00803E60" w:rsidRPr="00803E60" w:rsidRDefault="00803E60" w:rsidP="00803E60">
      <w:pPr>
        <w:keepNext/>
        <w:tabs>
          <w:tab w:val="left" w:pos="3492"/>
        </w:tabs>
        <w:jc w:val="both"/>
        <w:rPr>
          <w:rFonts w:ascii="Arial" w:hAnsi="Arial" w:cs="Arial"/>
        </w:rPr>
      </w:pPr>
      <w:r w:rsidRPr="00803E60">
        <w:rPr>
          <w:rFonts w:ascii="Arial" w:hAnsi="Arial" w:cs="Arial"/>
          <w:b/>
          <w:bCs/>
        </w:rPr>
        <w:t>Resultados.</w:t>
      </w:r>
      <w:r w:rsidRPr="00803E60">
        <w:rPr>
          <w:rFonts w:ascii="Arial" w:hAnsi="Arial" w:cs="Arial"/>
        </w:rPr>
        <w:t xml:space="preserve"> Se presentan dos casos aplicando estas metodologías: (1) la distribución de cobalto en piritas de la mina Raúl–Condestable como posible subproducto, y (2) un mapa de prospectividad mineral para litio en el sureste del Perú, generado con enfoque de </w:t>
      </w:r>
      <w:r w:rsidR="00FC79E1">
        <w:rPr>
          <w:rFonts w:ascii="Arial" w:hAnsi="Arial" w:cs="Arial"/>
        </w:rPr>
        <w:t>SM</w:t>
      </w:r>
      <w:r w:rsidRPr="00803E60">
        <w:rPr>
          <w:rFonts w:ascii="Arial" w:hAnsi="Arial" w:cs="Arial"/>
        </w:rPr>
        <w:t xml:space="preserve"> e </w:t>
      </w:r>
      <w:r w:rsidR="00FC79E1">
        <w:rPr>
          <w:rFonts w:ascii="Arial" w:hAnsi="Arial" w:cs="Arial"/>
        </w:rPr>
        <w:t>IA</w:t>
      </w:r>
      <w:r w:rsidRPr="00803E60">
        <w:rPr>
          <w:rFonts w:ascii="Arial" w:hAnsi="Arial" w:cs="Arial"/>
        </w:rPr>
        <w:t>.</w:t>
      </w:r>
    </w:p>
    <w:p w14:paraId="351129CA" w14:textId="545AD846" w:rsidR="00C50E9B" w:rsidRDefault="00803E60" w:rsidP="00FC79E1">
      <w:pPr>
        <w:keepNext/>
        <w:tabs>
          <w:tab w:val="left" w:pos="3492"/>
        </w:tabs>
      </w:pPr>
      <w:r w:rsidRPr="00803E60">
        <w:rPr>
          <w:rFonts w:ascii="Arial" w:hAnsi="Arial" w:cs="Arial"/>
        </w:rPr>
        <w:t>En Raúl–Condestable, la pirita muestra potencial como portadora de cobalto. En los niveles profundos del sector Raúl, se registran las mayores concentraciones de Co (mediana de 0.24 %, máximo de 0.31 %), asociadas a altas temperaturas de homogenización y salinidad. Hacia el noreste (mina Condestable), estos valores disminuyen, especialmente en los niveles superiores, donde también se reducen temperatura y salinidad (ver figura 1).</w:t>
      </w:r>
      <w:r w:rsidR="00852137">
        <w:rPr>
          <w:noProof/>
        </w:rPr>
        <w:drawing>
          <wp:inline distT="0" distB="0" distL="0" distR="0" wp14:anchorId="28868CAF" wp14:editId="4BB3AEE0">
            <wp:extent cx="5400040" cy="2467708"/>
            <wp:effectExtent l="0" t="0" r="0" b="8890"/>
            <wp:docPr id="41665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4362" name=""/>
                    <pic:cNvPicPr/>
                  </pic:nvPicPr>
                  <pic:blipFill rotWithShape="1">
                    <a:blip r:embed="rId5"/>
                    <a:srcRect b="1517"/>
                    <a:stretch/>
                  </pic:blipFill>
                  <pic:spPr bwMode="auto">
                    <a:xfrm>
                      <a:off x="0" y="0"/>
                      <a:ext cx="5400040" cy="2467708"/>
                    </a:xfrm>
                    <a:prstGeom prst="rect">
                      <a:avLst/>
                    </a:prstGeom>
                    <a:ln>
                      <a:noFill/>
                    </a:ln>
                    <a:extLst>
                      <a:ext uri="{53640926-AAD7-44D8-BBD7-CCE9431645EC}">
                        <a14:shadowObscured xmlns:a14="http://schemas.microsoft.com/office/drawing/2010/main"/>
                      </a:ext>
                    </a:extLst>
                  </pic:spPr>
                </pic:pic>
              </a:graphicData>
            </a:graphic>
          </wp:inline>
        </w:drawing>
      </w:r>
    </w:p>
    <w:p w14:paraId="19DAC35F" w14:textId="7377CD8B" w:rsidR="00D44D65" w:rsidRPr="00C50E9B" w:rsidRDefault="00C50E9B" w:rsidP="00C50E9B">
      <w:pPr>
        <w:pStyle w:val="Descripcin"/>
        <w:jc w:val="center"/>
        <w:rPr>
          <w:rFonts w:ascii="Arial" w:hAnsi="Arial" w:cs="Arial"/>
          <w:i w:val="0"/>
          <w:iCs w:val="0"/>
          <w:noProof/>
          <w:color w:val="auto"/>
        </w:rPr>
      </w:pPr>
      <w:r w:rsidRPr="00C50E9B">
        <w:rPr>
          <w:rFonts w:ascii="Arial" w:hAnsi="Arial" w:cs="Arial"/>
          <w:i w:val="0"/>
          <w:iCs w:val="0"/>
          <w:color w:val="auto"/>
        </w:rPr>
        <w:t xml:space="preserve">Figura </w:t>
      </w:r>
      <w:r w:rsidRPr="00C50E9B">
        <w:rPr>
          <w:rFonts w:ascii="Arial" w:hAnsi="Arial" w:cs="Arial"/>
          <w:i w:val="0"/>
          <w:iCs w:val="0"/>
          <w:color w:val="auto"/>
        </w:rPr>
        <w:fldChar w:fldCharType="begin"/>
      </w:r>
      <w:r w:rsidRPr="00C50E9B">
        <w:rPr>
          <w:rFonts w:ascii="Arial" w:hAnsi="Arial" w:cs="Arial"/>
          <w:i w:val="0"/>
          <w:iCs w:val="0"/>
          <w:color w:val="auto"/>
        </w:rPr>
        <w:instrText xml:space="preserve"> SEQ Figura \* ARABIC </w:instrText>
      </w:r>
      <w:r w:rsidRPr="00C50E9B">
        <w:rPr>
          <w:rFonts w:ascii="Arial" w:hAnsi="Arial" w:cs="Arial"/>
          <w:i w:val="0"/>
          <w:iCs w:val="0"/>
          <w:color w:val="auto"/>
        </w:rPr>
        <w:fldChar w:fldCharType="separate"/>
      </w:r>
      <w:r>
        <w:rPr>
          <w:rFonts w:ascii="Arial" w:hAnsi="Arial" w:cs="Arial"/>
          <w:i w:val="0"/>
          <w:iCs w:val="0"/>
          <w:noProof/>
          <w:color w:val="auto"/>
        </w:rPr>
        <w:t>1</w:t>
      </w:r>
      <w:r w:rsidRPr="00C50E9B">
        <w:rPr>
          <w:rFonts w:ascii="Arial" w:hAnsi="Arial" w:cs="Arial"/>
          <w:i w:val="0"/>
          <w:iCs w:val="0"/>
          <w:color w:val="auto"/>
        </w:rPr>
        <w:fldChar w:fldCharType="end"/>
      </w:r>
      <w:r w:rsidRPr="00C50E9B">
        <w:rPr>
          <w:rFonts w:ascii="Arial" w:hAnsi="Arial" w:cs="Arial"/>
          <w:i w:val="0"/>
          <w:iCs w:val="0"/>
          <w:color w:val="auto"/>
        </w:rPr>
        <w:t>. Distribución de resultados de geoquímica mineral para piritas y calcopiritas de la mina Raúl Condestable, así como inclusiones fluidas para cuarzos de su paragénesis, revelando la asociación espacial entre altos contenidos de Co en pirita y fluidos calientes y salinos.</w:t>
      </w:r>
    </w:p>
    <w:p w14:paraId="7CF49F20" w14:textId="77777777" w:rsidR="00803E60" w:rsidRDefault="00803E60" w:rsidP="00803E60">
      <w:pPr>
        <w:widowControl w:val="0"/>
        <w:spacing w:after="80"/>
        <w:jc w:val="both"/>
        <w:rPr>
          <w:rFonts w:ascii="Arial" w:hAnsi="Arial" w:cs="Arial"/>
          <w:noProof/>
        </w:rPr>
      </w:pPr>
      <w:r w:rsidRPr="00803E60">
        <w:rPr>
          <w:rFonts w:ascii="Arial" w:hAnsi="Arial" w:cs="Arial"/>
          <w:noProof/>
        </w:rPr>
        <w:t>Se aplicaron algoritmos como random forest y redes neuronales para generar mapas predictivos precisos, identificando nuevas zonas con potencial fuera de las franjas metalogenéticas conocidas. El modelo propuesto vincula el litio a la fusión parcial del basamento metapelítico paleozoico inducida por magmatismo máfico, con ascenso facilitado por fallas como Urcos–Urubamba–Ayaviri–Copacabana. Se presenta el mapa de prospectividad mineral obtenido mediante redes neuronales (Tabla 1).</w:t>
      </w:r>
    </w:p>
    <w:p w14:paraId="534239FF" w14:textId="3E3E73FE" w:rsidR="000A6492" w:rsidRPr="00C50E9B" w:rsidRDefault="000A6492" w:rsidP="00C50E9B">
      <w:pPr>
        <w:widowControl w:val="0"/>
        <w:spacing w:after="80"/>
        <w:jc w:val="center"/>
        <w:rPr>
          <w:rFonts w:ascii="Arial" w:hAnsi="Arial" w:cs="Arial"/>
          <w:bCs/>
          <w:sz w:val="18"/>
          <w:szCs w:val="18"/>
          <w:lang w:val="en-AU"/>
        </w:rPr>
      </w:pPr>
      <w:r w:rsidRPr="00C50E9B">
        <w:rPr>
          <w:rFonts w:ascii="Arial" w:hAnsi="Arial" w:cs="Arial"/>
          <w:bCs/>
          <w:sz w:val="18"/>
          <w:szCs w:val="18"/>
          <w:lang w:val="en-AU"/>
        </w:rPr>
        <w:t>Tabl</w:t>
      </w:r>
      <w:r w:rsidR="00CD2204" w:rsidRPr="00C50E9B">
        <w:rPr>
          <w:rFonts w:ascii="Arial" w:hAnsi="Arial" w:cs="Arial"/>
          <w:bCs/>
          <w:sz w:val="18"/>
          <w:szCs w:val="18"/>
          <w:lang w:val="en-AU"/>
        </w:rPr>
        <w:t>a</w:t>
      </w:r>
      <w:r w:rsidRPr="00C50E9B">
        <w:rPr>
          <w:rFonts w:ascii="Arial" w:hAnsi="Arial" w:cs="Arial"/>
          <w:bCs/>
          <w:sz w:val="18"/>
          <w:szCs w:val="18"/>
          <w:lang w:val="en-AU"/>
        </w:rPr>
        <w:t xml:space="preserve"> </w:t>
      </w:r>
      <w:r w:rsidR="00CD2204" w:rsidRPr="00C50E9B">
        <w:rPr>
          <w:rFonts w:ascii="Arial" w:hAnsi="Arial" w:cs="Arial"/>
          <w:bCs/>
          <w:sz w:val="18"/>
          <w:szCs w:val="18"/>
          <w:lang w:val="en-AU"/>
        </w:rPr>
        <w:t>1</w:t>
      </w:r>
      <w:r w:rsidRPr="00C50E9B">
        <w:rPr>
          <w:rFonts w:ascii="Arial" w:hAnsi="Arial" w:cs="Arial"/>
          <w:bCs/>
          <w:sz w:val="18"/>
          <w:szCs w:val="18"/>
          <w:lang w:val="en-AU"/>
        </w:rPr>
        <w:t xml:space="preserve">. </w:t>
      </w:r>
      <w:r w:rsidR="00C50E9B" w:rsidRPr="00C50E9B">
        <w:rPr>
          <w:rFonts w:ascii="Arial" w:hAnsi="Arial" w:cs="Arial"/>
          <w:bCs/>
          <w:sz w:val="18"/>
          <w:szCs w:val="18"/>
          <w:lang w:val="en-AU"/>
        </w:rPr>
        <w:br/>
      </w:r>
      <w:r w:rsidR="00CD2204" w:rsidRPr="00C50E9B">
        <w:rPr>
          <w:rFonts w:ascii="Arial" w:hAnsi="Arial" w:cs="Arial"/>
          <w:bCs/>
          <w:sz w:val="18"/>
          <w:szCs w:val="18"/>
          <w:lang w:val="en-AU"/>
        </w:rPr>
        <w:t>Procesos y elementos a escala regional y provincial para el sistema mineral de Li asociado a magmatismo peraluminoso</w:t>
      </w:r>
      <w:r w:rsidRPr="00C50E9B">
        <w:rPr>
          <w:rFonts w:ascii="Arial" w:hAnsi="Arial" w:cs="Arial"/>
          <w:bCs/>
          <w:sz w:val="18"/>
          <w:szCs w:val="18"/>
          <w:lang w:val="en-AU"/>
        </w:rPr>
        <w:t>. F: Ferti</w:t>
      </w:r>
      <w:r w:rsidR="00CD2204" w:rsidRPr="00C50E9B">
        <w:rPr>
          <w:rFonts w:ascii="Arial" w:hAnsi="Arial" w:cs="Arial"/>
          <w:bCs/>
          <w:sz w:val="18"/>
          <w:szCs w:val="18"/>
          <w:lang w:val="en-AU"/>
        </w:rPr>
        <w:t>lidad</w:t>
      </w:r>
      <w:r w:rsidRPr="00C50E9B">
        <w:rPr>
          <w:rFonts w:ascii="Arial" w:hAnsi="Arial" w:cs="Arial"/>
          <w:bCs/>
          <w:sz w:val="18"/>
          <w:szCs w:val="18"/>
          <w:lang w:val="en-AU"/>
        </w:rPr>
        <w:t xml:space="preserve"> / </w:t>
      </w:r>
      <w:r w:rsidR="00CD2204" w:rsidRPr="00C50E9B">
        <w:rPr>
          <w:rFonts w:ascii="Arial" w:hAnsi="Arial" w:cs="Arial"/>
          <w:bCs/>
          <w:sz w:val="18"/>
          <w:szCs w:val="18"/>
          <w:lang w:val="en-AU"/>
        </w:rPr>
        <w:t>Fuente</w:t>
      </w:r>
      <w:r w:rsidRPr="00C50E9B">
        <w:rPr>
          <w:rFonts w:ascii="Arial" w:hAnsi="Arial" w:cs="Arial"/>
          <w:bCs/>
          <w:sz w:val="18"/>
          <w:szCs w:val="18"/>
          <w:lang w:val="en-AU"/>
        </w:rPr>
        <w:t xml:space="preserve">. G: </w:t>
      </w:r>
      <w:r w:rsidR="00CD2204" w:rsidRPr="00C50E9B">
        <w:rPr>
          <w:rFonts w:ascii="Arial" w:hAnsi="Arial" w:cs="Arial"/>
          <w:bCs/>
          <w:sz w:val="18"/>
          <w:szCs w:val="18"/>
          <w:lang w:val="en-AU"/>
        </w:rPr>
        <w:t>Geodinámica favorable</w:t>
      </w:r>
      <w:r w:rsidRPr="00C50E9B">
        <w:rPr>
          <w:rFonts w:ascii="Arial" w:hAnsi="Arial" w:cs="Arial"/>
          <w:bCs/>
          <w:sz w:val="18"/>
          <w:szCs w:val="18"/>
          <w:lang w:val="en-AU"/>
        </w:rPr>
        <w:t xml:space="preserve"> (</w:t>
      </w:r>
      <w:r w:rsidR="00CD2204" w:rsidRPr="00C50E9B">
        <w:rPr>
          <w:rFonts w:ascii="Arial" w:hAnsi="Arial" w:cs="Arial"/>
          <w:bCs/>
          <w:sz w:val="18"/>
          <w:szCs w:val="18"/>
          <w:lang w:val="en-AU"/>
        </w:rPr>
        <w:t>o detonante)</w:t>
      </w:r>
      <w:r w:rsidRPr="00C50E9B">
        <w:rPr>
          <w:rFonts w:ascii="Arial" w:hAnsi="Arial" w:cs="Arial"/>
          <w:bCs/>
          <w:sz w:val="18"/>
          <w:szCs w:val="18"/>
          <w:lang w:val="en-AU"/>
        </w:rPr>
        <w:t>. A: Ar</w:t>
      </w:r>
      <w:r w:rsidR="00CD2204" w:rsidRPr="00C50E9B">
        <w:rPr>
          <w:rFonts w:ascii="Arial" w:hAnsi="Arial" w:cs="Arial"/>
          <w:bCs/>
          <w:sz w:val="18"/>
          <w:szCs w:val="18"/>
          <w:lang w:val="en-AU"/>
        </w:rPr>
        <w:t>quitectura</w:t>
      </w:r>
      <w:r w:rsidRPr="00C50E9B">
        <w:rPr>
          <w:rFonts w:ascii="Arial" w:hAnsi="Arial" w:cs="Arial"/>
          <w:bCs/>
          <w:sz w:val="18"/>
          <w:szCs w:val="18"/>
          <w:lang w:val="en-AU"/>
        </w:rPr>
        <w:t>. P: Precipi</w:t>
      </w:r>
      <w:r w:rsidR="00CD2204" w:rsidRPr="00C50E9B">
        <w:rPr>
          <w:rFonts w:ascii="Arial" w:hAnsi="Arial" w:cs="Arial"/>
          <w:bCs/>
          <w:sz w:val="18"/>
          <w:szCs w:val="18"/>
          <w:lang w:val="en-AU"/>
        </w:rPr>
        <w:t>tación</w:t>
      </w:r>
      <w:r w:rsidRPr="00C50E9B">
        <w:rPr>
          <w:rFonts w:ascii="Arial" w:hAnsi="Arial" w:cs="Arial"/>
          <w:bCs/>
          <w:sz w:val="18"/>
          <w:szCs w:val="18"/>
          <w:lang w:val="en-AU"/>
        </w:rPr>
        <w:t xml:space="preserve"> / De</w:t>
      </w:r>
      <w:r w:rsidR="00CD2204" w:rsidRPr="00C50E9B">
        <w:rPr>
          <w:rFonts w:ascii="Arial" w:hAnsi="Arial" w:cs="Arial"/>
          <w:bCs/>
          <w:sz w:val="18"/>
          <w:szCs w:val="18"/>
          <w:lang w:val="en-AU"/>
        </w:rPr>
        <w:t>posición</w:t>
      </w:r>
      <w:r w:rsidRPr="00C50E9B">
        <w:rPr>
          <w:rFonts w:ascii="Arial" w:hAnsi="Arial" w:cs="Arial"/>
          <w:bCs/>
          <w:sz w:val="18"/>
          <w:szCs w:val="18"/>
          <w:lang w:val="en-AU"/>
        </w:rPr>
        <w:t>.</w:t>
      </w:r>
    </w:p>
    <w:tbl>
      <w:tblPr>
        <w:tblW w:w="17139" w:type="dxa"/>
        <w:tblLayout w:type="fixed"/>
        <w:tblCellMar>
          <w:left w:w="70" w:type="dxa"/>
          <w:right w:w="70" w:type="dxa"/>
        </w:tblCellMar>
        <w:tblLook w:val="04A0" w:firstRow="1" w:lastRow="0" w:firstColumn="1" w:lastColumn="0" w:noHBand="0" w:noVBand="1"/>
      </w:tblPr>
      <w:tblGrid>
        <w:gridCol w:w="284"/>
        <w:gridCol w:w="425"/>
        <w:gridCol w:w="284"/>
        <w:gridCol w:w="992"/>
        <w:gridCol w:w="286"/>
        <w:gridCol w:w="851"/>
        <w:gridCol w:w="425"/>
        <w:gridCol w:w="851"/>
        <w:gridCol w:w="280"/>
        <w:gridCol w:w="1134"/>
        <w:gridCol w:w="284"/>
        <w:gridCol w:w="992"/>
        <w:gridCol w:w="567"/>
        <w:gridCol w:w="850"/>
        <w:gridCol w:w="8634"/>
      </w:tblGrid>
      <w:tr w:rsidR="00C056E8" w:rsidRPr="000A6492" w14:paraId="2DA3FED7" w14:textId="77777777" w:rsidTr="00682E3F">
        <w:trPr>
          <w:gridAfter w:val="1"/>
          <w:wAfter w:w="8634" w:type="dxa"/>
          <w:trHeight w:val="315"/>
        </w:trPr>
        <w:tc>
          <w:tcPr>
            <w:tcW w:w="284" w:type="dxa"/>
            <w:tcBorders>
              <w:top w:val="nil"/>
              <w:left w:val="nil"/>
              <w:bottom w:val="nil"/>
              <w:right w:val="nil"/>
            </w:tcBorders>
            <w:shd w:val="clear" w:color="auto" w:fill="auto"/>
            <w:noWrap/>
            <w:vAlign w:val="bottom"/>
            <w:hideMark/>
          </w:tcPr>
          <w:p w14:paraId="2EB7C45A" w14:textId="77777777" w:rsidR="000A6492" w:rsidRPr="000A6492" w:rsidRDefault="000A6492" w:rsidP="005562C4">
            <w:pPr>
              <w:widowControl w:val="0"/>
              <w:spacing w:after="0" w:line="240" w:lineRule="auto"/>
              <w:rPr>
                <w:rFonts w:ascii="Arial" w:eastAsia="Times New Roman" w:hAnsi="Arial" w:cs="Arial"/>
                <w:sz w:val="10"/>
                <w:szCs w:val="10"/>
                <w:lang w:val="en-AU" w:eastAsia="es-PE"/>
              </w:rPr>
            </w:pPr>
            <w:bookmarkStart w:id="0" w:name="RANGE!G2"/>
            <w:bookmarkStart w:id="1" w:name="_Hlk171605972" w:colFirst="2" w:colLast="13"/>
            <w:bookmarkEnd w:id="0"/>
          </w:p>
        </w:tc>
        <w:tc>
          <w:tcPr>
            <w:tcW w:w="425" w:type="dxa"/>
            <w:tcBorders>
              <w:top w:val="nil"/>
              <w:left w:val="nil"/>
              <w:bottom w:val="nil"/>
              <w:right w:val="single" w:sz="8" w:space="0" w:color="000000"/>
            </w:tcBorders>
            <w:shd w:val="clear" w:color="auto" w:fill="auto"/>
            <w:noWrap/>
            <w:vAlign w:val="center"/>
            <w:hideMark/>
          </w:tcPr>
          <w:p w14:paraId="5AF48CEE" w14:textId="77777777" w:rsidR="000A6492" w:rsidRPr="000A6492" w:rsidRDefault="000A6492" w:rsidP="005562C4">
            <w:pPr>
              <w:widowControl w:val="0"/>
              <w:spacing w:after="0" w:line="240" w:lineRule="auto"/>
              <w:rPr>
                <w:rFonts w:ascii="Arial" w:eastAsia="Times New Roman" w:hAnsi="Arial" w:cs="Arial"/>
                <w:color w:val="000000"/>
                <w:sz w:val="10"/>
                <w:szCs w:val="10"/>
                <w:lang w:val="en-AU" w:eastAsia="es-PE"/>
              </w:rPr>
            </w:pPr>
            <w:r w:rsidRPr="000A6492">
              <w:rPr>
                <w:rFonts w:ascii="Arial" w:eastAsia="Times New Roman" w:hAnsi="Arial" w:cs="Arial"/>
                <w:color w:val="000000"/>
                <w:sz w:val="10"/>
                <w:szCs w:val="10"/>
                <w:lang w:val="en-AU" w:eastAsia="es-PE"/>
              </w:rPr>
              <w:t> </w:t>
            </w:r>
          </w:p>
        </w:tc>
        <w:tc>
          <w:tcPr>
            <w:tcW w:w="3689"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72CF774D" w14:textId="08D4F1B9" w:rsidR="000A6492" w:rsidRPr="000A6492" w:rsidRDefault="00C056E8" w:rsidP="005562C4">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ESCALA REGIONAL</w:t>
            </w:r>
          </w:p>
        </w:tc>
        <w:tc>
          <w:tcPr>
            <w:tcW w:w="4107"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1C20B3F2" w14:textId="78585127" w:rsidR="000A6492" w:rsidRPr="000A6492" w:rsidRDefault="00C056E8" w:rsidP="005562C4">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ESCALA PROVINCIAL</w:t>
            </w:r>
          </w:p>
        </w:tc>
      </w:tr>
      <w:tr w:rsidR="00C056E8" w:rsidRPr="000A6492" w14:paraId="0B5D7906" w14:textId="77777777" w:rsidTr="00682E3F">
        <w:trPr>
          <w:gridAfter w:val="1"/>
          <w:wAfter w:w="8634" w:type="dxa"/>
          <w:trHeight w:val="37"/>
        </w:trPr>
        <w:tc>
          <w:tcPr>
            <w:tcW w:w="284" w:type="dxa"/>
            <w:tcBorders>
              <w:top w:val="nil"/>
              <w:left w:val="nil"/>
              <w:bottom w:val="nil"/>
              <w:right w:val="nil"/>
            </w:tcBorders>
            <w:shd w:val="clear" w:color="000000" w:fill="FFFFFF"/>
            <w:noWrap/>
            <w:vAlign w:val="center"/>
            <w:hideMark/>
          </w:tcPr>
          <w:p w14:paraId="0774533A" w14:textId="77777777" w:rsidR="000A6492" w:rsidRPr="000A6492" w:rsidRDefault="000A6492" w:rsidP="005562C4">
            <w:pPr>
              <w:widowControl w:val="0"/>
              <w:spacing w:after="0" w:line="240" w:lineRule="auto"/>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425" w:type="dxa"/>
            <w:tcBorders>
              <w:top w:val="nil"/>
              <w:left w:val="nil"/>
              <w:bottom w:val="single" w:sz="8" w:space="0" w:color="000000"/>
              <w:right w:val="single" w:sz="8" w:space="0" w:color="000000"/>
            </w:tcBorders>
            <w:shd w:val="clear" w:color="000000" w:fill="FFFFFF"/>
            <w:noWrap/>
            <w:vAlign w:val="center"/>
            <w:hideMark/>
          </w:tcPr>
          <w:p w14:paraId="14A998BD" w14:textId="77777777" w:rsidR="000A6492" w:rsidRPr="000A6492" w:rsidRDefault="000A6492" w:rsidP="005562C4">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3689" w:type="dxa"/>
            <w:gridSpan w:val="6"/>
            <w:vMerge/>
            <w:tcBorders>
              <w:top w:val="nil"/>
              <w:left w:val="nil"/>
              <w:bottom w:val="single" w:sz="8" w:space="0" w:color="000000"/>
              <w:right w:val="single" w:sz="8" w:space="0" w:color="000000"/>
            </w:tcBorders>
            <w:vAlign w:val="center"/>
            <w:hideMark/>
          </w:tcPr>
          <w:p w14:paraId="495534C5" w14:textId="77777777" w:rsidR="000A6492" w:rsidRPr="000A6492" w:rsidRDefault="000A6492" w:rsidP="005562C4">
            <w:pPr>
              <w:widowControl w:val="0"/>
              <w:spacing w:after="0" w:line="240" w:lineRule="auto"/>
              <w:rPr>
                <w:rFonts w:ascii="Arial" w:eastAsia="Times New Roman" w:hAnsi="Arial" w:cs="Arial"/>
                <w:b/>
                <w:bCs/>
                <w:color w:val="000000"/>
                <w:sz w:val="10"/>
                <w:szCs w:val="10"/>
                <w:lang w:eastAsia="es-PE"/>
              </w:rPr>
            </w:pPr>
          </w:p>
        </w:tc>
        <w:tc>
          <w:tcPr>
            <w:tcW w:w="4107" w:type="dxa"/>
            <w:gridSpan w:val="6"/>
            <w:vMerge/>
            <w:tcBorders>
              <w:top w:val="nil"/>
              <w:left w:val="nil"/>
              <w:bottom w:val="single" w:sz="8" w:space="0" w:color="000000"/>
              <w:right w:val="single" w:sz="8" w:space="0" w:color="000000"/>
            </w:tcBorders>
            <w:vAlign w:val="center"/>
            <w:hideMark/>
          </w:tcPr>
          <w:p w14:paraId="64D6468D" w14:textId="77777777" w:rsidR="000A6492" w:rsidRPr="000A6492" w:rsidRDefault="000A6492" w:rsidP="005562C4">
            <w:pPr>
              <w:widowControl w:val="0"/>
              <w:spacing w:after="0" w:line="240" w:lineRule="auto"/>
              <w:rPr>
                <w:rFonts w:ascii="Arial" w:eastAsia="Times New Roman" w:hAnsi="Arial" w:cs="Arial"/>
                <w:b/>
                <w:bCs/>
                <w:color w:val="000000"/>
                <w:sz w:val="10"/>
                <w:szCs w:val="10"/>
                <w:lang w:eastAsia="es-PE"/>
              </w:rPr>
            </w:pPr>
          </w:p>
        </w:tc>
      </w:tr>
      <w:tr w:rsidR="00293DE3" w:rsidRPr="000A6492" w14:paraId="118DF4BA" w14:textId="77777777" w:rsidTr="00682E3F">
        <w:trPr>
          <w:gridAfter w:val="1"/>
          <w:wAfter w:w="8634" w:type="dxa"/>
          <w:trHeight w:val="487"/>
        </w:trPr>
        <w:tc>
          <w:tcPr>
            <w:tcW w:w="284" w:type="dxa"/>
            <w:vMerge w:val="restart"/>
            <w:tcBorders>
              <w:top w:val="single" w:sz="8" w:space="0" w:color="auto"/>
              <w:left w:val="single" w:sz="8" w:space="0" w:color="000000"/>
              <w:bottom w:val="nil"/>
              <w:right w:val="single" w:sz="8" w:space="0" w:color="000000"/>
            </w:tcBorders>
            <w:shd w:val="clear" w:color="000000" w:fill="7030A0"/>
            <w:textDirection w:val="btLr"/>
            <w:vAlign w:val="center"/>
            <w:hideMark/>
          </w:tcPr>
          <w:p w14:paraId="1BF8A0F1" w14:textId="7697E828" w:rsidR="00293DE3" w:rsidRPr="000A6492" w:rsidRDefault="00293DE3" w:rsidP="00293DE3">
            <w:pPr>
              <w:widowControl w:val="0"/>
              <w:spacing w:after="0" w:line="240" w:lineRule="auto"/>
              <w:jc w:val="center"/>
              <w:rPr>
                <w:rFonts w:ascii="Arial" w:eastAsia="Times New Roman" w:hAnsi="Arial" w:cs="Arial"/>
                <w:b/>
                <w:bCs/>
                <w:color w:val="FFFFFF"/>
                <w:sz w:val="10"/>
                <w:szCs w:val="10"/>
                <w:lang w:eastAsia="es-PE"/>
              </w:rPr>
            </w:pPr>
            <w:r>
              <w:rPr>
                <w:rFonts w:ascii="Arial" w:eastAsia="Times New Roman" w:hAnsi="Arial" w:cs="Arial"/>
                <w:b/>
                <w:bCs/>
                <w:color w:val="FFFFFF"/>
                <w:sz w:val="10"/>
                <w:szCs w:val="10"/>
                <w:lang w:eastAsia="es-PE"/>
              </w:rPr>
              <w:t>PROCESOS CRÍTICOS</w:t>
            </w:r>
          </w:p>
        </w:tc>
        <w:tc>
          <w:tcPr>
            <w:tcW w:w="425" w:type="dxa"/>
            <w:tcBorders>
              <w:top w:val="nil"/>
              <w:left w:val="nil"/>
              <w:bottom w:val="single" w:sz="8" w:space="0" w:color="000000"/>
              <w:right w:val="nil"/>
            </w:tcBorders>
            <w:shd w:val="clear" w:color="000000" w:fill="EDEDED"/>
            <w:textDirection w:val="btLr"/>
            <w:vAlign w:val="center"/>
            <w:hideMark/>
          </w:tcPr>
          <w:p w14:paraId="2C42F526" w14:textId="77777777" w:rsidR="00293DE3" w:rsidRPr="000A6492" w:rsidRDefault="00293DE3" w:rsidP="00293DE3">
            <w:pPr>
              <w:widowControl w:val="0"/>
              <w:spacing w:after="0" w:line="240" w:lineRule="auto"/>
              <w:jc w:val="center"/>
              <w:rPr>
                <w:rFonts w:ascii="Arial" w:eastAsia="Times New Roman" w:hAnsi="Arial" w:cs="Arial"/>
                <w:b/>
                <w:bCs/>
                <w:color w:val="000000"/>
                <w:sz w:val="10"/>
                <w:szCs w:val="10"/>
                <w:lang w:eastAsia="es-PE"/>
              </w:rPr>
            </w:pPr>
            <w:r w:rsidRPr="000A6492">
              <w:rPr>
                <w:rFonts w:ascii="Arial" w:eastAsia="Times New Roman" w:hAnsi="Arial" w:cs="Arial"/>
                <w:b/>
                <w:bCs/>
                <w:color w:val="000000"/>
                <w:sz w:val="10"/>
                <w:szCs w:val="10"/>
                <w:lang w:eastAsia="es-PE"/>
              </w:rPr>
              <w:t>P</w:t>
            </w:r>
          </w:p>
        </w:tc>
        <w:tc>
          <w:tcPr>
            <w:tcW w:w="284"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1FC3841B" w14:textId="3D492C73" w:rsidR="00293DE3" w:rsidRPr="000A6492" w:rsidRDefault="00293DE3" w:rsidP="00293DE3">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PROCESOS OCNSTITUTIVOS</w:t>
            </w:r>
          </w:p>
        </w:tc>
        <w:tc>
          <w:tcPr>
            <w:tcW w:w="992" w:type="dxa"/>
            <w:tcBorders>
              <w:top w:val="nil"/>
              <w:left w:val="nil"/>
              <w:bottom w:val="single" w:sz="8" w:space="0" w:color="000000"/>
              <w:right w:val="nil"/>
            </w:tcBorders>
            <w:shd w:val="clear" w:color="000000" w:fill="E2EFDA"/>
            <w:vAlign w:val="center"/>
            <w:hideMark/>
          </w:tcPr>
          <w:p w14:paraId="2AAFB65C" w14:textId="77777777" w:rsidR="00293DE3" w:rsidRPr="000A6492" w:rsidRDefault="00293DE3" w:rsidP="00293DE3">
            <w:pPr>
              <w:widowControl w:val="0"/>
              <w:spacing w:after="0" w:line="240" w:lineRule="auto"/>
              <w:rPr>
                <w:rFonts w:ascii="Arial" w:eastAsia="Times New Roman" w:hAnsi="Arial" w:cs="Arial"/>
                <w:b/>
                <w:bCs/>
                <w:color w:val="000000"/>
                <w:sz w:val="10"/>
                <w:szCs w:val="10"/>
                <w:lang w:eastAsia="es-PE"/>
              </w:rPr>
            </w:pPr>
            <w:r w:rsidRPr="000A6492">
              <w:rPr>
                <w:rFonts w:ascii="Arial" w:eastAsia="Times New Roman" w:hAnsi="Arial" w:cs="Arial"/>
                <w:b/>
                <w:bCs/>
                <w:color w:val="000000"/>
                <w:sz w:val="10"/>
                <w:szCs w:val="10"/>
                <w:lang w:eastAsia="es-PE"/>
              </w:rPr>
              <w:t> </w:t>
            </w:r>
          </w:p>
        </w:tc>
        <w:tc>
          <w:tcPr>
            <w:tcW w:w="286"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31F3A3E4" w14:textId="1C07121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ELEMENTOS OBJETIVO</w:t>
            </w:r>
          </w:p>
        </w:tc>
        <w:tc>
          <w:tcPr>
            <w:tcW w:w="851" w:type="dxa"/>
            <w:tcBorders>
              <w:top w:val="nil"/>
              <w:left w:val="nil"/>
              <w:bottom w:val="single" w:sz="8" w:space="0" w:color="000000"/>
              <w:right w:val="nil"/>
            </w:tcBorders>
            <w:shd w:val="clear" w:color="000000" w:fill="E2EFDA"/>
            <w:vAlign w:val="center"/>
            <w:hideMark/>
          </w:tcPr>
          <w:p w14:paraId="6AE32BB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425"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28109C57" w14:textId="242265B6" w:rsidR="00293DE3" w:rsidRPr="000A6492" w:rsidRDefault="00293DE3" w:rsidP="00293DE3">
            <w:pPr>
              <w:pStyle w:val="NormalWeb"/>
              <w:widowControl w:val="0"/>
              <w:spacing w:before="0" w:beforeAutospacing="0" w:after="0" w:afterAutospacing="0"/>
              <w:jc w:val="center"/>
              <w:rPr>
                <w:rFonts w:ascii="Arial" w:hAnsi="Arial" w:cs="Arial"/>
                <w:b/>
                <w:bCs/>
                <w:sz w:val="10"/>
                <w:szCs w:val="10"/>
                <w:lang w:val="en-AU"/>
              </w:rPr>
            </w:pPr>
            <w:r>
              <w:rPr>
                <w:rFonts w:ascii="Arial" w:hAnsi="Arial" w:cs="Arial"/>
                <w:b/>
                <w:bCs/>
                <w:sz w:val="10"/>
                <w:szCs w:val="10"/>
                <w:lang w:val="en-AU"/>
              </w:rPr>
              <w:t>CRITERIOS DE REPRESENTACIÓN DE ELEMENTOS OBJETIVO (</w:t>
            </w:r>
            <w:r w:rsidRPr="00FF76F7">
              <w:rPr>
                <w:rFonts w:ascii="Arial" w:hAnsi="Arial" w:cs="Arial"/>
                <w:b/>
                <w:bCs/>
                <w:i/>
                <w:iCs/>
                <w:sz w:val="10"/>
                <w:szCs w:val="10"/>
                <w:lang w:val="en-AU"/>
              </w:rPr>
              <w:t>mapas predictores</w:t>
            </w:r>
            <w:r>
              <w:rPr>
                <w:rFonts w:ascii="Arial" w:hAnsi="Arial" w:cs="Arial"/>
                <w:b/>
                <w:bCs/>
                <w:sz w:val="10"/>
                <w:szCs w:val="10"/>
                <w:lang w:val="en-AU"/>
              </w:rPr>
              <w:t>)</w:t>
            </w:r>
          </w:p>
        </w:tc>
        <w:tc>
          <w:tcPr>
            <w:tcW w:w="851" w:type="dxa"/>
            <w:tcBorders>
              <w:top w:val="nil"/>
              <w:left w:val="nil"/>
              <w:bottom w:val="single" w:sz="8" w:space="0" w:color="000000"/>
              <w:right w:val="nil"/>
            </w:tcBorders>
            <w:shd w:val="clear" w:color="000000" w:fill="E2EFDA"/>
            <w:vAlign w:val="center"/>
            <w:hideMark/>
          </w:tcPr>
          <w:p w14:paraId="204A8A80"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r w:rsidRPr="000A6492">
              <w:rPr>
                <w:rFonts w:ascii="Arial" w:eastAsia="Times New Roman" w:hAnsi="Arial" w:cs="Arial"/>
                <w:color w:val="000000"/>
                <w:sz w:val="10"/>
                <w:szCs w:val="10"/>
                <w:lang w:val="en-AU" w:eastAsia="es-PE"/>
              </w:rPr>
              <w:t> </w:t>
            </w:r>
          </w:p>
        </w:tc>
        <w:tc>
          <w:tcPr>
            <w:tcW w:w="280"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66B0229F" w14:textId="6D88BB4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PROCESOS CONSTITUTIVOS</w:t>
            </w:r>
          </w:p>
        </w:tc>
        <w:tc>
          <w:tcPr>
            <w:tcW w:w="1134" w:type="dxa"/>
            <w:tcBorders>
              <w:top w:val="nil"/>
              <w:left w:val="nil"/>
              <w:bottom w:val="single" w:sz="8" w:space="0" w:color="000000"/>
              <w:right w:val="nil"/>
            </w:tcBorders>
            <w:shd w:val="clear" w:color="000000" w:fill="FFF2CC"/>
            <w:vAlign w:val="center"/>
            <w:hideMark/>
          </w:tcPr>
          <w:p w14:paraId="0E2D0A9A" w14:textId="2D2F104F"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Elementos asociados al Li</w:t>
            </w:r>
            <w:r w:rsidRPr="000A6492">
              <w:rPr>
                <w:rFonts w:ascii="Arial" w:eastAsia="Times New Roman" w:hAnsi="Arial" w:cs="Arial"/>
                <w:color w:val="000000"/>
                <w:sz w:val="10"/>
                <w:szCs w:val="10"/>
                <w:lang w:eastAsia="es-PE"/>
              </w:rPr>
              <w:t xml:space="preserve"> (Sn, Ta, Cs, Nb, U)</w:t>
            </w:r>
            <w:r>
              <w:rPr>
                <w:rFonts w:ascii="Arial" w:eastAsia="Times New Roman" w:hAnsi="Arial" w:cs="Arial"/>
                <w:color w:val="000000"/>
                <w:sz w:val="10"/>
                <w:szCs w:val="10"/>
                <w:lang w:eastAsia="es-PE"/>
              </w:rPr>
              <w:t>.</w:t>
            </w:r>
          </w:p>
        </w:tc>
        <w:tc>
          <w:tcPr>
            <w:tcW w:w="284"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70FC6B71" w14:textId="5A4BA7D2"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ELEMENTOS OBJETIVO</w:t>
            </w:r>
          </w:p>
        </w:tc>
        <w:tc>
          <w:tcPr>
            <w:tcW w:w="992" w:type="dxa"/>
            <w:tcBorders>
              <w:top w:val="nil"/>
              <w:left w:val="nil"/>
              <w:bottom w:val="single" w:sz="8" w:space="0" w:color="000000"/>
              <w:right w:val="nil"/>
            </w:tcBorders>
            <w:shd w:val="clear" w:color="000000" w:fill="FFF2CC"/>
            <w:vAlign w:val="center"/>
            <w:hideMark/>
          </w:tcPr>
          <w:p w14:paraId="1EB2C26B" w14:textId="0191687E"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Whole rock geochemistry of Sn, Ta, Cs. Nb, U</w:t>
            </w:r>
            <w:r>
              <w:rPr>
                <w:rFonts w:ascii="Arial" w:eastAsia="Times New Roman" w:hAnsi="Arial" w:cs="Arial"/>
                <w:color w:val="000000"/>
                <w:sz w:val="10"/>
                <w:szCs w:val="10"/>
                <w:lang w:eastAsia="es-PE"/>
              </w:rPr>
              <w:t>.</w:t>
            </w:r>
          </w:p>
        </w:tc>
        <w:tc>
          <w:tcPr>
            <w:tcW w:w="567"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4AD939CB" w14:textId="1DF06B39"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hAnsi="Arial" w:cs="Arial"/>
                <w:b/>
                <w:bCs/>
                <w:sz w:val="10"/>
                <w:szCs w:val="10"/>
                <w:lang w:val="en-AU"/>
              </w:rPr>
              <w:t>CRITERIOS DE REPRESENTACIÓN DE ELEMENTOS OBJETIVO (</w:t>
            </w:r>
            <w:r w:rsidRPr="00FF76F7">
              <w:rPr>
                <w:rFonts w:ascii="Arial" w:hAnsi="Arial" w:cs="Arial"/>
                <w:b/>
                <w:bCs/>
                <w:i/>
                <w:iCs/>
                <w:sz w:val="10"/>
                <w:szCs w:val="10"/>
                <w:lang w:val="en-AU"/>
              </w:rPr>
              <w:t>mapas predictores</w:t>
            </w:r>
            <w:r>
              <w:rPr>
                <w:rFonts w:ascii="Arial" w:hAnsi="Arial" w:cs="Arial"/>
                <w:b/>
                <w:bCs/>
                <w:sz w:val="10"/>
                <w:szCs w:val="10"/>
                <w:lang w:val="en-AU"/>
              </w:rPr>
              <w:t>)</w:t>
            </w:r>
          </w:p>
        </w:tc>
        <w:tc>
          <w:tcPr>
            <w:tcW w:w="850" w:type="dxa"/>
            <w:tcBorders>
              <w:top w:val="nil"/>
              <w:left w:val="nil"/>
              <w:bottom w:val="single" w:sz="8" w:space="0" w:color="000000"/>
              <w:right w:val="single" w:sz="8" w:space="0" w:color="000000"/>
            </w:tcBorders>
            <w:shd w:val="clear" w:color="000000" w:fill="FFF2CC"/>
            <w:vAlign w:val="center"/>
            <w:hideMark/>
          </w:tcPr>
          <w:p w14:paraId="0A8B000F" w14:textId="16613E2B"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p99 </w:t>
            </w:r>
            <w:r w:rsidR="00C056E8">
              <w:rPr>
                <w:rFonts w:ascii="Arial" w:eastAsia="Times New Roman" w:hAnsi="Arial" w:cs="Arial"/>
                <w:color w:val="000000"/>
                <w:sz w:val="10"/>
                <w:szCs w:val="10"/>
                <w:lang w:eastAsia="es-PE"/>
              </w:rPr>
              <w:t xml:space="preserve">de geoquímica de </w:t>
            </w:r>
            <w:r w:rsidRPr="000A6492">
              <w:rPr>
                <w:rFonts w:ascii="Arial" w:eastAsia="Times New Roman" w:hAnsi="Arial" w:cs="Arial"/>
                <w:color w:val="000000"/>
                <w:sz w:val="10"/>
                <w:szCs w:val="10"/>
                <w:lang w:eastAsia="es-PE"/>
              </w:rPr>
              <w:t>Sn, Ta, Cs. Nb, U</w:t>
            </w:r>
            <w:r w:rsidR="00C056E8">
              <w:rPr>
                <w:rFonts w:ascii="Arial" w:eastAsia="Times New Roman" w:hAnsi="Arial" w:cs="Arial"/>
                <w:color w:val="000000"/>
                <w:sz w:val="10"/>
                <w:szCs w:val="10"/>
                <w:lang w:eastAsia="es-PE"/>
              </w:rPr>
              <w:t>.</w:t>
            </w:r>
          </w:p>
        </w:tc>
      </w:tr>
      <w:tr w:rsidR="00C056E8" w:rsidRPr="000A6492" w14:paraId="3FF88D9E" w14:textId="77777777" w:rsidTr="00682E3F">
        <w:trPr>
          <w:gridAfter w:val="1"/>
          <w:wAfter w:w="8634" w:type="dxa"/>
          <w:trHeight w:val="693"/>
        </w:trPr>
        <w:tc>
          <w:tcPr>
            <w:tcW w:w="284" w:type="dxa"/>
            <w:vMerge/>
            <w:tcBorders>
              <w:top w:val="single" w:sz="8" w:space="0" w:color="auto"/>
              <w:left w:val="single" w:sz="8" w:space="0" w:color="000000"/>
              <w:bottom w:val="nil"/>
              <w:right w:val="single" w:sz="8" w:space="0" w:color="000000"/>
            </w:tcBorders>
            <w:vAlign w:val="center"/>
            <w:hideMark/>
          </w:tcPr>
          <w:p w14:paraId="0DF23CAB"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tcBorders>
              <w:top w:val="nil"/>
              <w:left w:val="nil"/>
              <w:bottom w:val="single" w:sz="8" w:space="0" w:color="000000"/>
              <w:right w:val="nil"/>
            </w:tcBorders>
            <w:shd w:val="clear" w:color="000000" w:fill="EDEDED"/>
            <w:textDirection w:val="btLr"/>
            <w:vAlign w:val="center"/>
            <w:hideMark/>
          </w:tcPr>
          <w:p w14:paraId="210E2F56"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A</w:t>
            </w:r>
          </w:p>
        </w:tc>
        <w:tc>
          <w:tcPr>
            <w:tcW w:w="284" w:type="dxa"/>
            <w:vMerge/>
            <w:tcBorders>
              <w:top w:val="nil"/>
              <w:left w:val="single" w:sz="8" w:space="0" w:color="auto"/>
              <w:bottom w:val="single" w:sz="8" w:space="0" w:color="000000"/>
              <w:right w:val="single" w:sz="8" w:space="0" w:color="auto"/>
            </w:tcBorders>
            <w:vAlign w:val="center"/>
            <w:hideMark/>
          </w:tcPr>
          <w:p w14:paraId="383AA71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FF2CC"/>
            <w:vAlign w:val="center"/>
            <w:hideMark/>
          </w:tcPr>
          <w:p w14:paraId="3D292E0B" w14:textId="69B0894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Discontinuidades subverticales permitieron ascenso regional de magma mantélico máfico.</w:t>
            </w:r>
          </w:p>
        </w:tc>
        <w:tc>
          <w:tcPr>
            <w:tcW w:w="286" w:type="dxa"/>
            <w:vMerge/>
            <w:tcBorders>
              <w:top w:val="nil"/>
              <w:left w:val="single" w:sz="8" w:space="0" w:color="auto"/>
              <w:bottom w:val="single" w:sz="8" w:space="0" w:color="000000"/>
              <w:right w:val="single" w:sz="8" w:space="0" w:color="auto"/>
            </w:tcBorders>
            <w:vAlign w:val="center"/>
            <w:hideMark/>
          </w:tcPr>
          <w:p w14:paraId="6FD82C2B"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FF2CC"/>
            <w:vAlign w:val="center"/>
            <w:hideMark/>
          </w:tcPr>
          <w:p w14:paraId="53235519" w14:textId="48C2868C"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 xml:space="preserve">Falla translitosférica </w:t>
            </w:r>
            <w:r w:rsidRPr="000A6492">
              <w:rPr>
                <w:rFonts w:ascii="Arial" w:eastAsia="Times New Roman" w:hAnsi="Arial" w:cs="Arial"/>
                <w:color w:val="000000"/>
                <w:sz w:val="10"/>
                <w:szCs w:val="10"/>
                <w:lang w:eastAsia="es-PE"/>
              </w:rPr>
              <w:t>(</w:t>
            </w:r>
            <w:r>
              <w:rPr>
                <w:rFonts w:ascii="Arial" w:eastAsia="Times New Roman" w:hAnsi="Arial" w:cs="Arial"/>
                <w:color w:val="000000"/>
                <w:sz w:val="10"/>
                <w:szCs w:val="10"/>
                <w:lang w:eastAsia="es-PE"/>
              </w:rPr>
              <w:t>FTL</w:t>
            </w:r>
            <w:r w:rsidRPr="000A6492">
              <w:rPr>
                <w:rFonts w:ascii="Arial" w:eastAsia="Times New Roman" w:hAnsi="Arial" w:cs="Arial"/>
                <w:color w:val="000000"/>
                <w:sz w:val="10"/>
                <w:szCs w:val="10"/>
                <w:lang w:eastAsia="es-PE"/>
              </w:rPr>
              <w:t>) -(</w:t>
            </w:r>
            <w:r>
              <w:rPr>
                <w:rFonts w:ascii="Arial" w:eastAsia="Times New Roman" w:hAnsi="Arial" w:cs="Arial"/>
                <w:color w:val="000000"/>
                <w:sz w:val="10"/>
                <w:szCs w:val="10"/>
                <w:lang w:eastAsia="es-PE"/>
              </w:rPr>
              <w:t>SF-</w:t>
            </w:r>
            <w:r w:rsidRPr="000A6492">
              <w:rPr>
                <w:rFonts w:ascii="Arial" w:eastAsia="Times New Roman" w:hAnsi="Arial" w:cs="Arial"/>
                <w:color w:val="000000"/>
                <w:sz w:val="10"/>
                <w:szCs w:val="10"/>
                <w:lang w:eastAsia="es-PE"/>
              </w:rPr>
              <w:t>UUAC)</w:t>
            </w:r>
            <w:r>
              <w:rPr>
                <w:rFonts w:ascii="Arial" w:eastAsia="Times New Roman" w:hAnsi="Arial" w:cs="Arial"/>
                <w:color w:val="000000"/>
                <w:sz w:val="10"/>
                <w:szCs w:val="10"/>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0D847414"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FF2CC"/>
            <w:vAlign w:val="center"/>
            <w:hideMark/>
          </w:tcPr>
          <w:p w14:paraId="2D65EE7F" w14:textId="73476CA6"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 (60 km) </w:t>
            </w:r>
            <w:r>
              <w:rPr>
                <w:rFonts w:ascii="Arial" w:eastAsia="Times New Roman" w:hAnsi="Arial" w:cs="Arial"/>
                <w:color w:val="000000"/>
                <w:sz w:val="10"/>
                <w:szCs w:val="10"/>
                <w:lang w:eastAsia="es-PE"/>
              </w:rPr>
              <w:t xml:space="preserve">al </w:t>
            </w:r>
            <w:r w:rsidRPr="000A6492">
              <w:rPr>
                <w:rFonts w:ascii="Arial" w:eastAsia="Times New Roman" w:hAnsi="Arial" w:cs="Arial"/>
                <w:color w:val="000000"/>
                <w:sz w:val="10"/>
                <w:szCs w:val="10"/>
                <w:lang w:eastAsia="es-PE"/>
              </w:rPr>
              <w:t>(</w:t>
            </w:r>
            <w:r>
              <w:rPr>
                <w:rFonts w:ascii="Arial" w:eastAsia="Times New Roman" w:hAnsi="Arial" w:cs="Arial"/>
                <w:color w:val="000000"/>
                <w:sz w:val="10"/>
                <w:szCs w:val="10"/>
                <w:lang w:eastAsia="es-PE"/>
              </w:rPr>
              <w:t>SF-</w:t>
            </w:r>
            <w:r w:rsidRPr="000A6492">
              <w:rPr>
                <w:rFonts w:ascii="Arial" w:eastAsia="Times New Roman" w:hAnsi="Arial" w:cs="Arial"/>
                <w:color w:val="000000"/>
                <w:sz w:val="10"/>
                <w:szCs w:val="10"/>
                <w:lang w:eastAsia="es-PE"/>
              </w:rPr>
              <w:t>UUAC)</w:t>
            </w:r>
            <w:r>
              <w:rPr>
                <w:rFonts w:ascii="Arial" w:eastAsia="Times New Roman" w:hAnsi="Arial" w:cs="Arial"/>
                <w:color w:val="000000"/>
                <w:sz w:val="10"/>
                <w:szCs w:val="10"/>
                <w:lang w:eastAsia="es-PE"/>
              </w:rPr>
              <w:t>.</w:t>
            </w:r>
          </w:p>
        </w:tc>
        <w:tc>
          <w:tcPr>
            <w:tcW w:w="280" w:type="dxa"/>
            <w:vMerge/>
            <w:tcBorders>
              <w:top w:val="nil"/>
              <w:left w:val="single" w:sz="8" w:space="0" w:color="auto"/>
              <w:bottom w:val="single" w:sz="8" w:space="0" w:color="000000"/>
              <w:right w:val="single" w:sz="8" w:space="0" w:color="auto"/>
            </w:tcBorders>
            <w:vAlign w:val="center"/>
            <w:hideMark/>
          </w:tcPr>
          <w:p w14:paraId="3A7B3FB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tcBorders>
              <w:top w:val="nil"/>
              <w:left w:val="nil"/>
              <w:bottom w:val="single" w:sz="8" w:space="0" w:color="000000"/>
              <w:right w:val="nil"/>
            </w:tcBorders>
            <w:shd w:val="clear" w:color="000000" w:fill="FCE4D6"/>
            <w:vAlign w:val="center"/>
            <w:hideMark/>
          </w:tcPr>
          <w:p w14:paraId="25478D65" w14:textId="093FE52C"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Intersección de FTL con estructuras de debilidad de menor escala.</w:t>
            </w:r>
          </w:p>
        </w:tc>
        <w:tc>
          <w:tcPr>
            <w:tcW w:w="284" w:type="dxa"/>
            <w:vMerge/>
            <w:tcBorders>
              <w:top w:val="nil"/>
              <w:left w:val="single" w:sz="8" w:space="0" w:color="auto"/>
              <w:bottom w:val="single" w:sz="8" w:space="0" w:color="000000"/>
              <w:right w:val="single" w:sz="8" w:space="0" w:color="auto"/>
            </w:tcBorders>
            <w:vAlign w:val="center"/>
            <w:hideMark/>
          </w:tcPr>
          <w:p w14:paraId="45082D97"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992" w:type="dxa"/>
            <w:tcBorders>
              <w:top w:val="nil"/>
              <w:left w:val="nil"/>
              <w:bottom w:val="single" w:sz="8" w:space="0" w:color="auto"/>
              <w:right w:val="nil"/>
            </w:tcBorders>
            <w:shd w:val="clear" w:color="000000" w:fill="FCE4D6"/>
            <w:vAlign w:val="center"/>
            <w:hideMark/>
          </w:tcPr>
          <w:p w14:paraId="65C9C1C9" w14:textId="0743DF60"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(FTL) integrada con fallas y lineamientos de la CGN al 50k y 100k, así como lineamientos gravimétricos interpretados.</w:t>
            </w:r>
          </w:p>
        </w:tc>
        <w:tc>
          <w:tcPr>
            <w:tcW w:w="567" w:type="dxa"/>
            <w:vMerge/>
            <w:tcBorders>
              <w:top w:val="nil"/>
              <w:left w:val="single" w:sz="8" w:space="0" w:color="auto"/>
              <w:bottom w:val="single" w:sz="8" w:space="0" w:color="000000"/>
              <w:right w:val="single" w:sz="8" w:space="0" w:color="auto"/>
            </w:tcBorders>
            <w:vAlign w:val="center"/>
            <w:hideMark/>
          </w:tcPr>
          <w:p w14:paraId="081C2440"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tcBorders>
              <w:top w:val="nil"/>
              <w:left w:val="nil"/>
              <w:bottom w:val="single" w:sz="8" w:space="0" w:color="auto"/>
              <w:right w:val="single" w:sz="8" w:space="0" w:color="000000"/>
            </w:tcBorders>
            <w:shd w:val="clear" w:color="000000" w:fill="FCE4D6"/>
            <w:vAlign w:val="center"/>
            <w:hideMark/>
          </w:tcPr>
          <w:p w14:paraId="3AA751C4" w14:textId="6CEA7093"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Densidad de lineamientos.</w:t>
            </w:r>
          </w:p>
        </w:tc>
      </w:tr>
      <w:tr w:rsidR="00C056E8" w:rsidRPr="000A6492" w14:paraId="02897493" w14:textId="77777777" w:rsidTr="00682E3F">
        <w:trPr>
          <w:gridAfter w:val="1"/>
          <w:wAfter w:w="8634" w:type="dxa"/>
          <w:trHeight w:val="624"/>
        </w:trPr>
        <w:tc>
          <w:tcPr>
            <w:tcW w:w="284" w:type="dxa"/>
            <w:vMerge/>
            <w:tcBorders>
              <w:top w:val="single" w:sz="8" w:space="0" w:color="auto"/>
              <w:left w:val="single" w:sz="8" w:space="0" w:color="000000"/>
              <w:bottom w:val="nil"/>
              <w:right w:val="single" w:sz="8" w:space="0" w:color="000000"/>
            </w:tcBorders>
            <w:vAlign w:val="center"/>
            <w:hideMark/>
          </w:tcPr>
          <w:p w14:paraId="3D5DAFD4"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tcBorders>
              <w:top w:val="nil"/>
              <w:left w:val="single" w:sz="8" w:space="0" w:color="000000"/>
              <w:bottom w:val="single" w:sz="8" w:space="0" w:color="000000"/>
              <w:right w:val="nil"/>
            </w:tcBorders>
            <w:shd w:val="clear" w:color="000000" w:fill="EDEDED"/>
            <w:textDirection w:val="btLr"/>
            <w:vAlign w:val="center"/>
            <w:hideMark/>
          </w:tcPr>
          <w:p w14:paraId="4E2F3227"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G</w:t>
            </w:r>
          </w:p>
        </w:tc>
        <w:tc>
          <w:tcPr>
            <w:tcW w:w="284" w:type="dxa"/>
            <w:vMerge/>
            <w:tcBorders>
              <w:top w:val="nil"/>
              <w:left w:val="single" w:sz="8" w:space="0" w:color="auto"/>
              <w:bottom w:val="single" w:sz="8" w:space="0" w:color="000000"/>
              <w:right w:val="single" w:sz="8" w:space="0" w:color="auto"/>
            </w:tcBorders>
            <w:vAlign w:val="center"/>
            <w:hideMark/>
          </w:tcPr>
          <w:p w14:paraId="03A3EFB8"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43300863" w14:textId="348FD352"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Eventos magmáticos de origen mantélico que remobilicen Li.</w:t>
            </w:r>
          </w:p>
        </w:tc>
        <w:tc>
          <w:tcPr>
            <w:tcW w:w="286" w:type="dxa"/>
            <w:vMerge/>
            <w:tcBorders>
              <w:top w:val="nil"/>
              <w:left w:val="single" w:sz="8" w:space="0" w:color="auto"/>
              <w:bottom w:val="single" w:sz="8" w:space="0" w:color="000000"/>
              <w:right w:val="single" w:sz="8" w:space="0" w:color="auto"/>
            </w:tcBorders>
            <w:vAlign w:val="center"/>
            <w:hideMark/>
          </w:tcPr>
          <w:p w14:paraId="24BE8DB1"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CE4D6"/>
            <w:vAlign w:val="center"/>
            <w:hideMark/>
          </w:tcPr>
          <w:p w14:paraId="3D4E7CF8" w14:textId="46743DB8"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‘Mitu 240-180 Ma (’Mitu s.l.‘), Tacaza 30-0 Ma (’Tacaza’ s.l.). </w:t>
            </w:r>
            <w:r>
              <w:rPr>
                <w:rFonts w:ascii="Arial" w:eastAsia="Times New Roman" w:hAnsi="Arial" w:cs="Arial"/>
                <w:color w:val="000000"/>
                <w:sz w:val="10"/>
                <w:szCs w:val="10"/>
                <w:lang w:eastAsia="es-PE"/>
              </w:rPr>
              <w:t>y Neógeno (cubierto)</w:t>
            </w:r>
            <w:r w:rsidRPr="000A6492">
              <w:rPr>
                <w:rFonts w:ascii="Arial" w:eastAsia="Times New Roman" w:hAnsi="Arial" w:cs="Arial"/>
                <w:color w:val="000000"/>
                <w:sz w:val="10"/>
                <w:szCs w:val="10"/>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071CFC61"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tcBorders>
              <w:top w:val="nil"/>
              <w:left w:val="nil"/>
              <w:bottom w:val="single" w:sz="8" w:space="0" w:color="000000"/>
              <w:right w:val="nil"/>
            </w:tcBorders>
            <w:shd w:val="clear" w:color="000000" w:fill="FCE4D6"/>
            <w:vAlign w:val="center"/>
            <w:hideMark/>
          </w:tcPr>
          <w:p w14:paraId="7E0AD73F" w14:textId="162007D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(10 km) </w:t>
            </w:r>
            <w:r>
              <w:rPr>
                <w:rFonts w:ascii="Arial" w:eastAsia="Times New Roman" w:hAnsi="Arial" w:cs="Arial"/>
                <w:color w:val="000000"/>
                <w:sz w:val="10"/>
                <w:szCs w:val="10"/>
                <w:lang w:eastAsia="es-PE"/>
              </w:rPr>
              <w:t>a afloramientos.</w:t>
            </w:r>
          </w:p>
        </w:tc>
        <w:tc>
          <w:tcPr>
            <w:tcW w:w="280" w:type="dxa"/>
            <w:vMerge/>
            <w:tcBorders>
              <w:top w:val="nil"/>
              <w:left w:val="single" w:sz="8" w:space="0" w:color="auto"/>
              <w:bottom w:val="single" w:sz="8" w:space="0" w:color="000000"/>
              <w:right w:val="single" w:sz="8" w:space="0" w:color="auto"/>
            </w:tcBorders>
            <w:vAlign w:val="center"/>
            <w:hideMark/>
          </w:tcPr>
          <w:p w14:paraId="00F08D11"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tcBorders>
              <w:top w:val="nil"/>
              <w:left w:val="nil"/>
              <w:bottom w:val="single" w:sz="8" w:space="0" w:color="000000"/>
              <w:right w:val="nil"/>
            </w:tcBorders>
            <w:shd w:val="clear" w:color="000000" w:fill="FCE4D6"/>
            <w:vAlign w:val="center"/>
            <w:hideMark/>
          </w:tcPr>
          <w:p w14:paraId="27607E59" w14:textId="35BF5C2C"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Eventos de fusión cortical.</w:t>
            </w:r>
          </w:p>
        </w:tc>
        <w:tc>
          <w:tcPr>
            <w:tcW w:w="284" w:type="dxa"/>
            <w:vMerge/>
            <w:tcBorders>
              <w:top w:val="nil"/>
              <w:left w:val="single" w:sz="8" w:space="0" w:color="auto"/>
              <w:bottom w:val="single" w:sz="8" w:space="0" w:color="000000"/>
              <w:right w:val="single" w:sz="8" w:space="0" w:color="auto"/>
            </w:tcBorders>
            <w:vAlign w:val="center"/>
            <w:hideMark/>
          </w:tcPr>
          <w:p w14:paraId="3BDBE68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7E270E2F" w14:textId="0930D8C7"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Magmas félsicos peraluminosos a peraluminosos.</w:t>
            </w:r>
          </w:p>
        </w:tc>
        <w:tc>
          <w:tcPr>
            <w:tcW w:w="567" w:type="dxa"/>
            <w:vMerge/>
            <w:tcBorders>
              <w:top w:val="nil"/>
              <w:left w:val="single" w:sz="8" w:space="0" w:color="auto"/>
              <w:bottom w:val="single" w:sz="8" w:space="0" w:color="000000"/>
              <w:right w:val="single" w:sz="8" w:space="0" w:color="auto"/>
            </w:tcBorders>
            <w:vAlign w:val="center"/>
            <w:hideMark/>
          </w:tcPr>
          <w:p w14:paraId="3B581A75"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tcBorders>
              <w:top w:val="nil"/>
              <w:left w:val="nil"/>
              <w:bottom w:val="single" w:sz="8" w:space="0" w:color="000000"/>
              <w:right w:val="single" w:sz="8" w:space="0" w:color="000000"/>
            </w:tcBorders>
            <w:shd w:val="clear" w:color="000000" w:fill="FCE4D6"/>
            <w:vAlign w:val="center"/>
            <w:hideMark/>
          </w:tcPr>
          <w:p w14:paraId="3DFBDE3C" w14:textId="70AA6C5D"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(10 km) </w:t>
            </w:r>
            <w:r>
              <w:rPr>
                <w:rFonts w:ascii="Arial" w:eastAsia="Times New Roman" w:hAnsi="Arial" w:cs="Arial"/>
                <w:color w:val="000000"/>
                <w:sz w:val="10"/>
                <w:szCs w:val="10"/>
                <w:lang w:eastAsia="es-PE"/>
              </w:rPr>
              <w:t>a afloramientos.</w:t>
            </w:r>
          </w:p>
        </w:tc>
      </w:tr>
      <w:tr w:rsidR="00C056E8" w:rsidRPr="000A6492" w14:paraId="13E61109" w14:textId="77777777" w:rsidTr="00682E3F">
        <w:trPr>
          <w:gridAfter w:val="1"/>
          <w:wAfter w:w="8634" w:type="dxa"/>
          <w:trHeight w:val="750"/>
        </w:trPr>
        <w:tc>
          <w:tcPr>
            <w:tcW w:w="284" w:type="dxa"/>
            <w:vMerge/>
            <w:tcBorders>
              <w:top w:val="single" w:sz="8" w:space="0" w:color="auto"/>
              <w:left w:val="single" w:sz="8" w:space="0" w:color="000000"/>
              <w:bottom w:val="nil"/>
              <w:right w:val="single" w:sz="8" w:space="0" w:color="000000"/>
            </w:tcBorders>
            <w:vAlign w:val="center"/>
            <w:hideMark/>
          </w:tcPr>
          <w:p w14:paraId="6E49D788"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val="restart"/>
            <w:tcBorders>
              <w:top w:val="nil"/>
              <w:left w:val="single" w:sz="8" w:space="0" w:color="000000"/>
              <w:bottom w:val="single" w:sz="8" w:space="0" w:color="000000"/>
              <w:right w:val="nil"/>
            </w:tcBorders>
            <w:shd w:val="clear" w:color="000000" w:fill="EDEDED"/>
            <w:textDirection w:val="btLr"/>
            <w:vAlign w:val="center"/>
            <w:hideMark/>
          </w:tcPr>
          <w:p w14:paraId="21DE7C17"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F</w:t>
            </w:r>
          </w:p>
        </w:tc>
        <w:tc>
          <w:tcPr>
            <w:tcW w:w="284" w:type="dxa"/>
            <w:vMerge/>
            <w:tcBorders>
              <w:top w:val="nil"/>
              <w:left w:val="single" w:sz="8" w:space="0" w:color="auto"/>
              <w:bottom w:val="single" w:sz="8" w:space="0" w:color="000000"/>
              <w:right w:val="single" w:sz="8" w:space="0" w:color="auto"/>
            </w:tcBorders>
            <w:vAlign w:val="center"/>
            <w:hideMark/>
          </w:tcPr>
          <w:p w14:paraId="6F4B365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val="restart"/>
            <w:tcBorders>
              <w:top w:val="single" w:sz="8" w:space="0" w:color="000000"/>
              <w:left w:val="nil"/>
              <w:bottom w:val="single" w:sz="8" w:space="0" w:color="000000"/>
              <w:right w:val="nil"/>
            </w:tcBorders>
            <w:shd w:val="clear" w:color="000000" w:fill="FCE4D6"/>
            <w:vAlign w:val="center"/>
            <w:hideMark/>
          </w:tcPr>
          <w:p w14:paraId="3370024B" w14:textId="0CAAB8CC" w:rsidR="00293DE3" w:rsidRPr="000A6492" w:rsidRDefault="00293DE3" w:rsidP="00293DE3">
            <w:pPr>
              <w:widowControl w:val="0"/>
              <w:spacing w:after="0" w:line="240" w:lineRule="auto"/>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Enriquecimiento en litio en pegmatitas preexistentes.</w:t>
            </w:r>
          </w:p>
        </w:tc>
        <w:tc>
          <w:tcPr>
            <w:tcW w:w="286" w:type="dxa"/>
            <w:vMerge/>
            <w:tcBorders>
              <w:top w:val="nil"/>
              <w:left w:val="single" w:sz="8" w:space="0" w:color="auto"/>
              <w:bottom w:val="single" w:sz="8" w:space="0" w:color="000000"/>
              <w:right w:val="single" w:sz="8" w:space="0" w:color="auto"/>
            </w:tcBorders>
            <w:vAlign w:val="center"/>
            <w:hideMark/>
          </w:tcPr>
          <w:p w14:paraId="6B14BFB3"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vMerge w:val="restart"/>
            <w:tcBorders>
              <w:top w:val="nil"/>
              <w:left w:val="nil"/>
              <w:bottom w:val="single" w:sz="8" w:space="0" w:color="000000"/>
              <w:right w:val="nil"/>
            </w:tcBorders>
            <w:shd w:val="clear" w:color="000000" w:fill="FCE4D6"/>
            <w:vAlign w:val="center"/>
            <w:hideMark/>
          </w:tcPr>
          <w:p w14:paraId="160B28AC" w14:textId="7B280130"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Basamento metapelítico.</w:t>
            </w:r>
          </w:p>
        </w:tc>
        <w:tc>
          <w:tcPr>
            <w:tcW w:w="425" w:type="dxa"/>
            <w:vMerge/>
            <w:tcBorders>
              <w:top w:val="nil"/>
              <w:left w:val="single" w:sz="8" w:space="0" w:color="auto"/>
              <w:bottom w:val="single" w:sz="8" w:space="0" w:color="000000"/>
              <w:right w:val="single" w:sz="8" w:space="0" w:color="auto"/>
            </w:tcBorders>
            <w:vAlign w:val="center"/>
            <w:hideMark/>
          </w:tcPr>
          <w:p w14:paraId="4523FEAA"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val="restart"/>
            <w:tcBorders>
              <w:top w:val="nil"/>
              <w:left w:val="nil"/>
              <w:bottom w:val="single" w:sz="8" w:space="0" w:color="000000"/>
              <w:right w:val="nil"/>
            </w:tcBorders>
            <w:shd w:val="clear" w:color="000000" w:fill="FCE4D6"/>
            <w:vAlign w:val="center"/>
            <w:hideMark/>
          </w:tcPr>
          <w:p w14:paraId="10ED91BC" w14:textId="65D91CA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Gravimetría (bajos gravimétricos).</w:t>
            </w:r>
          </w:p>
        </w:tc>
        <w:tc>
          <w:tcPr>
            <w:tcW w:w="280" w:type="dxa"/>
            <w:vMerge/>
            <w:tcBorders>
              <w:top w:val="nil"/>
              <w:left w:val="single" w:sz="8" w:space="0" w:color="auto"/>
              <w:bottom w:val="single" w:sz="8" w:space="0" w:color="000000"/>
              <w:right w:val="single" w:sz="8" w:space="0" w:color="auto"/>
            </w:tcBorders>
            <w:vAlign w:val="center"/>
            <w:hideMark/>
          </w:tcPr>
          <w:p w14:paraId="04FC81D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val="restart"/>
            <w:tcBorders>
              <w:top w:val="nil"/>
              <w:left w:val="nil"/>
              <w:bottom w:val="single" w:sz="8" w:space="0" w:color="000000"/>
              <w:right w:val="nil"/>
            </w:tcBorders>
            <w:shd w:val="clear" w:color="000000" w:fill="FFF2CC"/>
            <w:vAlign w:val="center"/>
            <w:hideMark/>
          </w:tcPr>
          <w:p w14:paraId="660DAC7B" w14:textId="7FB45170" w:rsidR="00293DE3" w:rsidRPr="000A6492" w:rsidRDefault="00293DE3" w:rsidP="00293DE3">
            <w:pPr>
              <w:pStyle w:val="NormalWeb"/>
              <w:widowControl w:val="0"/>
              <w:spacing w:before="0" w:beforeAutospacing="0" w:after="0" w:afterAutospacing="0"/>
              <w:jc w:val="center"/>
              <w:rPr>
                <w:rFonts w:ascii="Arial" w:hAnsi="Arial" w:cs="Arial"/>
                <w:sz w:val="10"/>
                <w:szCs w:val="10"/>
                <w:lang w:val="en-AU"/>
              </w:rPr>
            </w:pPr>
            <w:r>
              <w:rPr>
                <w:rFonts w:ascii="Arial" w:hAnsi="Arial" w:cs="Arial"/>
                <w:sz w:val="10"/>
                <w:szCs w:val="10"/>
                <w:lang w:val="en-AU"/>
              </w:rPr>
              <w:t>Bloque mantélico al NE de la FTL SFUUAC tiene una edad TDM más antigua.  Las facies sedimentarias sugieren una profundización de la cuenca O – D desde el SO hasta el NE</w:t>
            </w:r>
            <w:r w:rsidRPr="000A6492">
              <w:rPr>
                <w:rFonts w:ascii="Arial" w:hAnsi="Arial" w:cs="Arial"/>
                <w:sz w:val="10"/>
                <w:szCs w:val="10"/>
                <w:lang w:val="en-AU"/>
              </w:rPr>
              <w:t>.</w:t>
            </w:r>
          </w:p>
        </w:tc>
        <w:tc>
          <w:tcPr>
            <w:tcW w:w="284" w:type="dxa"/>
            <w:vMerge/>
            <w:tcBorders>
              <w:top w:val="nil"/>
              <w:left w:val="single" w:sz="8" w:space="0" w:color="auto"/>
              <w:bottom w:val="single" w:sz="8" w:space="0" w:color="000000"/>
              <w:right w:val="single" w:sz="8" w:space="0" w:color="auto"/>
            </w:tcBorders>
            <w:vAlign w:val="center"/>
            <w:hideMark/>
          </w:tcPr>
          <w:p w14:paraId="359EDE4D"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992" w:type="dxa"/>
            <w:vMerge w:val="restart"/>
            <w:tcBorders>
              <w:top w:val="nil"/>
              <w:left w:val="nil"/>
              <w:bottom w:val="single" w:sz="8" w:space="0" w:color="000000"/>
              <w:right w:val="nil"/>
            </w:tcBorders>
            <w:shd w:val="clear" w:color="000000" w:fill="FFF2CC"/>
            <w:vAlign w:val="center"/>
            <w:hideMark/>
          </w:tcPr>
          <w:p w14:paraId="2AC2EDDD" w14:textId="31F8ED96"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Grosor incrementado del basamento metasedimentario.</w:t>
            </w:r>
          </w:p>
        </w:tc>
        <w:tc>
          <w:tcPr>
            <w:tcW w:w="567" w:type="dxa"/>
            <w:vMerge/>
            <w:tcBorders>
              <w:top w:val="nil"/>
              <w:left w:val="single" w:sz="8" w:space="0" w:color="auto"/>
              <w:bottom w:val="single" w:sz="8" w:space="0" w:color="000000"/>
              <w:right w:val="single" w:sz="8" w:space="0" w:color="auto"/>
            </w:tcBorders>
            <w:vAlign w:val="center"/>
            <w:hideMark/>
          </w:tcPr>
          <w:p w14:paraId="132C127A"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vMerge w:val="restart"/>
            <w:tcBorders>
              <w:top w:val="nil"/>
              <w:left w:val="nil"/>
              <w:bottom w:val="single" w:sz="8" w:space="0" w:color="000000"/>
              <w:right w:val="single" w:sz="8" w:space="0" w:color="000000"/>
            </w:tcBorders>
            <w:shd w:val="clear" w:color="000000" w:fill="FFF2CC"/>
            <w:vAlign w:val="center"/>
            <w:hideMark/>
          </w:tcPr>
          <w:p w14:paraId="1CCD87F9" w14:textId="606FE02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Gravimetría (bajos gravimétricos).</w:t>
            </w:r>
          </w:p>
        </w:tc>
      </w:tr>
      <w:tr w:rsidR="00C056E8" w:rsidRPr="000A6492" w14:paraId="780C2661" w14:textId="77777777" w:rsidTr="00682E3F">
        <w:trPr>
          <w:trHeight w:val="37"/>
        </w:trPr>
        <w:tc>
          <w:tcPr>
            <w:tcW w:w="284" w:type="dxa"/>
            <w:vMerge/>
            <w:tcBorders>
              <w:top w:val="single" w:sz="8" w:space="0" w:color="auto"/>
              <w:left w:val="single" w:sz="8" w:space="0" w:color="000000"/>
              <w:bottom w:val="nil"/>
              <w:right w:val="single" w:sz="8" w:space="0" w:color="000000"/>
            </w:tcBorders>
            <w:vAlign w:val="center"/>
            <w:hideMark/>
          </w:tcPr>
          <w:p w14:paraId="7C2834DF"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tcBorders>
              <w:top w:val="nil"/>
              <w:left w:val="single" w:sz="8" w:space="0" w:color="000000"/>
              <w:bottom w:val="single" w:sz="8" w:space="0" w:color="000000"/>
              <w:right w:val="nil"/>
            </w:tcBorders>
            <w:vAlign w:val="center"/>
            <w:hideMark/>
          </w:tcPr>
          <w:p w14:paraId="2D814E77"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4AC040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6623170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6" w:type="dxa"/>
            <w:vMerge/>
            <w:tcBorders>
              <w:top w:val="nil"/>
              <w:left w:val="single" w:sz="8" w:space="0" w:color="auto"/>
              <w:bottom w:val="single" w:sz="8" w:space="0" w:color="000000"/>
              <w:right w:val="single" w:sz="8" w:space="0" w:color="auto"/>
            </w:tcBorders>
            <w:vAlign w:val="center"/>
            <w:hideMark/>
          </w:tcPr>
          <w:p w14:paraId="6B37078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tcBorders>
              <w:top w:val="nil"/>
              <w:left w:val="nil"/>
              <w:bottom w:val="single" w:sz="8" w:space="0" w:color="000000"/>
              <w:right w:val="nil"/>
            </w:tcBorders>
            <w:vAlign w:val="center"/>
            <w:hideMark/>
          </w:tcPr>
          <w:p w14:paraId="3929021D"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425" w:type="dxa"/>
            <w:vMerge/>
            <w:tcBorders>
              <w:top w:val="nil"/>
              <w:left w:val="single" w:sz="8" w:space="0" w:color="auto"/>
              <w:bottom w:val="single" w:sz="8" w:space="0" w:color="000000"/>
              <w:right w:val="single" w:sz="8" w:space="0" w:color="auto"/>
            </w:tcBorders>
            <w:vAlign w:val="center"/>
            <w:hideMark/>
          </w:tcPr>
          <w:p w14:paraId="7542E960"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tcBorders>
              <w:top w:val="nil"/>
              <w:left w:val="nil"/>
              <w:bottom w:val="single" w:sz="8" w:space="0" w:color="000000"/>
              <w:right w:val="nil"/>
            </w:tcBorders>
            <w:vAlign w:val="center"/>
            <w:hideMark/>
          </w:tcPr>
          <w:p w14:paraId="22FFF5B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0" w:type="dxa"/>
            <w:vMerge/>
            <w:tcBorders>
              <w:top w:val="nil"/>
              <w:left w:val="single" w:sz="8" w:space="0" w:color="auto"/>
              <w:bottom w:val="single" w:sz="8" w:space="0" w:color="000000"/>
              <w:right w:val="single" w:sz="8" w:space="0" w:color="auto"/>
            </w:tcBorders>
            <w:vAlign w:val="center"/>
            <w:hideMark/>
          </w:tcPr>
          <w:p w14:paraId="508278C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tcBorders>
              <w:top w:val="nil"/>
              <w:left w:val="nil"/>
              <w:bottom w:val="single" w:sz="8" w:space="0" w:color="000000"/>
              <w:right w:val="nil"/>
            </w:tcBorders>
            <w:vAlign w:val="center"/>
            <w:hideMark/>
          </w:tcPr>
          <w:p w14:paraId="3860111B"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87D1618"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51C57607"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1F4DC62F"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0" w:type="dxa"/>
            <w:vMerge/>
            <w:tcBorders>
              <w:top w:val="nil"/>
              <w:left w:val="nil"/>
              <w:bottom w:val="single" w:sz="8" w:space="0" w:color="000000"/>
              <w:right w:val="single" w:sz="8" w:space="0" w:color="000000"/>
            </w:tcBorders>
            <w:vAlign w:val="center"/>
            <w:hideMark/>
          </w:tcPr>
          <w:p w14:paraId="05B8B22C"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634" w:type="dxa"/>
            <w:tcBorders>
              <w:top w:val="nil"/>
              <w:left w:val="nil"/>
              <w:bottom w:val="nil"/>
              <w:right w:val="nil"/>
            </w:tcBorders>
            <w:shd w:val="clear" w:color="auto" w:fill="auto"/>
            <w:noWrap/>
            <w:vAlign w:val="bottom"/>
            <w:hideMark/>
          </w:tcPr>
          <w:p w14:paraId="19980533"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p>
        </w:tc>
      </w:tr>
      <w:tr w:rsidR="00C056E8" w:rsidRPr="000A6492" w14:paraId="4A8908FE" w14:textId="77777777" w:rsidTr="00682E3F">
        <w:trPr>
          <w:trHeight w:val="555"/>
        </w:trPr>
        <w:tc>
          <w:tcPr>
            <w:tcW w:w="284" w:type="dxa"/>
            <w:vMerge/>
            <w:tcBorders>
              <w:top w:val="single" w:sz="8" w:space="0" w:color="auto"/>
              <w:left w:val="single" w:sz="8" w:space="0" w:color="000000"/>
              <w:bottom w:val="nil"/>
              <w:right w:val="single" w:sz="8" w:space="0" w:color="000000"/>
            </w:tcBorders>
            <w:vAlign w:val="center"/>
            <w:hideMark/>
          </w:tcPr>
          <w:p w14:paraId="05294191"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tcBorders>
              <w:top w:val="nil"/>
              <w:left w:val="single" w:sz="8" w:space="0" w:color="000000"/>
              <w:bottom w:val="single" w:sz="8" w:space="0" w:color="000000"/>
              <w:right w:val="nil"/>
            </w:tcBorders>
            <w:vAlign w:val="center"/>
            <w:hideMark/>
          </w:tcPr>
          <w:p w14:paraId="1AC50190"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12D9B96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45AA277D" w14:textId="0C8032F1"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Enriquecimiento en Li en unidades pelíticas.</w:t>
            </w:r>
          </w:p>
        </w:tc>
        <w:tc>
          <w:tcPr>
            <w:tcW w:w="286" w:type="dxa"/>
            <w:vMerge/>
            <w:tcBorders>
              <w:top w:val="nil"/>
              <w:left w:val="single" w:sz="8" w:space="0" w:color="auto"/>
              <w:bottom w:val="single" w:sz="8" w:space="0" w:color="000000"/>
              <w:right w:val="single" w:sz="8" w:space="0" w:color="auto"/>
            </w:tcBorders>
            <w:vAlign w:val="center"/>
            <w:hideMark/>
          </w:tcPr>
          <w:p w14:paraId="2BB9D169"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CE4D6"/>
            <w:vAlign w:val="center"/>
            <w:hideMark/>
          </w:tcPr>
          <w:p w14:paraId="12A36B4F" w14:textId="52394C11"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Unidades pelíticas paleozoicas.</w:t>
            </w:r>
          </w:p>
        </w:tc>
        <w:tc>
          <w:tcPr>
            <w:tcW w:w="425" w:type="dxa"/>
            <w:vMerge/>
            <w:tcBorders>
              <w:top w:val="nil"/>
              <w:left w:val="single" w:sz="8" w:space="0" w:color="auto"/>
              <w:bottom w:val="single" w:sz="8" w:space="0" w:color="000000"/>
              <w:right w:val="single" w:sz="8" w:space="0" w:color="auto"/>
            </w:tcBorders>
            <w:vAlign w:val="center"/>
            <w:hideMark/>
          </w:tcPr>
          <w:p w14:paraId="2258781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tcBorders>
              <w:top w:val="nil"/>
              <w:left w:val="nil"/>
              <w:bottom w:val="single" w:sz="8" w:space="0" w:color="000000"/>
              <w:right w:val="nil"/>
            </w:tcBorders>
            <w:shd w:val="clear" w:color="000000" w:fill="FCE4D6"/>
            <w:vAlign w:val="center"/>
            <w:hideMark/>
          </w:tcPr>
          <w:p w14:paraId="3703BB49" w14:textId="552D9EFE"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(10 km)</w:t>
            </w:r>
            <w:r>
              <w:rPr>
                <w:rFonts w:ascii="Arial" w:eastAsia="Times New Roman" w:hAnsi="Arial" w:cs="Arial"/>
                <w:color w:val="000000"/>
                <w:sz w:val="10"/>
                <w:szCs w:val="10"/>
                <w:lang w:eastAsia="es-PE"/>
              </w:rPr>
              <w:t xml:space="preserve"> a afloramientos.</w:t>
            </w:r>
          </w:p>
        </w:tc>
        <w:tc>
          <w:tcPr>
            <w:tcW w:w="280" w:type="dxa"/>
            <w:vMerge/>
            <w:tcBorders>
              <w:top w:val="nil"/>
              <w:left w:val="single" w:sz="8" w:space="0" w:color="auto"/>
              <w:bottom w:val="single" w:sz="8" w:space="0" w:color="000000"/>
              <w:right w:val="single" w:sz="8" w:space="0" w:color="auto"/>
            </w:tcBorders>
            <w:vAlign w:val="center"/>
            <w:hideMark/>
          </w:tcPr>
          <w:p w14:paraId="2534AA7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tcBorders>
              <w:top w:val="nil"/>
              <w:left w:val="nil"/>
              <w:bottom w:val="single" w:sz="8" w:space="0" w:color="000000"/>
              <w:right w:val="nil"/>
            </w:tcBorders>
            <w:vAlign w:val="center"/>
            <w:hideMark/>
          </w:tcPr>
          <w:p w14:paraId="707BC9D4"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7FAB1DD"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47866232"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0971FC1F"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0" w:type="dxa"/>
            <w:vMerge/>
            <w:tcBorders>
              <w:top w:val="nil"/>
              <w:left w:val="nil"/>
              <w:bottom w:val="single" w:sz="8" w:space="0" w:color="000000"/>
              <w:right w:val="single" w:sz="8" w:space="0" w:color="000000"/>
            </w:tcBorders>
            <w:vAlign w:val="center"/>
            <w:hideMark/>
          </w:tcPr>
          <w:p w14:paraId="74E1F09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634" w:type="dxa"/>
            <w:vAlign w:val="center"/>
            <w:hideMark/>
          </w:tcPr>
          <w:p w14:paraId="1AD723E7" w14:textId="77777777" w:rsidR="00293DE3" w:rsidRPr="000A6492" w:rsidRDefault="00293DE3" w:rsidP="00293DE3">
            <w:pPr>
              <w:widowControl w:val="0"/>
              <w:spacing w:after="0" w:line="240" w:lineRule="auto"/>
              <w:rPr>
                <w:rFonts w:ascii="Arial" w:eastAsia="Times New Roman" w:hAnsi="Arial" w:cs="Arial"/>
                <w:sz w:val="10"/>
                <w:szCs w:val="10"/>
                <w:lang w:eastAsia="es-PE"/>
              </w:rPr>
            </w:pPr>
          </w:p>
        </w:tc>
      </w:tr>
    </w:tbl>
    <w:bookmarkEnd w:id="1"/>
    <w:p w14:paraId="43A60608" w14:textId="64C9344E" w:rsidR="000A6492" w:rsidRPr="00AC36B6" w:rsidRDefault="00C50E9B" w:rsidP="00AC36B6">
      <w:pPr>
        <w:jc w:val="both"/>
        <w:rPr>
          <w:rFonts w:ascii="Arial" w:hAnsi="Arial" w:cs="Arial"/>
          <w:noProof/>
        </w:rPr>
      </w:pPr>
      <w:r>
        <w:rPr>
          <w:rFonts w:ascii="Arial" w:hAnsi="Arial" w:cs="Arial"/>
          <w:noProof/>
        </w:rPr>
        <w:t>Tras integrar con algoritmos de IA, como el random forest y las redes neuronales artificiales, se obtuvieron mapas de prospectividad mineral, los cuales muestran diferentes desempeños en su capacidad de vectorizar nuevas áreas favorables por mineralización de Li.</w:t>
      </w:r>
    </w:p>
    <w:p w14:paraId="2FAD4F8B" w14:textId="63C66D69" w:rsidR="00C50E9B" w:rsidRDefault="00C50E9B" w:rsidP="00C50E9B">
      <w:pPr>
        <w:keepNext/>
        <w:tabs>
          <w:tab w:val="left" w:pos="2825"/>
        </w:tabs>
        <w:jc w:val="center"/>
      </w:pPr>
      <w:r>
        <w:rPr>
          <w:rFonts w:ascii="Times New Roman" w:hAnsi="Times New Roman"/>
          <w:noProof/>
        </w:rPr>
        <w:drawing>
          <wp:inline distT="0" distB="0" distL="0" distR="0" wp14:anchorId="4E603773" wp14:editId="06793BC7">
            <wp:extent cx="5400040" cy="2928216"/>
            <wp:effectExtent l="0" t="0" r="0" b="5715"/>
            <wp:docPr id="4429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1418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400040" cy="2928216"/>
                    </a:xfrm>
                    <a:prstGeom prst="rect">
                      <a:avLst/>
                    </a:prstGeom>
                  </pic:spPr>
                </pic:pic>
              </a:graphicData>
            </a:graphic>
          </wp:inline>
        </w:drawing>
      </w:r>
    </w:p>
    <w:p w14:paraId="365614C3" w14:textId="30D84B0F" w:rsidR="000A6492" w:rsidRPr="00C50E9B" w:rsidRDefault="00C50E9B" w:rsidP="00C50E9B">
      <w:pPr>
        <w:pStyle w:val="Descripcin"/>
        <w:jc w:val="center"/>
        <w:rPr>
          <w:rFonts w:ascii="Arial" w:hAnsi="Arial" w:cs="Arial"/>
          <w:i w:val="0"/>
          <w:iCs w:val="0"/>
          <w:noProof/>
          <w:color w:val="auto"/>
        </w:rPr>
      </w:pPr>
      <w:r w:rsidRPr="00C50E9B">
        <w:rPr>
          <w:rFonts w:ascii="Arial" w:hAnsi="Arial" w:cs="Arial"/>
          <w:i w:val="0"/>
          <w:iCs w:val="0"/>
          <w:color w:val="auto"/>
        </w:rPr>
        <w:t xml:space="preserve">Figura </w:t>
      </w:r>
      <w:r w:rsidRPr="00C50E9B">
        <w:rPr>
          <w:rFonts w:ascii="Arial" w:hAnsi="Arial" w:cs="Arial"/>
          <w:i w:val="0"/>
          <w:iCs w:val="0"/>
          <w:color w:val="auto"/>
        </w:rPr>
        <w:fldChar w:fldCharType="begin"/>
      </w:r>
      <w:r w:rsidRPr="00C50E9B">
        <w:rPr>
          <w:rFonts w:ascii="Arial" w:hAnsi="Arial" w:cs="Arial"/>
          <w:i w:val="0"/>
          <w:iCs w:val="0"/>
          <w:color w:val="auto"/>
        </w:rPr>
        <w:instrText xml:space="preserve"> SEQ Figura \* ARABIC </w:instrText>
      </w:r>
      <w:r w:rsidRPr="00C50E9B">
        <w:rPr>
          <w:rFonts w:ascii="Arial" w:hAnsi="Arial" w:cs="Arial"/>
          <w:i w:val="0"/>
          <w:iCs w:val="0"/>
          <w:color w:val="auto"/>
        </w:rPr>
        <w:fldChar w:fldCharType="separate"/>
      </w:r>
      <w:r w:rsidRPr="00C50E9B">
        <w:rPr>
          <w:rFonts w:ascii="Arial" w:hAnsi="Arial" w:cs="Arial"/>
          <w:i w:val="0"/>
          <w:iCs w:val="0"/>
          <w:noProof/>
          <w:color w:val="auto"/>
        </w:rPr>
        <w:t>2</w:t>
      </w:r>
      <w:r w:rsidRPr="00C50E9B">
        <w:rPr>
          <w:rFonts w:ascii="Arial" w:hAnsi="Arial" w:cs="Arial"/>
          <w:i w:val="0"/>
          <w:iCs w:val="0"/>
          <w:color w:val="auto"/>
        </w:rPr>
        <w:fldChar w:fldCharType="end"/>
      </w:r>
      <w:r w:rsidRPr="00C50E9B">
        <w:rPr>
          <w:rFonts w:ascii="Arial" w:hAnsi="Arial" w:cs="Arial"/>
          <w:i w:val="0"/>
          <w:iCs w:val="0"/>
          <w:color w:val="auto"/>
        </w:rPr>
        <w:t xml:space="preserve"> Mapa</w:t>
      </w:r>
      <w:r>
        <w:rPr>
          <w:rFonts w:ascii="Arial" w:hAnsi="Arial" w:cs="Arial"/>
          <w:i w:val="0"/>
          <w:iCs w:val="0"/>
          <w:color w:val="auto"/>
        </w:rPr>
        <w:t>s</w:t>
      </w:r>
      <w:r w:rsidRPr="00C50E9B">
        <w:rPr>
          <w:rFonts w:ascii="Arial" w:hAnsi="Arial" w:cs="Arial"/>
          <w:i w:val="0"/>
          <w:iCs w:val="0"/>
          <w:color w:val="auto"/>
        </w:rPr>
        <w:t xml:space="preserve"> de prospectividad mineral provincial</w:t>
      </w:r>
      <w:r>
        <w:rPr>
          <w:rFonts w:ascii="Arial" w:hAnsi="Arial" w:cs="Arial"/>
          <w:i w:val="0"/>
          <w:iCs w:val="0"/>
          <w:color w:val="auto"/>
        </w:rPr>
        <w:t>es</w:t>
      </w:r>
      <w:r w:rsidRPr="00C50E9B">
        <w:rPr>
          <w:rFonts w:ascii="Arial" w:hAnsi="Arial" w:cs="Arial"/>
          <w:i w:val="0"/>
          <w:iCs w:val="0"/>
          <w:color w:val="auto"/>
        </w:rPr>
        <w:t xml:space="preserve"> obtenido</w:t>
      </w:r>
      <w:r>
        <w:rPr>
          <w:rFonts w:ascii="Arial" w:hAnsi="Arial" w:cs="Arial"/>
          <w:i w:val="0"/>
          <w:iCs w:val="0"/>
          <w:color w:val="auto"/>
        </w:rPr>
        <w:t>s</w:t>
      </w:r>
      <w:r w:rsidRPr="00C50E9B">
        <w:rPr>
          <w:rFonts w:ascii="Arial" w:hAnsi="Arial" w:cs="Arial"/>
          <w:i w:val="0"/>
          <w:iCs w:val="0"/>
          <w:color w:val="auto"/>
        </w:rPr>
        <w:t xml:space="preserve"> por </w:t>
      </w:r>
      <w:r>
        <w:rPr>
          <w:rFonts w:ascii="Arial" w:hAnsi="Arial" w:cs="Arial"/>
          <w:i w:val="0"/>
          <w:iCs w:val="0"/>
          <w:color w:val="auto"/>
        </w:rPr>
        <w:t>los algoritmos de random forest (izquierda) y r</w:t>
      </w:r>
      <w:r w:rsidRPr="00C50E9B">
        <w:rPr>
          <w:rFonts w:ascii="Arial" w:hAnsi="Arial" w:cs="Arial"/>
          <w:i w:val="0"/>
          <w:iCs w:val="0"/>
          <w:color w:val="auto"/>
        </w:rPr>
        <w:t xml:space="preserve">edes neuronales artificiales de perceptrón multicapa </w:t>
      </w:r>
      <w:r>
        <w:rPr>
          <w:rFonts w:ascii="Arial" w:hAnsi="Arial" w:cs="Arial"/>
          <w:i w:val="0"/>
          <w:iCs w:val="0"/>
          <w:color w:val="auto"/>
        </w:rPr>
        <w:t xml:space="preserve">(derecha) </w:t>
      </w:r>
      <w:r w:rsidRPr="00C50E9B">
        <w:rPr>
          <w:rFonts w:ascii="Arial" w:hAnsi="Arial" w:cs="Arial"/>
          <w:i w:val="0"/>
          <w:iCs w:val="0"/>
          <w:color w:val="auto"/>
        </w:rPr>
        <w:t>para el sistema mineral de Li asociado a magmatismo peraluminoso.</w:t>
      </w:r>
    </w:p>
    <w:p w14:paraId="1ED23997" w14:textId="356D2FE9" w:rsidR="0066165F" w:rsidRPr="00DD3BC6" w:rsidRDefault="00DD3BC6" w:rsidP="0066165F">
      <w:pPr>
        <w:jc w:val="both"/>
        <w:rPr>
          <w:rFonts w:ascii="Arial" w:hAnsi="Arial" w:cs="Arial"/>
        </w:rPr>
      </w:pPr>
      <w:r w:rsidRPr="00DD3BC6">
        <w:rPr>
          <w:rFonts w:ascii="Arial" w:hAnsi="Arial" w:cs="Arial"/>
          <w:b/>
          <w:bCs/>
        </w:rPr>
        <w:t>Conclusiones.</w:t>
      </w:r>
      <w:r>
        <w:rPr>
          <w:rFonts w:ascii="Arial" w:hAnsi="Arial" w:cs="Arial"/>
        </w:rPr>
        <w:t xml:space="preserve"> </w:t>
      </w:r>
      <w:r>
        <w:rPr>
          <w:rFonts w:ascii="Arial" w:hAnsi="Arial" w:cs="Arial"/>
        </w:rPr>
        <w:t xml:space="preserve">Para reportar la presencia de potenciales subproductos en minas y proyectos, asó como si dustribución, </w:t>
      </w:r>
      <w:r w:rsidRPr="00DD3BC6">
        <w:rPr>
          <w:rFonts w:ascii="Arial" w:hAnsi="Arial" w:cs="Arial"/>
        </w:rPr>
        <w:t xml:space="preserve">como el cobalto en pirita, </w:t>
      </w:r>
      <w:r>
        <w:rPr>
          <w:rFonts w:ascii="Arial" w:hAnsi="Arial" w:cs="Arial"/>
        </w:rPr>
        <w:t xml:space="preserve">se </w:t>
      </w:r>
      <w:r w:rsidRPr="00DD3BC6">
        <w:rPr>
          <w:rFonts w:ascii="Arial" w:hAnsi="Arial" w:cs="Arial"/>
        </w:rPr>
        <w:t>requieren estudios especializados</w:t>
      </w:r>
      <w:r>
        <w:rPr>
          <w:rFonts w:ascii="Arial" w:hAnsi="Arial" w:cs="Arial"/>
        </w:rPr>
        <w:t xml:space="preserve">, </w:t>
      </w:r>
      <w:r w:rsidR="0066165F">
        <w:rPr>
          <w:rFonts w:ascii="Arial" w:hAnsi="Arial" w:cs="Arial"/>
        </w:rPr>
        <w:t>como la geoquímica mineral, l</w:t>
      </w:r>
      <w:r>
        <w:rPr>
          <w:rFonts w:ascii="Arial" w:hAnsi="Arial" w:cs="Arial"/>
        </w:rPr>
        <w:t>os cuales serán de utilidad para decisiones metalúrgicas</w:t>
      </w:r>
      <w:r w:rsidR="0066165F">
        <w:rPr>
          <w:rFonts w:ascii="Arial" w:hAnsi="Arial" w:cs="Arial"/>
        </w:rPr>
        <w:t>, ya que estos pueden pasar desapercibidos o no considerados en anális geoquímicos de roca total</w:t>
      </w:r>
      <w:r w:rsidRPr="00DD3BC6">
        <w:rPr>
          <w:rFonts w:ascii="Arial" w:hAnsi="Arial" w:cs="Arial"/>
        </w:rPr>
        <w:t>. Casos como Raúl Condestable validan este enfoque</w:t>
      </w:r>
      <w:r w:rsidR="0066165F">
        <w:rPr>
          <w:rFonts w:ascii="Arial" w:hAnsi="Arial" w:cs="Arial"/>
        </w:rPr>
        <w:t>, en la cual se han encontrado</w:t>
      </w:r>
      <w:r w:rsidR="0066165F" w:rsidRPr="0066165F">
        <w:rPr>
          <w:rFonts w:ascii="Arial" w:hAnsi="Arial" w:cs="Arial"/>
        </w:rPr>
        <w:t xml:space="preserve"> contenidos significativos de Co como subproducto en piritas, especialmente en sectores profundos, asociados a fluidos hidrotermales calientes y salinos</w:t>
      </w:r>
      <w:r>
        <w:rPr>
          <w:rFonts w:ascii="Arial" w:hAnsi="Arial" w:cs="Arial"/>
        </w:rPr>
        <w:t xml:space="preserve"> Para la búsqueda de nuevas áreas prospectivas por minerañes críticos, </w:t>
      </w:r>
      <w:r w:rsidR="0066165F">
        <w:rPr>
          <w:rFonts w:ascii="Arial" w:hAnsi="Arial" w:cs="Arial"/>
        </w:rPr>
        <w:t>e</w:t>
      </w:r>
      <w:r w:rsidR="0066165F" w:rsidRPr="0066165F">
        <w:rPr>
          <w:rFonts w:ascii="Arial" w:hAnsi="Arial" w:cs="Arial"/>
        </w:rPr>
        <w:t>l Perú posee un gran potencial geológico para minerales críticos, especialmente en la cordillera oriental, una región aún poco explorada y con condiciones geológicas propicias para depósitos de litio, uranio, entre otros elementos estratégicos.</w:t>
      </w:r>
      <w:r w:rsidR="0066165F">
        <w:rPr>
          <w:rFonts w:ascii="Arial" w:hAnsi="Arial" w:cs="Arial"/>
        </w:rPr>
        <w:t xml:space="preserve"> </w:t>
      </w:r>
      <w:r w:rsidR="0066165F" w:rsidRPr="0066165F">
        <w:rPr>
          <w:rFonts w:ascii="Arial" w:hAnsi="Arial" w:cs="Arial"/>
        </w:rPr>
        <w:t>La combinación del enfoque de Sistemas Minerales (SM) con técnicas de Inteligencia Artificial (IA) permite identificar nuevas áreas prospectivas para minerales críticos</w:t>
      </w:r>
      <w:r w:rsidR="0066165F">
        <w:rPr>
          <w:rFonts w:ascii="Arial" w:hAnsi="Arial" w:cs="Arial"/>
        </w:rPr>
        <w:t>, presentando posibilidades para extender la exploración más allá de las franjas metalogenéticas conocidas y con una mejor delimitación de áreas de interés</w:t>
      </w:r>
      <w:r w:rsidR="0066165F" w:rsidRPr="0066165F">
        <w:rPr>
          <w:rFonts w:ascii="Arial" w:hAnsi="Arial" w:cs="Arial"/>
        </w:rPr>
        <w:t xml:space="preserve">, </w:t>
      </w:r>
      <w:r w:rsidR="0066165F">
        <w:rPr>
          <w:rFonts w:ascii="Arial" w:hAnsi="Arial" w:cs="Arial"/>
        </w:rPr>
        <w:t xml:space="preserve">como el caso presentado respecto a litio en el sureste del Perú, revelándose nuevas áreas prospectivas. </w:t>
      </w:r>
      <w:r w:rsidR="0066165F" w:rsidRPr="0066165F">
        <w:rPr>
          <w:rFonts w:ascii="Arial" w:hAnsi="Arial" w:cs="Arial"/>
        </w:rPr>
        <w:t xml:space="preserve">Este enfoque deductivo facilita </w:t>
      </w:r>
      <w:r w:rsidR="0066165F">
        <w:rPr>
          <w:rFonts w:ascii="Arial" w:hAnsi="Arial" w:cs="Arial"/>
        </w:rPr>
        <w:t xml:space="preserve">también </w:t>
      </w:r>
      <w:r w:rsidR="0066165F" w:rsidRPr="0066165F">
        <w:rPr>
          <w:rFonts w:ascii="Arial" w:hAnsi="Arial" w:cs="Arial"/>
        </w:rPr>
        <w:t>la predicción de depósitos ocultos</w:t>
      </w:r>
      <w:r w:rsidR="0066165F">
        <w:rPr>
          <w:rFonts w:ascii="Arial" w:hAnsi="Arial" w:cs="Arial"/>
        </w:rPr>
        <w:t xml:space="preserve"> </w:t>
      </w:r>
      <w:r w:rsidR="0066165F" w:rsidRPr="0066165F">
        <w:rPr>
          <w:rFonts w:ascii="Arial" w:hAnsi="Arial" w:cs="Arial"/>
        </w:rPr>
        <w:t>incluso en ausencia de evidencias directas de mineralización.</w:t>
      </w:r>
    </w:p>
    <w:sectPr w:rsidR="0066165F" w:rsidRPr="00DD3B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85"/>
    <w:rsid w:val="0000470A"/>
    <w:rsid w:val="0002024E"/>
    <w:rsid w:val="00044ACE"/>
    <w:rsid w:val="000A6492"/>
    <w:rsid w:val="000A707B"/>
    <w:rsid w:val="001C1155"/>
    <w:rsid w:val="001C6DD5"/>
    <w:rsid w:val="001D00CE"/>
    <w:rsid w:val="0020117F"/>
    <w:rsid w:val="0020397B"/>
    <w:rsid w:val="00293DE3"/>
    <w:rsid w:val="002E4738"/>
    <w:rsid w:val="003025F2"/>
    <w:rsid w:val="00360285"/>
    <w:rsid w:val="00437ECD"/>
    <w:rsid w:val="0049549B"/>
    <w:rsid w:val="004F50C1"/>
    <w:rsid w:val="00516DF1"/>
    <w:rsid w:val="0055456F"/>
    <w:rsid w:val="005562C4"/>
    <w:rsid w:val="00596C6E"/>
    <w:rsid w:val="005F3A6C"/>
    <w:rsid w:val="006211FD"/>
    <w:rsid w:val="00621DCA"/>
    <w:rsid w:val="00631E20"/>
    <w:rsid w:val="0066165F"/>
    <w:rsid w:val="00682E3F"/>
    <w:rsid w:val="006A3E3E"/>
    <w:rsid w:val="006C0F37"/>
    <w:rsid w:val="0073337B"/>
    <w:rsid w:val="0076577A"/>
    <w:rsid w:val="007769BC"/>
    <w:rsid w:val="007F0FFA"/>
    <w:rsid w:val="00803E60"/>
    <w:rsid w:val="00810CF6"/>
    <w:rsid w:val="00813AA6"/>
    <w:rsid w:val="00852137"/>
    <w:rsid w:val="008B1EB1"/>
    <w:rsid w:val="00977B78"/>
    <w:rsid w:val="00A64E7E"/>
    <w:rsid w:val="00A839CB"/>
    <w:rsid w:val="00AA1147"/>
    <w:rsid w:val="00AC36B6"/>
    <w:rsid w:val="00B25EB1"/>
    <w:rsid w:val="00B737CB"/>
    <w:rsid w:val="00B73E3B"/>
    <w:rsid w:val="00C056E8"/>
    <w:rsid w:val="00C24638"/>
    <w:rsid w:val="00C50E9B"/>
    <w:rsid w:val="00C742E3"/>
    <w:rsid w:val="00CD2204"/>
    <w:rsid w:val="00D44D65"/>
    <w:rsid w:val="00D8595C"/>
    <w:rsid w:val="00DD3BC6"/>
    <w:rsid w:val="00DD668E"/>
    <w:rsid w:val="00EF243A"/>
    <w:rsid w:val="00EF604C"/>
    <w:rsid w:val="00F63EC6"/>
    <w:rsid w:val="00FB3569"/>
    <w:rsid w:val="00FC79E1"/>
    <w:rsid w:val="00FF76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37DB"/>
  <w15:chartTrackingRefBased/>
  <w15:docId w15:val="{C6A42480-27FF-46BB-A8EB-C402788B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5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742E3"/>
    <w:rPr>
      <w:color w:val="0563C1" w:themeColor="hyperlink"/>
      <w:u w:val="single"/>
    </w:rPr>
  </w:style>
  <w:style w:type="character" w:styleId="Mencinsinresolver">
    <w:name w:val="Unresolved Mention"/>
    <w:basedOn w:val="Fuentedeprrafopredeter"/>
    <w:uiPriority w:val="99"/>
    <w:semiHidden/>
    <w:unhideWhenUsed/>
    <w:rsid w:val="00C742E3"/>
    <w:rPr>
      <w:color w:val="605E5C"/>
      <w:shd w:val="clear" w:color="auto" w:fill="E1DFDD"/>
    </w:rPr>
  </w:style>
  <w:style w:type="paragraph" w:styleId="NormalWeb">
    <w:name w:val="Normal (Web)"/>
    <w:basedOn w:val="Normal"/>
    <w:uiPriority w:val="99"/>
    <w:unhideWhenUsed/>
    <w:rsid w:val="000A649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Descripcin">
    <w:name w:val="caption"/>
    <w:basedOn w:val="Normal"/>
    <w:next w:val="Normal"/>
    <w:uiPriority w:val="35"/>
    <w:unhideWhenUsed/>
    <w:qFormat/>
    <w:rsid w:val="00C50E9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443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1385A-30C6-4AE4-94DA-76D0F7991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1436</Words>
  <Characters>7901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Arturo Marchena Campos</dc:creator>
  <cp:keywords/>
  <dc:description/>
  <cp:lastModifiedBy>Alonso Arturo Marchena Campos</cp:lastModifiedBy>
  <cp:revision>5</cp:revision>
  <dcterms:created xsi:type="dcterms:W3CDTF">2025-04-04T16:54:00Z</dcterms:created>
  <dcterms:modified xsi:type="dcterms:W3CDTF">2025-04-04T16:54:00Z</dcterms:modified>
</cp:coreProperties>
</file>