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918F" w14:textId="2C39F2F6" w:rsidR="000D327F" w:rsidRDefault="00327027" w:rsidP="00D34E61">
      <w:pPr>
        <w:ind w:left="-426" w:right="330"/>
        <w:rPr>
          <w:rFonts w:ascii="Arial" w:hAnsi="Arial" w:cs="Arial"/>
          <w:b/>
          <w:bCs/>
          <w:sz w:val="22"/>
          <w:szCs w:val="22"/>
        </w:rPr>
      </w:pPr>
      <w:r w:rsidRPr="004C3E4B">
        <w:rPr>
          <w:rFonts w:ascii="Arial" w:hAnsi="Arial" w:cs="Arial"/>
          <w:b/>
          <w:bCs/>
          <w:sz w:val="22"/>
          <w:szCs w:val="22"/>
        </w:rPr>
        <w:t>RESUMEN</w:t>
      </w:r>
    </w:p>
    <w:p w14:paraId="2AB59F7A" w14:textId="77777777" w:rsidR="00D71C12" w:rsidRDefault="00D71C12" w:rsidP="00DD0609">
      <w:pPr>
        <w:spacing w:line="360" w:lineRule="auto"/>
        <w:ind w:left="-426" w:right="-25"/>
        <w:jc w:val="both"/>
        <w:rPr>
          <w:rFonts w:ascii="Arial" w:hAnsi="Arial" w:cs="Arial"/>
          <w:sz w:val="22"/>
          <w:szCs w:val="22"/>
        </w:rPr>
      </w:pPr>
      <w:r w:rsidRPr="00D71C12">
        <w:rPr>
          <w:rFonts w:ascii="Arial" w:hAnsi="Arial" w:cs="Arial"/>
          <w:sz w:val="22"/>
          <w:szCs w:val="22"/>
        </w:rPr>
        <w:t>El proceso de formalización minera en el Perú ha enfrentado múltiples desafíos institucionales, técnicos y normativos a lo largo de los últimos años. Una de las principales herramientas empleadas en este esfuerzo ha sido el Registro Integral de Formalización Minera (REINFO), concebido inicialmente como un mecanismo temporal para identificar y ordenar a los mineros en vías de formalización. Sin embargo, su uso prolongado, la falta de criterios uniformes para su gestión y la limitada articulación con políticas de control, fiscalización y desarrollo productivo, han contribuido a perpetuar situaciones de informalidad, generar incentivos perversos y fragmentar el objetivo original del proceso formalizador.</w:t>
      </w:r>
    </w:p>
    <w:p w14:paraId="2BB53122" w14:textId="0D163AD7" w:rsidR="00D71C12" w:rsidRDefault="00D71C12" w:rsidP="00D71C12">
      <w:pPr>
        <w:spacing w:line="360" w:lineRule="auto"/>
        <w:ind w:left="-426" w:right="-25"/>
        <w:jc w:val="both"/>
        <w:rPr>
          <w:rFonts w:ascii="Arial" w:hAnsi="Arial" w:cs="Arial"/>
          <w:sz w:val="22"/>
          <w:szCs w:val="22"/>
        </w:rPr>
      </w:pPr>
      <w:r w:rsidRPr="00D71C12">
        <w:rPr>
          <w:rFonts w:ascii="Arial" w:hAnsi="Arial" w:cs="Arial"/>
          <w:sz w:val="22"/>
          <w:szCs w:val="22"/>
        </w:rPr>
        <w:t xml:space="preserve">El estudio que se presenta busca analizar críticamente los vacíos estructurales y funcionales del REINFO que impiden avanzar hacia una verdadera </w:t>
      </w:r>
      <w:r>
        <w:rPr>
          <w:rFonts w:ascii="Arial" w:hAnsi="Arial" w:cs="Arial"/>
          <w:sz w:val="22"/>
          <w:szCs w:val="22"/>
        </w:rPr>
        <w:t>formalización</w:t>
      </w:r>
      <w:r w:rsidRPr="00D71C12">
        <w:rPr>
          <w:rFonts w:ascii="Arial" w:hAnsi="Arial" w:cs="Arial"/>
          <w:sz w:val="22"/>
          <w:szCs w:val="22"/>
        </w:rPr>
        <w:t xml:space="preserve"> de la pequeña minería y minería artesanal. Entre estos vacíos se identifican la ausencia de filtros técnicos para el ingreso, la renovación automática sin verificación de avances, la desvinculación con instrumentos de gestión ambiental y la débil capacidad operativa en las regiones encargadas de su implementación. A través de esta presentación técnica, se evalúa la situación actual del REINFO como instrumento normativo, sus impactos en la economía formal y en la sostenibilidad del sector minero.</w:t>
      </w:r>
    </w:p>
    <w:p w14:paraId="44E152F2" w14:textId="544FF572" w:rsidR="00D71C12" w:rsidRDefault="00D71C12" w:rsidP="00DD0609">
      <w:pPr>
        <w:spacing w:line="360" w:lineRule="auto"/>
        <w:ind w:left="-426" w:right="-25"/>
        <w:jc w:val="both"/>
        <w:rPr>
          <w:rFonts w:ascii="Arial" w:hAnsi="Arial" w:cs="Arial"/>
          <w:sz w:val="22"/>
          <w:szCs w:val="22"/>
        </w:rPr>
      </w:pPr>
      <w:r w:rsidRPr="00D71C12">
        <w:rPr>
          <w:rFonts w:ascii="Arial" w:hAnsi="Arial" w:cs="Arial"/>
          <w:sz w:val="22"/>
          <w:szCs w:val="22"/>
        </w:rPr>
        <w:t xml:space="preserve">En este contexto, el presente trabajo busca no solo visibilizar los vacíos que limitan la </w:t>
      </w:r>
      <w:r w:rsidRPr="00D71C12">
        <w:rPr>
          <w:rFonts w:ascii="Arial" w:hAnsi="Arial" w:cs="Arial"/>
          <w:sz w:val="22"/>
          <w:szCs w:val="22"/>
        </w:rPr>
        <w:t>efectividad del REINFO, sino también plantear propuestas</w:t>
      </w:r>
      <w:r>
        <w:rPr>
          <w:rFonts w:ascii="Arial" w:hAnsi="Arial" w:cs="Arial"/>
          <w:sz w:val="22"/>
          <w:szCs w:val="22"/>
        </w:rPr>
        <w:t xml:space="preserve"> </w:t>
      </w:r>
      <w:r w:rsidRPr="00D71C12">
        <w:rPr>
          <w:rFonts w:ascii="Arial" w:hAnsi="Arial" w:cs="Arial"/>
          <w:sz w:val="22"/>
          <w:szCs w:val="22"/>
        </w:rPr>
        <w:t>que contribuyan a una reforma integral, orientada a fortalecer su aplicación descentralizada, articularlo con otras políticas públicas y garantizar un proceso de formalización que realmente conduzca a la legalidad, el cumplimiento de obligaciones ambientales, tributarias y laborales, y una mayor transparencia en la gestión de los recursos mineros del país.</w:t>
      </w:r>
    </w:p>
    <w:p w14:paraId="6C693BA9" w14:textId="6BCDC56C" w:rsidR="00D71C12" w:rsidRDefault="00D71C12" w:rsidP="00DD0609">
      <w:pPr>
        <w:spacing w:line="360" w:lineRule="auto"/>
        <w:ind w:left="-426" w:right="-25"/>
        <w:jc w:val="both"/>
        <w:rPr>
          <w:rFonts w:ascii="Arial" w:hAnsi="Arial" w:cs="Arial"/>
          <w:sz w:val="22"/>
          <w:szCs w:val="22"/>
        </w:rPr>
      </w:pPr>
      <w:r w:rsidRPr="00D71C12">
        <w:rPr>
          <w:rFonts w:ascii="Arial" w:hAnsi="Arial" w:cs="Arial"/>
          <w:sz w:val="22"/>
          <w:szCs w:val="22"/>
        </w:rPr>
        <w:t>El análisis se centra en identificar de manera crítica los factores normativos, institucionales y de implementación que afectan la eficacia del REINFO, y propone lineamientos técnicos y regulatorios con enfoque descentralizado que permitan avanzar hacia una formalización minera sostenible. En este sentido, el estudio se apoya en datos oficiales y experiencias territoriales para argumentar propuestas que fortalezcan el marco regulatorio y promuevan una mayor articulación entre el Estado, los operadores mineros y la sociedad civil, contribuyendo así al desarrollo de una minería responsable e inclusiva.</w:t>
      </w:r>
    </w:p>
    <w:p w14:paraId="1F868727" w14:textId="1D6444F1" w:rsidR="00523E3A" w:rsidRDefault="00FA2A6E" w:rsidP="00DD0609">
      <w:pPr>
        <w:spacing w:line="360" w:lineRule="auto"/>
        <w:ind w:left="-426" w:right="-25"/>
        <w:jc w:val="both"/>
        <w:rPr>
          <w:rFonts w:ascii="Arial" w:hAnsi="Arial" w:cs="Arial"/>
          <w:b/>
          <w:bCs/>
          <w:sz w:val="22"/>
          <w:szCs w:val="22"/>
        </w:rPr>
      </w:pPr>
      <w:r>
        <w:rPr>
          <w:rFonts w:ascii="Arial" w:hAnsi="Arial" w:cs="Arial"/>
          <w:b/>
          <w:bCs/>
          <w:sz w:val="22"/>
          <w:szCs w:val="22"/>
        </w:rPr>
        <w:t>OBJETIVO</w:t>
      </w:r>
    </w:p>
    <w:p w14:paraId="52A76E13" w14:textId="77777777" w:rsidR="00D71C12" w:rsidRDefault="00D71C12" w:rsidP="00DD0609">
      <w:pPr>
        <w:spacing w:line="360" w:lineRule="auto"/>
        <w:ind w:left="-426" w:right="-25"/>
        <w:jc w:val="both"/>
        <w:rPr>
          <w:rFonts w:ascii="Arial" w:hAnsi="Arial" w:cs="Arial"/>
          <w:sz w:val="22"/>
          <w:szCs w:val="22"/>
        </w:rPr>
      </w:pPr>
      <w:r w:rsidRPr="00D71C12">
        <w:rPr>
          <w:rFonts w:ascii="Arial" w:hAnsi="Arial" w:cs="Arial"/>
          <w:sz w:val="22"/>
          <w:szCs w:val="22"/>
        </w:rPr>
        <w:t>El presente estudio tiene como propósito analizar las deficiencias normativas, institucionales y operativas del Registro Integral de Formalización Minera (REINFO) como mecanismo de transición hacia la legalidad en la pequeña minería y minería artesanal, y proponer alternativas integrales con enfoque descentralizado que contribuyan a una formalización minera efectiva y sostenible.</w:t>
      </w:r>
    </w:p>
    <w:p w14:paraId="54B42439" w14:textId="345F9A19" w:rsidR="00FA2A6E" w:rsidRDefault="009D46D7" w:rsidP="00DD0609">
      <w:pPr>
        <w:spacing w:line="360" w:lineRule="auto"/>
        <w:ind w:left="-426" w:right="-25"/>
        <w:jc w:val="both"/>
        <w:rPr>
          <w:rFonts w:ascii="Arial" w:hAnsi="Arial" w:cs="Arial"/>
          <w:b/>
          <w:bCs/>
          <w:sz w:val="22"/>
          <w:szCs w:val="22"/>
        </w:rPr>
      </w:pPr>
      <w:r>
        <w:rPr>
          <w:rFonts w:ascii="Arial" w:hAnsi="Arial" w:cs="Arial"/>
          <w:b/>
          <w:bCs/>
          <w:sz w:val="22"/>
          <w:szCs w:val="22"/>
        </w:rPr>
        <w:lastRenderedPageBreak/>
        <w:t xml:space="preserve">MATERIALES Y </w:t>
      </w:r>
      <w:r w:rsidR="00FA2A6E" w:rsidRPr="00FA2A6E">
        <w:rPr>
          <w:rFonts w:ascii="Arial" w:hAnsi="Arial" w:cs="Arial"/>
          <w:b/>
          <w:bCs/>
          <w:sz w:val="22"/>
          <w:szCs w:val="22"/>
        </w:rPr>
        <w:t>METODOLOGÍA</w:t>
      </w:r>
    </w:p>
    <w:p w14:paraId="26A4B95E" w14:textId="5D518963" w:rsidR="00FA2A6E" w:rsidRDefault="00D71C12" w:rsidP="00DD0609">
      <w:pPr>
        <w:spacing w:line="360" w:lineRule="auto"/>
        <w:ind w:left="-426" w:right="-25"/>
        <w:jc w:val="both"/>
        <w:rPr>
          <w:rFonts w:ascii="Arial" w:hAnsi="Arial" w:cs="Arial"/>
          <w:sz w:val="22"/>
          <w:szCs w:val="22"/>
        </w:rPr>
      </w:pPr>
      <w:r w:rsidRPr="00D71C12">
        <w:rPr>
          <w:rFonts w:ascii="Arial" w:hAnsi="Arial" w:cs="Arial"/>
          <w:sz w:val="22"/>
          <w:szCs w:val="22"/>
        </w:rPr>
        <w:t>El presente estudio se desarrolló a partir de una revisión documental, normativa y estadística sobre el Registro Integral de Formalización Minera (REINFO), en el contexto de los procesos de formalización en pequeña minería y minería artesanal. Se llevó a cabo un análisis exploratorio-descriptivo con enfoque cualitativo y complementos cuantitativos, considerando fuentes oficiales y documentos técnicos emitidos por entidades competentes a nivel nacional y subnacional, así como investigaciones previas en el ámbito académico, gremial y legislativo</w:t>
      </w:r>
      <w:r w:rsidR="004B4E97" w:rsidRPr="004B4E97">
        <w:rPr>
          <w:rFonts w:ascii="Arial" w:hAnsi="Arial" w:cs="Arial"/>
          <w:sz w:val="22"/>
          <w:szCs w:val="22"/>
        </w:rPr>
        <w:t>.</w:t>
      </w:r>
    </w:p>
    <w:p w14:paraId="305C4BD6" w14:textId="5511482F" w:rsidR="000E78DA" w:rsidRDefault="002D4259" w:rsidP="009D46D7">
      <w:pPr>
        <w:pStyle w:val="ListParagraph"/>
        <w:numPr>
          <w:ilvl w:val="0"/>
          <w:numId w:val="2"/>
        </w:numPr>
        <w:spacing w:line="360" w:lineRule="auto"/>
        <w:ind w:right="-25"/>
        <w:jc w:val="both"/>
        <w:rPr>
          <w:rFonts w:ascii="Arial" w:hAnsi="Arial" w:cs="Arial"/>
          <w:b/>
          <w:bCs/>
          <w:sz w:val="22"/>
          <w:szCs w:val="22"/>
        </w:rPr>
      </w:pPr>
      <w:r>
        <w:rPr>
          <w:rFonts w:ascii="Arial" w:hAnsi="Arial" w:cs="Arial"/>
          <w:b/>
          <w:bCs/>
          <w:sz w:val="22"/>
          <w:szCs w:val="22"/>
        </w:rPr>
        <w:t>Delimitación de la investigación.</w:t>
      </w:r>
    </w:p>
    <w:p w14:paraId="5FFD2D6F" w14:textId="23BB2F3B" w:rsidR="009D46D7" w:rsidRPr="009D46D7" w:rsidRDefault="002D4259" w:rsidP="0049663D">
      <w:pPr>
        <w:spacing w:line="360" w:lineRule="auto"/>
        <w:ind w:left="-426" w:right="-25"/>
        <w:jc w:val="both"/>
        <w:rPr>
          <w:rFonts w:ascii="Arial" w:hAnsi="Arial" w:cs="Arial"/>
          <w:sz w:val="22"/>
          <w:szCs w:val="22"/>
        </w:rPr>
      </w:pPr>
      <w:r>
        <w:rPr>
          <w:rFonts w:ascii="Arial" w:hAnsi="Arial" w:cs="Arial"/>
          <w:sz w:val="22"/>
          <w:szCs w:val="22"/>
        </w:rPr>
        <w:t>Para analizar el proyecto de investigación de tomará datos de la región Cajamarca, tales como la Dirección Regional de Energía y Minas</w:t>
      </w:r>
      <w:r w:rsidR="0049663D">
        <w:rPr>
          <w:rFonts w:ascii="Arial" w:hAnsi="Arial" w:cs="Arial"/>
          <w:sz w:val="22"/>
          <w:szCs w:val="22"/>
        </w:rPr>
        <w:t>.</w:t>
      </w:r>
    </w:p>
    <w:p w14:paraId="3CB9DBC2" w14:textId="77777777" w:rsidR="002D4259" w:rsidRPr="002D4259" w:rsidRDefault="002D4259" w:rsidP="002D4259">
      <w:pPr>
        <w:pStyle w:val="ListParagraph"/>
        <w:numPr>
          <w:ilvl w:val="0"/>
          <w:numId w:val="2"/>
        </w:numPr>
        <w:spacing w:line="360" w:lineRule="auto"/>
        <w:ind w:right="-25"/>
        <w:jc w:val="both"/>
        <w:rPr>
          <w:rFonts w:ascii="Arial" w:hAnsi="Arial" w:cs="Arial"/>
          <w:sz w:val="22"/>
          <w:szCs w:val="22"/>
        </w:rPr>
      </w:pPr>
      <w:r w:rsidRPr="002D4259">
        <w:rPr>
          <w:rFonts w:ascii="Arial" w:hAnsi="Arial" w:cs="Arial"/>
          <w:b/>
          <w:bCs/>
          <w:sz w:val="22"/>
          <w:szCs w:val="22"/>
        </w:rPr>
        <w:t>Diagnóstico normativo e institucional del</w:t>
      </w:r>
    </w:p>
    <w:p w14:paraId="1A044B64" w14:textId="37FF099B" w:rsidR="002D4259" w:rsidRDefault="002D4259" w:rsidP="002D4259">
      <w:pPr>
        <w:pStyle w:val="ListParagraph"/>
        <w:spacing w:line="360" w:lineRule="auto"/>
        <w:ind w:left="-426" w:right="-25"/>
        <w:jc w:val="both"/>
        <w:rPr>
          <w:rFonts w:ascii="Arial" w:hAnsi="Arial" w:cs="Arial"/>
          <w:b/>
          <w:bCs/>
          <w:sz w:val="22"/>
          <w:szCs w:val="22"/>
        </w:rPr>
      </w:pPr>
      <w:r w:rsidRPr="002D4259">
        <w:rPr>
          <w:rFonts w:ascii="Arial" w:hAnsi="Arial" w:cs="Arial"/>
          <w:b/>
          <w:bCs/>
          <w:sz w:val="22"/>
          <w:szCs w:val="22"/>
        </w:rPr>
        <w:t>REINFO</w:t>
      </w:r>
      <w:r>
        <w:rPr>
          <w:rFonts w:ascii="Arial" w:hAnsi="Arial" w:cs="Arial"/>
          <w:b/>
          <w:bCs/>
          <w:sz w:val="22"/>
          <w:szCs w:val="22"/>
        </w:rPr>
        <w:t>.</w:t>
      </w:r>
    </w:p>
    <w:p w14:paraId="20030EB7" w14:textId="77777777" w:rsidR="002D4259" w:rsidRDefault="002D4259" w:rsidP="002D4259">
      <w:pPr>
        <w:pStyle w:val="ListParagraph"/>
        <w:spacing w:line="360" w:lineRule="auto"/>
        <w:ind w:left="-426" w:right="-25"/>
        <w:jc w:val="both"/>
        <w:rPr>
          <w:rFonts w:ascii="Arial" w:hAnsi="Arial" w:cs="Arial"/>
          <w:sz w:val="22"/>
          <w:szCs w:val="22"/>
        </w:rPr>
      </w:pPr>
      <w:r w:rsidRPr="002D4259">
        <w:rPr>
          <w:rFonts w:ascii="Arial" w:hAnsi="Arial" w:cs="Arial"/>
          <w:sz w:val="22"/>
          <w:szCs w:val="22"/>
        </w:rPr>
        <w:t>Se revisaron los principales dispositivos legales desde la creación del REINFO en el año 2012 hasta su reglamentación más reciente. Este análisis permitió identificar vacíos normativos, ambigüedades en los criterios de permanencia, debilidades en la fiscalización y problemas de articulación entre entidades del nivel central y subnacional.</w:t>
      </w:r>
    </w:p>
    <w:p w14:paraId="4F80C7BA" w14:textId="50C927B0" w:rsidR="00B12795" w:rsidRPr="002D4259" w:rsidRDefault="002D4259" w:rsidP="002D4259">
      <w:pPr>
        <w:pStyle w:val="ListParagraph"/>
        <w:numPr>
          <w:ilvl w:val="0"/>
          <w:numId w:val="2"/>
        </w:numPr>
        <w:spacing w:line="360" w:lineRule="auto"/>
        <w:ind w:right="-25"/>
        <w:jc w:val="both"/>
        <w:rPr>
          <w:rFonts w:ascii="Arial" w:hAnsi="Arial" w:cs="Arial"/>
          <w:sz w:val="22"/>
          <w:szCs w:val="22"/>
        </w:rPr>
      </w:pPr>
      <w:r w:rsidRPr="002D4259">
        <w:rPr>
          <w:rFonts w:ascii="Arial" w:hAnsi="Arial" w:cs="Arial"/>
          <w:b/>
          <w:bCs/>
          <w:sz w:val="22"/>
          <w:szCs w:val="22"/>
        </w:rPr>
        <w:t>Análisis descentralizado de la implementación</w:t>
      </w:r>
      <w:r>
        <w:rPr>
          <w:rFonts w:ascii="Arial" w:hAnsi="Arial" w:cs="Arial"/>
          <w:b/>
          <w:bCs/>
          <w:sz w:val="22"/>
          <w:szCs w:val="22"/>
        </w:rPr>
        <w:t>.</w:t>
      </w:r>
    </w:p>
    <w:p w14:paraId="3BAFC3C8" w14:textId="77B64234" w:rsidR="002D4259" w:rsidRPr="002D4259" w:rsidRDefault="002D4259" w:rsidP="002D4259">
      <w:pPr>
        <w:spacing w:line="360" w:lineRule="auto"/>
        <w:ind w:left="-426" w:right="-25"/>
        <w:jc w:val="both"/>
        <w:rPr>
          <w:rFonts w:ascii="Arial" w:hAnsi="Arial" w:cs="Arial"/>
          <w:sz w:val="22"/>
          <w:szCs w:val="22"/>
        </w:rPr>
      </w:pPr>
      <w:r w:rsidRPr="002D4259">
        <w:rPr>
          <w:rFonts w:ascii="Arial" w:hAnsi="Arial" w:cs="Arial"/>
          <w:sz w:val="22"/>
          <w:szCs w:val="22"/>
        </w:rPr>
        <w:t xml:space="preserve">Se evaluó el rol de las autoridades regionales responsables de la gestión del proceso de formalización, considerando indicadores como: número de expedientes, estado de avance, </w:t>
      </w:r>
      <w:r w:rsidRPr="002D4259">
        <w:rPr>
          <w:rFonts w:ascii="Arial" w:hAnsi="Arial" w:cs="Arial"/>
          <w:sz w:val="22"/>
          <w:szCs w:val="22"/>
        </w:rPr>
        <w:t>barreras administrativas y capacidades operativas. Se utilizaron reportes del MINEM, INGEMMET y otras entidades relacionadas, así como entrevistas a actores clave del proceso en regiones seleccionadas.</w:t>
      </w:r>
    </w:p>
    <w:p w14:paraId="6798F9B3" w14:textId="44EB9A76" w:rsidR="002D4259" w:rsidRPr="002D4259" w:rsidRDefault="002D4259" w:rsidP="002D4259">
      <w:pPr>
        <w:pStyle w:val="ListParagraph"/>
        <w:numPr>
          <w:ilvl w:val="0"/>
          <w:numId w:val="2"/>
        </w:numPr>
        <w:spacing w:line="360" w:lineRule="auto"/>
        <w:ind w:right="-25"/>
        <w:jc w:val="both"/>
      </w:pPr>
      <w:r w:rsidRPr="002D4259">
        <w:rPr>
          <w:rFonts w:ascii="Arial" w:hAnsi="Arial" w:cs="Arial"/>
          <w:b/>
          <w:bCs/>
          <w:sz w:val="22"/>
          <w:szCs w:val="22"/>
        </w:rPr>
        <w:t>Propuestas normativas y de gestión</w:t>
      </w:r>
      <w:r>
        <w:rPr>
          <w:rFonts w:ascii="Arial" w:hAnsi="Arial" w:cs="Arial"/>
          <w:b/>
          <w:bCs/>
          <w:sz w:val="22"/>
          <w:szCs w:val="22"/>
        </w:rPr>
        <w:t>.</w:t>
      </w:r>
    </w:p>
    <w:p w14:paraId="4E5FC36F" w14:textId="0F1883D8" w:rsidR="002D4259" w:rsidRDefault="002D4259" w:rsidP="002D4259">
      <w:pPr>
        <w:spacing w:line="360" w:lineRule="auto"/>
        <w:ind w:left="-426" w:right="-25"/>
        <w:jc w:val="both"/>
        <w:rPr>
          <w:rFonts w:ascii="Arial" w:hAnsi="Arial" w:cs="Arial"/>
          <w:sz w:val="22"/>
          <w:szCs w:val="22"/>
        </w:rPr>
      </w:pPr>
      <w:r w:rsidRPr="002D4259">
        <w:rPr>
          <w:rFonts w:ascii="Arial" w:hAnsi="Arial" w:cs="Arial"/>
          <w:sz w:val="22"/>
          <w:szCs w:val="22"/>
        </w:rPr>
        <w:t>Con base en el diagnóstico previo, se formularon propuestas de reforma estructural y operativa del REINFO, orientadas a mejorar su eficacia como mecanismo de transición hacia la legalidad. Estas propuestas consideran la implementación de criterios técnicos de evaluación, mejoras en la trazabilidad del proceso y fortalecimiento de la articulación interinstitucional con enfoque territorial.</w:t>
      </w:r>
    </w:p>
    <w:p w14:paraId="710A8420" w14:textId="77777777" w:rsidR="002D4259" w:rsidRDefault="002D4259" w:rsidP="002D4259">
      <w:pPr>
        <w:pStyle w:val="ListParagraph"/>
        <w:numPr>
          <w:ilvl w:val="0"/>
          <w:numId w:val="2"/>
        </w:numPr>
        <w:spacing w:line="360" w:lineRule="auto"/>
        <w:ind w:right="-25"/>
        <w:jc w:val="both"/>
        <w:rPr>
          <w:rFonts w:ascii="Arial" w:hAnsi="Arial" w:cs="Arial"/>
          <w:b/>
          <w:bCs/>
          <w:sz w:val="22"/>
          <w:szCs w:val="22"/>
        </w:rPr>
      </w:pPr>
      <w:r w:rsidRPr="002D4259">
        <w:rPr>
          <w:rFonts w:ascii="Arial" w:hAnsi="Arial" w:cs="Arial"/>
          <w:b/>
          <w:bCs/>
          <w:sz w:val="22"/>
          <w:szCs w:val="22"/>
        </w:rPr>
        <w:t>Herramientas de análisis</w:t>
      </w:r>
    </w:p>
    <w:p w14:paraId="232B3D9B" w14:textId="77777777" w:rsidR="002D4259" w:rsidRDefault="002D4259" w:rsidP="002D4259">
      <w:pPr>
        <w:pStyle w:val="ListParagraph"/>
        <w:numPr>
          <w:ilvl w:val="0"/>
          <w:numId w:val="5"/>
        </w:numPr>
        <w:spacing w:line="360" w:lineRule="auto"/>
        <w:ind w:left="0" w:right="-25"/>
        <w:jc w:val="both"/>
        <w:rPr>
          <w:rFonts w:ascii="Arial" w:hAnsi="Arial" w:cs="Arial"/>
          <w:sz w:val="22"/>
          <w:szCs w:val="22"/>
        </w:rPr>
      </w:pPr>
      <w:r w:rsidRPr="002D4259">
        <w:rPr>
          <w:rFonts w:ascii="Arial" w:hAnsi="Arial" w:cs="Arial"/>
          <w:sz w:val="22"/>
          <w:szCs w:val="22"/>
        </w:rPr>
        <w:t>Revisión de literatura técnica y legal (doctrina, normas vigentes, informes de evaluación).</w:t>
      </w:r>
    </w:p>
    <w:p w14:paraId="5F75FF91" w14:textId="77777777" w:rsidR="002D4259" w:rsidRDefault="002D4259" w:rsidP="002D4259">
      <w:pPr>
        <w:pStyle w:val="ListParagraph"/>
        <w:numPr>
          <w:ilvl w:val="0"/>
          <w:numId w:val="5"/>
        </w:numPr>
        <w:spacing w:line="360" w:lineRule="auto"/>
        <w:ind w:left="0" w:right="-25"/>
        <w:jc w:val="both"/>
        <w:rPr>
          <w:rFonts w:ascii="Arial" w:hAnsi="Arial" w:cs="Arial"/>
          <w:sz w:val="22"/>
          <w:szCs w:val="22"/>
        </w:rPr>
      </w:pPr>
      <w:r w:rsidRPr="002D4259">
        <w:rPr>
          <w:rFonts w:ascii="Arial" w:hAnsi="Arial" w:cs="Arial"/>
          <w:sz w:val="22"/>
          <w:szCs w:val="22"/>
        </w:rPr>
        <w:t>Análisis comparado con otras experiencias de formalización minera en América Latina.</w:t>
      </w:r>
    </w:p>
    <w:p w14:paraId="5F903ECC" w14:textId="77777777" w:rsidR="002D4259" w:rsidRDefault="002D4259" w:rsidP="002D4259">
      <w:pPr>
        <w:pStyle w:val="ListParagraph"/>
        <w:numPr>
          <w:ilvl w:val="0"/>
          <w:numId w:val="5"/>
        </w:numPr>
        <w:spacing w:line="360" w:lineRule="auto"/>
        <w:ind w:left="0" w:right="-25"/>
        <w:jc w:val="both"/>
        <w:rPr>
          <w:rFonts w:ascii="Arial" w:hAnsi="Arial" w:cs="Arial"/>
          <w:sz w:val="22"/>
          <w:szCs w:val="22"/>
        </w:rPr>
      </w:pPr>
      <w:r w:rsidRPr="002D4259">
        <w:rPr>
          <w:rFonts w:ascii="Arial" w:hAnsi="Arial" w:cs="Arial"/>
          <w:sz w:val="22"/>
          <w:szCs w:val="22"/>
        </w:rPr>
        <w:t>Entrevistas semiestructuradas a técnicos regionales y expertos en formalización.</w:t>
      </w:r>
    </w:p>
    <w:p w14:paraId="2D5C4B82" w14:textId="3EF507EE" w:rsidR="002D4259" w:rsidRPr="001237C3" w:rsidRDefault="002D4259" w:rsidP="001237C3">
      <w:pPr>
        <w:pStyle w:val="ListParagraph"/>
        <w:numPr>
          <w:ilvl w:val="0"/>
          <w:numId w:val="5"/>
        </w:numPr>
        <w:spacing w:line="360" w:lineRule="auto"/>
        <w:ind w:left="0" w:right="-25"/>
        <w:jc w:val="both"/>
        <w:rPr>
          <w:rFonts w:ascii="Arial" w:hAnsi="Arial" w:cs="Arial"/>
          <w:b/>
          <w:bCs/>
          <w:sz w:val="22"/>
          <w:szCs w:val="22"/>
        </w:rPr>
      </w:pPr>
      <w:r w:rsidRPr="002D4259">
        <w:rPr>
          <w:rFonts w:ascii="Arial" w:hAnsi="Arial" w:cs="Arial"/>
          <w:sz w:val="22"/>
          <w:szCs w:val="22"/>
        </w:rPr>
        <w:t>Sistematización de datos mediante matrices de vacíos normativos y flujos procedimentales.</w:t>
      </w:r>
    </w:p>
    <w:p w14:paraId="1B47C355" w14:textId="43C47BC3" w:rsidR="0049663D" w:rsidRPr="0049663D" w:rsidRDefault="0049663D" w:rsidP="00DD0609">
      <w:pPr>
        <w:spacing w:line="360" w:lineRule="auto"/>
        <w:ind w:left="-426" w:right="-25"/>
        <w:jc w:val="both"/>
        <w:rPr>
          <w:rFonts w:ascii="Arial" w:hAnsi="Arial" w:cs="Arial"/>
          <w:b/>
          <w:bCs/>
          <w:sz w:val="22"/>
          <w:szCs w:val="22"/>
        </w:rPr>
      </w:pPr>
      <w:r w:rsidRPr="0049663D">
        <w:rPr>
          <w:rFonts w:ascii="Arial" w:hAnsi="Arial" w:cs="Arial"/>
          <w:b/>
          <w:bCs/>
          <w:sz w:val="22"/>
          <w:szCs w:val="22"/>
        </w:rPr>
        <w:t>RESULTAD</w:t>
      </w:r>
      <w:r>
        <w:rPr>
          <w:rFonts w:ascii="Arial" w:hAnsi="Arial" w:cs="Arial"/>
          <w:b/>
          <w:bCs/>
          <w:sz w:val="22"/>
          <w:szCs w:val="22"/>
        </w:rPr>
        <w:t xml:space="preserve">OS PRELIMINARES </w:t>
      </w:r>
    </w:p>
    <w:p w14:paraId="0923A9B8" w14:textId="77777777" w:rsidR="002D4259" w:rsidRDefault="002D4259" w:rsidP="002D4259">
      <w:pPr>
        <w:spacing w:line="360" w:lineRule="auto"/>
        <w:ind w:left="-426" w:right="-25"/>
        <w:jc w:val="both"/>
        <w:rPr>
          <w:rFonts w:ascii="Arial" w:hAnsi="Arial" w:cs="Arial"/>
          <w:sz w:val="22"/>
          <w:szCs w:val="22"/>
        </w:rPr>
      </w:pPr>
      <w:r w:rsidRPr="002D4259">
        <w:rPr>
          <w:rFonts w:ascii="Arial" w:hAnsi="Arial" w:cs="Arial"/>
          <w:sz w:val="22"/>
          <w:szCs w:val="22"/>
        </w:rPr>
        <w:t xml:space="preserve">Los análisis iniciales realizados en gabinete, a partir del cruce de información normativa, bases de datos públicas y reportes institucionales, evidencian limitaciones estructurales en la aplicación del REINFO como herramienta de formalización minera. Se identificó una débil </w:t>
      </w:r>
      <w:r w:rsidRPr="002D4259">
        <w:rPr>
          <w:rFonts w:ascii="Arial" w:hAnsi="Arial" w:cs="Arial"/>
          <w:sz w:val="22"/>
          <w:szCs w:val="22"/>
        </w:rPr>
        <w:lastRenderedPageBreak/>
        <w:t>articulación entre las entidades responsables de la implementación descentralizada y la falta de criterios técnicos unificados para la evaluación de los expedientes presentados por los pequeños mineros y mineros en proceso de formalización.</w:t>
      </w:r>
    </w:p>
    <w:p w14:paraId="5B7B89AC" w14:textId="77777777" w:rsidR="001237C3" w:rsidRDefault="002D4259" w:rsidP="001237C3">
      <w:pPr>
        <w:pStyle w:val="ListParagraph"/>
        <w:numPr>
          <w:ilvl w:val="0"/>
          <w:numId w:val="6"/>
        </w:numPr>
        <w:spacing w:line="360" w:lineRule="auto"/>
        <w:ind w:left="-142" w:right="-25"/>
        <w:jc w:val="both"/>
        <w:rPr>
          <w:rFonts w:ascii="Arial" w:hAnsi="Arial" w:cs="Arial"/>
          <w:sz w:val="22"/>
          <w:szCs w:val="22"/>
        </w:rPr>
      </w:pPr>
      <w:r w:rsidRPr="002D4259">
        <w:rPr>
          <w:rFonts w:ascii="Arial" w:hAnsi="Arial" w:cs="Arial"/>
          <w:sz w:val="22"/>
          <w:szCs w:val="22"/>
        </w:rPr>
        <w:t>Alrededor del 6</w:t>
      </w:r>
      <w:r w:rsidR="00710417">
        <w:rPr>
          <w:rFonts w:ascii="Arial" w:hAnsi="Arial" w:cs="Arial"/>
          <w:sz w:val="22"/>
          <w:szCs w:val="22"/>
        </w:rPr>
        <w:t xml:space="preserve">0 – 65 </w:t>
      </w:r>
      <w:r w:rsidRPr="002D4259">
        <w:rPr>
          <w:rFonts w:ascii="Arial" w:hAnsi="Arial" w:cs="Arial"/>
          <w:sz w:val="22"/>
          <w:szCs w:val="22"/>
        </w:rPr>
        <w:t>% de los expedientes evaluados por entidades regionales presentan observaciones o retrocesos</w:t>
      </w:r>
      <w:r w:rsidR="00710417">
        <w:rPr>
          <w:rFonts w:ascii="Arial" w:hAnsi="Arial" w:cs="Arial"/>
          <w:sz w:val="22"/>
          <w:szCs w:val="22"/>
        </w:rPr>
        <w:t xml:space="preserve">, </w:t>
      </w:r>
      <w:r w:rsidRPr="002D4259">
        <w:rPr>
          <w:rFonts w:ascii="Arial" w:hAnsi="Arial" w:cs="Arial"/>
          <w:sz w:val="22"/>
          <w:szCs w:val="22"/>
        </w:rPr>
        <w:t>debido a falta de sustento técnico, duplicidad documental o ausencia de verificación en campo.</w:t>
      </w:r>
    </w:p>
    <w:p w14:paraId="39AA9381" w14:textId="1F64075F" w:rsidR="001237C3" w:rsidRPr="001237C3" w:rsidRDefault="001237C3" w:rsidP="001237C3">
      <w:pPr>
        <w:pStyle w:val="ListParagraph"/>
        <w:numPr>
          <w:ilvl w:val="0"/>
          <w:numId w:val="6"/>
        </w:numPr>
        <w:spacing w:line="360" w:lineRule="auto"/>
        <w:ind w:left="-142" w:right="-25"/>
        <w:jc w:val="both"/>
        <w:rPr>
          <w:rFonts w:ascii="Arial" w:hAnsi="Arial" w:cs="Arial"/>
          <w:sz w:val="22"/>
          <w:szCs w:val="22"/>
        </w:rPr>
      </w:pPr>
      <w:r w:rsidRPr="001237C3">
        <w:rPr>
          <w:rFonts w:ascii="Arial" w:hAnsi="Arial" w:cs="Arial"/>
          <w:sz w:val="22"/>
          <w:szCs w:val="22"/>
        </w:rPr>
        <w:t>El índice de inactividad administrativa (sin avances por más de 18 meses) supera el 50 % en regiones con alta carga minera informal, lo que sugiere una ineficacia estructural del sistema.</w:t>
      </w:r>
    </w:p>
    <w:p w14:paraId="20988EAD" w14:textId="593A8978" w:rsidR="008045FB" w:rsidRPr="0049663D" w:rsidRDefault="008045FB" w:rsidP="008045FB">
      <w:pPr>
        <w:spacing w:line="360" w:lineRule="auto"/>
        <w:ind w:left="-426" w:right="-25"/>
        <w:jc w:val="both"/>
        <w:rPr>
          <w:rFonts w:ascii="Arial" w:hAnsi="Arial" w:cs="Arial"/>
          <w:b/>
          <w:bCs/>
          <w:sz w:val="22"/>
          <w:szCs w:val="22"/>
        </w:rPr>
      </w:pPr>
      <w:r>
        <w:rPr>
          <w:rFonts w:ascii="Arial" w:hAnsi="Arial" w:cs="Arial"/>
          <w:b/>
          <w:bCs/>
          <w:sz w:val="22"/>
          <w:szCs w:val="22"/>
        </w:rPr>
        <w:t xml:space="preserve">BIBLIOGRAFIA </w:t>
      </w:r>
    </w:p>
    <w:p w14:paraId="7740753C" w14:textId="16151B1D" w:rsidR="005A06BA" w:rsidRDefault="005A06BA" w:rsidP="00F35A12">
      <w:pPr>
        <w:spacing w:line="360" w:lineRule="auto"/>
        <w:ind w:left="-426" w:right="-25"/>
        <w:jc w:val="both"/>
        <w:rPr>
          <w:rFonts w:ascii="Arial" w:hAnsi="Arial" w:cs="Arial"/>
          <w:sz w:val="22"/>
          <w:szCs w:val="22"/>
        </w:rPr>
      </w:pPr>
      <w:r w:rsidRPr="005A06BA">
        <w:rPr>
          <w:rFonts w:ascii="Arial" w:hAnsi="Arial" w:cs="Arial"/>
          <w:sz w:val="22"/>
          <w:szCs w:val="22"/>
        </w:rPr>
        <w:t>Ley N.</w:t>
      </w:r>
      <w:r w:rsidRPr="005A06BA">
        <w:rPr>
          <w:rFonts w:ascii="Arial" w:hAnsi="Arial" w:cs="Arial"/>
          <w:sz w:val="22"/>
          <w:szCs w:val="22"/>
        </w:rPr>
        <w:t xml:space="preserve"> 31388. (2021). Ley que amplía el plazo del REINFO y establece condiciones para su permanencia. Congreso de la República del Perú.</w:t>
      </w:r>
    </w:p>
    <w:p w14:paraId="635E21A8" w14:textId="2D3E0F56" w:rsidR="001237C3" w:rsidRDefault="005A06BA" w:rsidP="001237C3">
      <w:pPr>
        <w:spacing w:line="360" w:lineRule="auto"/>
        <w:ind w:left="-426" w:right="-25"/>
        <w:jc w:val="both"/>
        <w:rPr>
          <w:rFonts w:ascii="Arial" w:hAnsi="Arial" w:cs="Arial"/>
          <w:sz w:val="22"/>
          <w:szCs w:val="22"/>
        </w:rPr>
      </w:pPr>
      <w:r w:rsidRPr="005A06BA">
        <w:rPr>
          <w:rFonts w:ascii="Arial" w:hAnsi="Arial" w:cs="Arial"/>
          <w:sz w:val="22"/>
          <w:szCs w:val="22"/>
        </w:rPr>
        <w:t>Ministerio de Energía y Minas (MINEM). (202</w:t>
      </w:r>
      <w:r>
        <w:rPr>
          <w:rFonts w:ascii="Arial" w:hAnsi="Arial" w:cs="Arial"/>
          <w:sz w:val="22"/>
          <w:szCs w:val="22"/>
        </w:rPr>
        <w:t>5</w:t>
      </w:r>
      <w:r w:rsidRPr="005A06BA">
        <w:rPr>
          <w:rFonts w:ascii="Arial" w:hAnsi="Arial" w:cs="Arial"/>
          <w:sz w:val="22"/>
          <w:szCs w:val="22"/>
        </w:rPr>
        <w:t>). Informe Anual de Avances del Proceso de Formalización Minera Integral y REINFO. Dirección General de Formalización Minera.</w:t>
      </w:r>
    </w:p>
    <w:p w14:paraId="4AD7833C" w14:textId="28FA4E9E" w:rsidR="001237C3" w:rsidRDefault="001237C3" w:rsidP="001237C3">
      <w:pPr>
        <w:spacing w:line="360" w:lineRule="auto"/>
        <w:ind w:left="-426" w:right="-25"/>
        <w:jc w:val="both"/>
        <w:rPr>
          <w:rFonts w:ascii="Arial" w:hAnsi="Arial" w:cs="Arial"/>
          <w:sz w:val="22"/>
          <w:szCs w:val="22"/>
        </w:rPr>
      </w:pPr>
      <w:r>
        <w:rPr>
          <w:rFonts w:ascii="Arial" w:hAnsi="Arial" w:cs="Arial"/>
          <w:sz w:val="22"/>
          <w:szCs w:val="22"/>
        </w:rPr>
        <w:t>Dirección de Energía y Minas Cajamarca (2025), Informe de mineros en vías de formalización hasta el año 2025.</w:t>
      </w:r>
    </w:p>
    <w:p w14:paraId="0A01672F" w14:textId="77777777" w:rsidR="001237C3" w:rsidRDefault="001237C3" w:rsidP="001237C3">
      <w:pPr>
        <w:spacing w:line="360" w:lineRule="auto"/>
        <w:ind w:left="-426" w:right="-25"/>
        <w:jc w:val="both"/>
        <w:rPr>
          <w:rFonts w:ascii="Arial" w:hAnsi="Arial" w:cs="Arial"/>
          <w:sz w:val="22"/>
          <w:szCs w:val="22"/>
        </w:rPr>
      </w:pPr>
    </w:p>
    <w:p w14:paraId="1F8C7688" w14:textId="77777777" w:rsidR="001237C3" w:rsidRDefault="001237C3" w:rsidP="001237C3">
      <w:pPr>
        <w:spacing w:line="360" w:lineRule="auto"/>
        <w:ind w:left="-426" w:right="-25"/>
        <w:jc w:val="both"/>
        <w:rPr>
          <w:rFonts w:ascii="Arial" w:hAnsi="Arial" w:cs="Arial"/>
          <w:sz w:val="22"/>
          <w:szCs w:val="22"/>
        </w:rPr>
      </w:pPr>
    </w:p>
    <w:p w14:paraId="74725F21" w14:textId="77777777" w:rsidR="001237C3" w:rsidRDefault="001237C3" w:rsidP="001237C3">
      <w:pPr>
        <w:spacing w:line="360" w:lineRule="auto"/>
        <w:ind w:left="-426" w:right="-25"/>
        <w:jc w:val="both"/>
        <w:rPr>
          <w:rFonts w:ascii="Arial" w:hAnsi="Arial" w:cs="Arial"/>
          <w:sz w:val="22"/>
          <w:szCs w:val="22"/>
        </w:rPr>
      </w:pPr>
    </w:p>
    <w:p w14:paraId="44F85E85" w14:textId="566EE47D" w:rsidR="00F35A12" w:rsidRDefault="00F35A12" w:rsidP="00F35A12">
      <w:pPr>
        <w:spacing w:line="360" w:lineRule="auto"/>
        <w:ind w:left="-426" w:right="-25"/>
        <w:jc w:val="both"/>
        <w:rPr>
          <w:rFonts w:ascii="Arial" w:hAnsi="Arial" w:cs="Arial"/>
          <w:b/>
          <w:bCs/>
          <w:sz w:val="22"/>
          <w:szCs w:val="22"/>
        </w:rPr>
      </w:pPr>
      <w:r w:rsidRPr="00F35A12">
        <w:rPr>
          <w:rFonts w:ascii="Arial" w:hAnsi="Arial" w:cs="Arial"/>
          <w:b/>
          <w:bCs/>
          <w:sz w:val="22"/>
          <w:szCs w:val="22"/>
        </w:rPr>
        <w:t>RESEÑA PROFESIONAL</w:t>
      </w:r>
    </w:p>
    <w:p w14:paraId="32E30AD4" w14:textId="77777777" w:rsidR="00710417" w:rsidRDefault="00F35A12" w:rsidP="00710417">
      <w:pPr>
        <w:spacing w:line="360" w:lineRule="auto"/>
        <w:ind w:left="-426" w:right="-25"/>
        <w:jc w:val="both"/>
        <w:rPr>
          <w:rFonts w:ascii="Arial" w:hAnsi="Arial" w:cs="Arial"/>
          <w:sz w:val="22"/>
          <w:szCs w:val="22"/>
        </w:rPr>
      </w:pPr>
      <w:r w:rsidRPr="00F35A12">
        <w:rPr>
          <w:rFonts w:ascii="Arial" w:hAnsi="Arial" w:cs="Arial"/>
          <w:b/>
          <w:bCs/>
          <w:sz w:val="22"/>
          <w:szCs w:val="22"/>
        </w:rPr>
        <w:t>Autor:</w:t>
      </w:r>
      <w:r w:rsidRPr="00F35A12">
        <w:rPr>
          <w:rFonts w:ascii="Arial" w:hAnsi="Arial" w:cs="Arial"/>
          <w:sz w:val="22"/>
          <w:szCs w:val="22"/>
        </w:rPr>
        <w:t xml:space="preserve"> </w:t>
      </w:r>
      <w:r w:rsidRPr="00F35A12">
        <w:rPr>
          <w:rFonts w:ascii="Arial" w:hAnsi="Arial" w:cs="Arial"/>
          <w:sz w:val="20"/>
          <w:szCs w:val="20"/>
          <w:vertAlign w:val="superscript"/>
        </w:rPr>
        <w:t>1</w:t>
      </w:r>
      <w:r w:rsidRPr="00F35A12">
        <w:rPr>
          <w:rFonts w:ascii="Arial" w:hAnsi="Arial" w:cs="Arial"/>
          <w:sz w:val="22"/>
          <w:szCs w:val="22"/>
        </w:rPr>
        <w:t xml:space="preserve">Edwin Rafael Ocas Ramírez, Universidad Nacional de Cajamarca - Perú, Estudiante de Posgrado en Gestión Ambiental, </w:t>
      </w:r>
      <w:hyperlink r:id="rId8" w:history="1">
        <w:r w:rsidRPr="00F35A12">
          <w:rPr>
            <w:rFonts w:ascii="Arial" w:hAnsi="Arial" w:cs="Arial"/>
            <w:sz w:val="22"/>
            <w:szCs w:val="22"/>
          </w:rPr>
          <w:t>edwinrafaelocas@gmail.com</w:t>
        </w:r>
      </w:hyperlink>
      <w:r w:rsidRPr="00F35A12">
        <w:rPr>
          <w:rFonts w:ascii="Arial" w:hAnsi="Arial" w:cs="Arial"/>
          <w:sz w:val="22"/>
          <w:szCs w:val="22"/>
        </w:rPr>
        <w:t>,+51982818550 Ingeniero de Minas titulado, con 3 años en la Industria Minera</w:t>
      </w:r>
      <w:r>
        <w:rPr>
          <w:rFonts w:ascii="Arial" w:hAnsi="Arial" w:cs="Arial"/>
          <w:sz w:val="22"/>
          <w:szCs w:val="22"/>
        </w:rPr>
        <w:t xml:space="preserve">, </w:t>
      </w:r>
      <w:r w:rsidRPr="00F35A12">
        <w:rPr>
          <w:rFonts w:ascii="Arial" w:hAnsi="Arial" w:cs="Arial"/>
          <w:sz w:val="22"/>
          <w:szCs w:val="22"/>
        </w:rPr>
        <w:t>en gestión ambiental, permisos sectoriales y operaciones continuas de pequeña a gran minería. Especializado en diseño y planificación de los procesos de cierre y post-cierre, seguimiento y registro de Compromisos Ambientales.</w:t>
      </w:r>
    </w:p>
    <w:p w14:paraId="353AE3E6" w14:textId="35CDAF8C" w:rsidR="00F35A12" w:rsidRDefault="00F35A12" w:rsidP="00710417">
      <w:pPr>
        <w:spacing w:line="360" w:lineRule="auto"/>
        <w:ind w:left="-426" w:right="-25"/>
        <w:jc w:val="both"/>
        <w:rPr>
          <w:rFonts w:ascii="Arial" w:hAnsi="Arial" w:cs="Arial"/>
          <w:sz w:val="22"/>
          <w:szCs w:val="22"/>
        </w:rPr>
      </w:pPr>
      <w:r w:rsidRPr="00710417">
        <w:rPr>
          <w:rFonts w:ascii="Arial" w:hAnsi="Arial" w:cs="Arial"/>
          <w:b/>
          <w:bCs/>
          <w:sz w:val="22"/>
          <w:szCs w:val="22"/>
        </w:rPr>
        <w:t>Couator:</w:t>
      </w:r>
      <w:r w:rsidRPr="00F35A12">
        <w:rPr>
          <w:rFonts w:ascii="Arial" w:hAnsi="Arial" w:cs="Arial"/>
          <w:sz w:val="22"/>
          <w:szCs w:val="22"/>
        </w:rPr>
        <w:t xml:space="preserve"> </w:t>
      </w:r>
      <w:r w:rsidR="00710417">
        <w:rPr>
          <w:rFonts w:ascii="Arial" w:hAnsi="Arial" w:cs="Arial"/>
          <w:sz w:val="22"/>
          <w:szCs w:val="22"/>
          <w:vertAlign w:val="superscript"/>
        </w:rPr>
        <w:t>2</w:t>
      </w:r>
      <w:r w:rsidR="00710417" w:rsidRPr="00710417">
        <w:rPr>
          <w:rFonts w:ascii="Arial" w:hAnsi="Arial" w:cs="Arial"/>
          <w:sz w:val="22"/>
          <w:szCs w:val="22"/>
        </w:rPr>
        <w:t>Yon Víctor Alderxon Tirado Saucedo</w:t>
      </w:r>
      <w:r w:rsidRPr="00F35A12">
        <w:rPr>
          <w:rFonts w:ascii="Arial" w:hAnsi="Arial" w:cs="Arial"/>
          <w:sz w:val="22"/>
          <w:szCs w:val="22"/>
        </w:rPr>
        <w:t>,</w:t>
      </w:r>
      <w:r w:rsidR="005A06BA">
        <w:rPr>
          <w:rFonts w:ascii="Arial" w:hAnsi="Arial" w:cs="Arial"/>
          <w:sz w:val="22"/>
          <w:szCs w:val="22"/>
        </w:rPr>
        <w:t xml:space="preserve"> Dirección Regional de Energía y Minas Cajamarca (</w:t>
      </w:r>
      <w:r w:rsidR="005A06BA" w:rsidRPr="005A06BA">
        <w:rPr>
          <w:rFonts w:ascii="Arial" w:hAnsi="Arial" w:cs="Arial"/>
          <w:sz w:val="22"/>
          <w:szCs w:val="22"/>
        </w:rPr>
        <w:t>ytirados@regioncajamarca.gob.pe</w:t>
      </w:r>
      <w:r w:rsidR="005A06BA">
        <w:rPr>
          <w:rFonts w:ascii="Arial" w:hAnsi="Arial" w:cs="Arial"/>
          <w:sz w:val="22"/>
          <w:szCs w:val="22"/>
        </w:rPr>
        <w:t xml:space="preserve">) </w:t>
      </w:r>
      <w:r w:rsidR="005A06BA" w:rsidRPr="005A06BA">
        <w:rPr>
          <w:rFonts w:ascii="Arial" w:hAnsi="Arial" w:cs="Arial"/>
          <w:sz w:val="22"/>
          <w:szCs w:val="22"/>
        </w:rPr>
        <w:t>Ingeniero de minas con experiencia en formalización minera, especializado en procesos técnicos y normativos para la pequeña minería y minería artesanal. Con enfoque en sostenibilidad, regulación ambiental y articulación interinstitucional para impulsar la legalidad y el desarrollo del sector minero informal.</w:t>
      </w:r>
    </w:p>
    <w:p w14:paraId="76397BC4" w14:textId="232D5E28" w:rsidR="005A06BA" w:rsidRPr="00F35A12" w:rsidRDefault="005A06BA" w:rsidP="005A06BA">
      <w:pPr>
        <w:spacing w:line="360" w:lineRule="auto"/>
        <w:ind w:left="-426" w:right="-25"/>
        <w:jc w:val="both"/>
        <w:rPr>
          <w:rFonts w:ascii="Arial" w:hAnsi="Arial" w:cs="Arial"/>
          <w:sz w:val="22"/>
          <w:szCs w:val="22"/>
        </w:rPr>
      </w:pPr>
      <w:r w:rsidRPr="00710417">
        <w:rPr>
          <w:rFonts w:ascii="Arial" w:hAnsi="Arial" w:cs="Arial"/>
          <w:b/>
          <w:bCs/>
          <w:sz w:val="22"/>
          <w:szCs w:val="22"/>
        </w:rPr>
        <w:t>Couator:</w:t>
      </w:r>
      <w:r w:rsidRPr="00F35A12">
        <w:rPr>
          <w:rFonts w:ascii="Arial" w:hAnsi="Arial" w:cs="Arial"/>
          <w:sz w:val="22"/>
          <w:szCs w:val="22"/>
        </w:rPr>
        <w:t xml:space="preserve"> </w:t>
      </w:r>
      <w:r>
        <w:rPr>
          <w:rFonts w:ascii="Arial" w:hAnsi="Arial" w:cs="Arial"/>
          <w:sz w:val="22"/>
          <w:szCs w:val="22"/>
          <w:vertAlign w:val="superscript"/>
        </w:rPr>
        <w:t>3</w:t>
      </w:r>
      <w:r w:rsidRPr="005A06BA">
        <w:rPr>
          <w:rFonts w:ascii="Arial" w:hAnsi="Arial" w:cs="Arial"/>
          <w:sz w:val="22"/>
          <w:szCs w:val="22"/>
        </w:rPr>
        <w:t>Oliberth Marcelino Pascual Godoy</w:t>
      </w:r>
      <w:r w:rsidRPr="00F35A12">
        <w:rPr>
          <w:rFonts w:ascii="Arial" w:hAnsi="Arial" w:cs="Arial"/>
          <w:sz w:val="22"/>
          <w:szCs w:val="22"/>
        </w:rPr>
        <w:t>,</w:t>
      </w:r>
      <w:r>
        <w:rPr>
          <w:rFonts w:ascii="Arial" w:hAnsi="Arial" w:cs="Arial"/>
          <w:sz w:val="22"/>
          <w:szCs w:val="22"/>
        </w:rPr>
        <w:t xml:space="preserve"> Dirección Regional de Energía y Minas </w:t>
      </w:r>
      <w:r>
        <w:rPr>
          <w:rFonts w:ascii="Arial" w:hAnsi="Arial" w:cs="Arial"/>
          <w:sz w:val="22"/>
          <w:szCs w:val="22"/>
        </w:rPr>
        <w:t>Cajamarca</w:t>
      </w:r>
      <w:r w:rsidR="005A18B9">
        <w:rPr>
          <w:rFonts w:ascii="Arial" w:hAnsi="Arial" w:cs="Arial"/>
          <w:sz w:val="22"/>
          <w:szCs w:val="22"/>
        </w:rPr>
        <w:t>,(</w:t>
      </w:r>
      <w:hyperlink r:id="rId9" w:history="1">
        <w:r w:rsidR="005A18B9" w:rsidRPr="001237C3">
          <w:rPr>
            <w:sz w:val="22"/>
            <w:szCs w:val="22"/>
          </w:rPr>
          <w:t>opascual@regioncajamarca.gob.pe</w:t>
        </w:r>
      </w:hyperlink>
      <w:r w:rsidR="005A18B9" w:rsidRPr="001237C3">
        <w:rPr>
          <w:rFonts w:ascii="Arial" w:hAnsi="Arial" w:cs="Arial"/>
          <w:sz w:val="22"/>
          <w:szCs w:val="22"/>
        </w:rPr>
        <w:t xml:space="preserve">) </w:t>
      </w:r>
      <w:r w:rsidRPr="001237C3">
        <w:rPr>
          <w:rFonts w:ascii="Arial" w:hAnsi="Arial" w:cs="Arial"/>
          <w:sz w:val="22"/>
          <w:szCs w:val="22"/>
        </w:rPr>
        <w:t>Ingeniero</w:t>
      </w:r>
      <w:r w:rsidRPr="001237C3">
        <w:rPr>
          <w:rFonts w:ascii="Arial" w:hAnsi="Arial" w:cs="Arial"/>
          <w:sz w:val="22"/>
          <w:szCs w:val="22"/>
        </w:rPr>
        <w:t xml:space="preserve"> de </w:t>
      </w:r>
      <w:r w:rsidRPr="001237C3">
        <w:rPr>
          <w:rFonts w:ascii="Arial" w:hAnsi="Arial" w:cs="Arial"/>
          <w:sz w:val="22"/>
          <w:szCs w:val="22"/>
        </w:rPr>
        <w:t>Geólogo</w:t>
      </w:r>
      <w:r w:rsidRPr="001237C3">
        <w:rPr>
          <w:rFonts w:ascii="Arial" w:hAnsi="Arial" w:cs="Arial"/>
          <w:sz w:val="22"/>
          <w:szCs w:val="22"/>
        </w:rPr>
        <w:t xml:space="preserve"> especializado minería, con experiencia en evaluación de impactos</w:t>
      </w:r>
      <w:r w:rsidRPr="005A06BA">
        <w:rPr>
          <w:rFonts w:ascii="Arial" w:hAnsi="Arial" w:cs="Arial"/>
          <w:sz w:val="22"/>
          <w:szCs w:val="22"/>
        </w:rPr>
        <w:t xml:space="preserve">, gestión de pasivos ambientales y </w:t>
      </w:r>
      <w:r w:rsidR="005A18B9">
        <w:rPr>
          <w:rFonts w:ascii="Arial" w:hAnsi="Arial" w:cs="Arial"/>
          <w:sz w:val="22"/>
          <w:szCs w:val="22"/>
        </w:rPr>
        <w:t>concesiones mineras</w:t>
      </w:r>
      <w:r w:rsidRPr="005A06BA">
        <w:rPr>
          <w:rFonts w:ascii="Arial" w:hAnsi="Arial" w:cs="Arial"/>
          <w:sz w:val="22"/>
          <w:szCs w:val="22"/>
        </w:rPr>
        <w:t>. Enfocado en la sostenibilidad</w:t>
      </w:r>
      <w:r w:rsidR="005A18B9">
        <w:rPr>
          <w:rFonts w:ascii="Arial" w:hAnsi="Arial" w:cs="Arial"/>
          <w:sz w:val="22"/>
          <w:szCs w:val="22"/>
        </w:rPr>
        <w:t xml:space="preserve"> y </w:t>
      </w:r>
      <w:r w:rsidRPr="005A06BA">
        <w:rPr>
          <w:rFonts w:ascii="Arial" w:hAnsi="Arial" w:cs="Arial"/>
          <w:sz w:val="22"/>
          <w:szCs w:val="22"/>
        </w:rPr>
        <w:t>cumplimiento de normativas ambientales dentro del sector extractivo.</w:t>
      </w:r>
    </w:p>
    <w:p w14:paraId="6D47CABC" w14:textId="77777777" w:rsidR="005A06BA" w:rsidRPr="00F35A12" w:rsidRDefault="005A06BA" w:rsidP="00710417">
      <w:pPr>
        <w:spacing w:line="360" w:lineRule="auto"/>
        <w:ind w:left="-426" w:right="-25"/>
        <w:jc w:val="both"/>
        <w:rPr>
          <w:rFonts w:ascii="Arial" w:hAnsi="Arial" w:cs="Arial"/>
          <w:sz w:val="22"/>
          <w:szCs w:val="22"/>
        </w:rPr>
      </w:pPr>
    </w:p>
    <w:sectPr w:rsidR="005A06BA" w:rsidRPr="00F35A12" w:rsidSect="00D34E61">
      <w:headerReference w:type="even" r:id="rId10"/>
      <w:headerReference w:type="default" r:id="rId11"/>
      <w:footerReference w:type="even" r:id="rId12"/>
      <w:footerReference w:type="default" r:id="rId13"/>
      <w:headerReference w:type="first" r:id="rId14"/>
      <w:footerReference w:type="first" r:id="rId15"/>
      <w:pgSz w:w="11906" w:h="16838"/>
      <w:pgMar w:top="1440" w:right="1133" w:bottom="1440" w:left="1440" w:header="708" w:footer="850" w:gutter="0"/>
      <w:cols w:num="2" w:space="8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5D42D" w14:textId="77777777" w:rsidR="00E32B1B" w:rsidRDefault="00E32B1B" w:rsidP="00DD3735">
      <w:pPr>
        <w:spacing w:after="0" w:line="240" w:lineRule="auto"/>
      </w:pPr>
      <w:r>
        <w:separator/>
      </w:r>
    </w:p>
  </w:endnote>
  <w:endnote w:type="continuationSeparator" w:id="0">
    <w:p w14:paraId="30F12EC8" w14:textId="77777777" w:rsidR="00E32B1B" w:rsidRDefault="00E32B1B" w:rsidP="00DD3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9145" w14:textId="77777777" w:rsidR="001237C3" w:rsidRDefault="001237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254E" w14:textId="77777777" w:rsidR="001237C3" w:rsidRDefault="001237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A1FB" w14:textId="77777777" w:rsidR="001237C3" w:rsidRDefault="001237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E1328" w14:textId="77777777" w:rsidR="00E32B1B" w:rsidRDefault="00E32B1B" w:rsidP="00DD3735">
      <w:pPr>
        <w:spacing w:after="0" w:line="240" w:lineRule="auto"/>
      </w:pPr>
      <w:r>
        <w:separator/>
      </w:r>
    </w:p>
  </w:footnote>
  <w:footnote w:type="continuationSeparator" w:id="0">
    <w:p w14:paraId="294785FE" w14:textId="77777777" w:rsidR="00E32B1B" w:rsidRDefault="00E32B1B" w:rsidP="00DD37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2026" w14:textId="77777777" w:rsidR="001237C3" w:rsidRDefault="001237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D712" w14:textId="77777777" w:rsidR="00D34E61" w:rsidRPr="00D34E61" w:rsidRDefault="00D34E61" w:rsidP="00D34E61">
    <w:pPr>
      <w:spacing w:after="0" w:line="360" w:lineRule="auto"/>
      <w:jc w:val="center"/>
      <w:rPr>
        <w:rFonts w:ascii="Arial" w:hAnsi="Arial" w:cs="Arial"/>
        <w:b/>
        <w:bCs/>
        <w:color w:val="000000" w:themeColor="text1"/>
        <w:sz w:val="18"/>
        <w:szCs w:val="18"/>
      </w:rPr>
    </w:pPr>
    <w:r w:rsidRPr="00D34E61">
      <w:rPr>
        <w:rFonts w:ascii="Arial" w:hAnsi="Arial" w:cs="Arial"/>
        <w:b/>
        <w:bCs/>
        <w:color w:val="000000" w:themeColor="text1"/>
        <w:sz w:val="18"/>
        <w:szCs w:val="18"/>
      </w:rPr>
      <w:t>Resumen técnico para el Foro de Tecnología, Innovación y Sostenibilidad – FORO TIS</w:t>
    </w:r>
  </w:p>
  <w:p w14:paraId="1D0870A8" w14:textId="3D96C989" w:rsidR="00D34E61" w:rsidRPr="00D34E61" w:rsidRDefault="00D34E61" w:rsidP="00D34E61">
    <w:pPr>
      <w:spacing w:after="0" w:line="360" w:lineRule="auto"/>
      <w:jc w:val="center"/>
      <w:rPr>
        <w:rFonts w:ascii="Arial" w:hAnsi="Arial" w:cs="Arial"/>
        <w:b/>
        <w:bCs/>
        <w:color w:val="000000" w:themeColor="text1"/>
        <w:sz w:val="18"/>
        <w:szCs w:val="18"/>
      </w:rPr>
    </w:pPr>
    <w:r w:rsidRPr="00D34E61">
      <w:rPr>
        <w:rFonts w:ascii="Arial" w:hAnsi="Arial" w:cs="Arial"/>
        <w:b/>
        <w:bCs/>
        <w:color w:val="000000" w:themeColor="text1"/>
        <w:sz w:val="18"/>
        <w:szCs w:val="18"/>
      </w:rPr>
      <w:t>Perumin 37-</w:t>
    </w:r>
    <w:r w:rsidR="00D71C12">
      <w:rPr>
        <w:rFonts w:ascii="Arial" w:hAnsi="Arial" w:cs="Arial"/>
        <w:b/>
        <w:bCs/>
        <w:color w:val="000000" w:themeColor="text1"/>
        <w:sz w:val="18"/>
        <w:szCs w:val="18"/>
      </w:rPr>
      <w:t xml:space="preserve">Regulación y Economía minera </w:t>
    </w:r>
    <w:r w:rsidRPr="00D34E61">
      <w:rPr>
        <w:rFonts w:ascii="Arial" w:hAnsi="Arial" w:cs="Arial"/>
        <w:b/>
        <w:bCs/>
        <w:color w:val="000000" w:themeColor="text1"/>
        <w:sz w:val="18"/>
        <w:szCs w:val="18"/>
      </w:rPr>
      <w:t xml:space="preserve">– </w:t>
    </w:r>
    <w:r w:rsidR="00D71C12">
      <w:rPr>
        <w:rFonts w:ascii="Arial" w:hAnsi="Arial" w:cs="Arial"/>
        <w:b/>
        <w:bCs/>
        <w:color w:val="000000" w:themeColor="text1"/>
        <w:sz w:val="18"/>
        <w:szCs w:val="18"/>
      </w:rPr>
      <w:t>Formalización de pequeña minería y minería artesanal</w:t>
    </w:r>
    <w:r w:rsidRPr="00D34E61">
      <w:rPr>
        <w:rFonts w:ascii="Arial" w:hAnsi="Arial" w:cs="Arial"/>
        <w:b/>
        <w:bCs/>
        <w:color w:val="000000" w:themeColor="text1"/>
        <w:sz w:val="18"/>
        <w:szCs w:val="18"/>
      </w:rPr>
      <w:t>.</w:t>
    </w:r>
  </w:p>
  <w:p w14:paraId="5210E86D" w14:textId="580FFE46" w:rsidR="00D34E61" w:rsidRPr="00D34E61" w:rsidRDefault="00D34E61" w:rsidP="00D34E61">
    <w:pPr>
      <w:spacing w:after="0" w:line="360" w:lineRule="auto"/>
      <w:jc w:val="center"/>
      <w:rPr>
        <w:rFonts w:ascii="Arial" w:hAnsi="Arial" w:cs="Arial"/>
        <w:i/>
        <w:iCs/>
        <w:sz w:val="18"/>
        <w:szCs w:val="18"/>
      </w:rPr>
    </w:pPr>
    <w:r w:rsidRPr="00D34E61">
      <w:rPr>
        <w:rFonts w:ascii="Arial" w:hAnsi="Arial" w:cs="Arial"/>
        <w:b/>
        <w:bCs/>
        <w:sz w:val="18"/>
        <w:szCs w:val="18"/>
      </w:rPr>
      <w:t>Título de investigación:</w:t>
    </w:r>
    <w:r w:rsidRPr="00D34E61">
      <w:rPr>
        <w:rFonts w:ascii="Arial" w:hAnsi="Arial" w:cs="Arial"/>
        <w:b/>
        <w:bCs/>
        <w:i/>
        <w:iCs/>
        <w:sz w:val="18"/>
        <w:szCs w:val="18"/>
      </w:rPr>
      <w:t xml:space="preserve"> </w:t>
    </w:r>
    <w:r w:rsidR="001237C3" w:rsidRPr="001237C3">
      <w:rPr>
        <w:rFonts w:ascii="Arial" w:hAnsi="Arial" w:cs="Arial"/>
        <w:i/>
        <w:iCs/>
        <w:sz w:val="18"/>
        <w:szCs w:val="18"/>
      </w:rPr>
      <w:t xml:space="preserve">"El REINFO como barrera y no solución: </w:t>
    </w:r>
    <w:r w:rsidR="001237C3">
      <w:rPr>
        <w:rFonts w:ascii="Arial" w:hAnsi="Arial" w:cs="Arial"/>
        <w:i/>
        <w:iCs/>
        <w:sz w:val="18"/>
        <w:szCs w:val="18"/>
      </w:rPr>
      <w:t>A</w:t>
    </w:r>
    <w:r w:rsidR="001237C3" w:rsidRPr="001237C3">
      <w:rPr>
        <w:rFonts w:ascii="Arial" w:hAnsi="Arial" w:cs="Arial"/>
        <w:i/>
        <w:iCs/>
        <w:sz w:val="18"/>
        <w:szCs w:val="18"/>
      </w:rPr>
      <w:t xml:space="preserve">nálisis </w:t>
    </w:r>
    <w:r w:rsidR="001237C3">
      <w:rPr>
        <w:rFonts w:ascii="Arial" w:hAnsi="Arial" w:cs="Arial"/>
        <w:i/>
        <w:iCs/>
        <w:sz w:val="18"/>
        <w:szCs w:val="18"/>
      </w:rPr>
      <w:t>y propuestas ante los</w:t>
    </w:r>
    <w:r w:rsidR="001237C3" w:rsidRPr="001237C3">
      <w:rPr>
        <w:rFonts w:ascii="Arial" w:hAnsi="Arial" w:cs="Arial"/>
        <w:i/>
        <w:iCs/>
        <w:sz w:val="18"/>
        <w:szCs w:val="18"/>
      </w:rPr>
      <w:t xml:space="preserve"> vacíos</w:t>
    </w:r>
    <w:r w:rsidR="001237C3">
      <w:rPr>
        <w:rFonts w:ascii="Arial" w:hAnsi="Arial" w:cs="Arial"/>
        <w:i/>
        <w:iCs/>
        <w:sz w:val="18"/>
        <w:szCs w:val="18"/>
      </w:rPr>
      <w:t xml:space="preserve"> estructurales</w:t>
    </w:r>
    <w:r w:rsidR="001237C3" w:rsidRPr="001237C3">
      <w:rPr>
        <w:rFonts w:ascii="Arial" w:hAnsi="Arial" w:cs="Arial"/>
        <w:i/>
        <w:iCs/>
        <w:sz w:val="18"/>
        <w:szCs w:val="18"/>
      </w:rPr>
      <w:t xml:space="preserve"> en la formalización minera".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622A5" w14:textId="77777777" w:rsidR="001237C3" w:rsidRDefault="001237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573"/>
    <w:multiLevelType w:val="hybridMultilevel"/>
    <w:tmpl w:val="ECC62F54"/>
    <w:lvl w:ilvl="0" w:tplc="70364FC0">
      <w:start w:val="1"/>
      <w:numFmt w:val="upperLetter"/>
      <w:lvlText w:val="%1)"/>
      <w:lvlJc w:val="left"/>
      <w:pPr>
        <w:ind w:left="-66" w:hanging="360"/>
      </w:pPr>
      <w:rPr>
        <w:rFonts w:hint="default"/>
      </w:rPr>
    </w:lvl>
    <w:lvl w:ilvl="1" w:tplc="280A0019" w:tentative="1">
      <w:start w:val="1"/>
      <w:numFmt w:val="lowerLetter"/>
      <w:lvlText w:val="%2."/>
      <w:lvlJc w:val="left"/>
      <w:pPr>
        <w:ind w:left="654" w:hanging="360"/>
      </w:pPr>
    </w:lvl>
    <w:lvl w:ilvl="2" w:tplc="280A001B" w:tentative="1">
      <w:start w:val="1"/>
      <w:numFmt w:val="lowerRoman"/>
      <w:lvlText w:val="%3."/>
      <w:lvlJc w:val="right"/>
      <w:pPr>
        <w:ind w:left="1374" w:hanging="180"/>
      </w:pPr>
    </w:lvl>
    <w:lvl w:ilvl="3" w:tplc="280A000F" w:tentative="1">
      <w:start w:val="1"/>
      <w:numFmt w:val="decimal"/>
      <w:lvlText w:val="%4."/>
      <w:lvlJc w:val="left"/>
      <w:pPr>
        <w:ind w:left="2094" w:hanging="360"/>
      </w:pPr>
    </w:lvl>
    <w:lvl w:ilvl="4" w:tplc="280A0019" w:tentative="1">
      <w:start w:val="1"/>
      <w:numFmt w:val="lowerLetter"/>
      <w:lvlText w:val="%5."/>
      <w:lvlJc w:val="left"/>
      <w:pPr>
        <w:ind w:left="2814" w:hanging="360"/>
      </w:pPr>
    </w:lvl>
    <w:lvl w:ilvl="5" w:tplc="280A001B" w:tentative="1">
      <w:start w:val="1"/>
      <w:numFmt w:val="lowerRoman"/>
      <w:lvlText w:val="%6."/>
      <w:lvlJc w:val="right"/>
      <w:pPr>
        <w:ind w:left="3534" w:hanging="180"/>
      </w:pPr>
    </w:lvl>
    <w:lvl w:ilvl="6" w:tplc="280A000F" w:tentative="1">
      <w:start w:val="1"/>
      <w:numFmt w:val="decimal"/>
      <w:lvlText w:val="%7."/>
      <w:lvlJc w:val="left"/>
      <w:pPr>
        <w:ind w:left="4254" w:hanging="360"/>
      </w:pPr>
    </w:lvl>
    <w:lvl w:ilvl="7" w:tplc="280A0019" w:tentative="1">
      <w:start w:val="1"/>
      <w:numFmt w:val="lowerLetter"/>
      <w:lvlText w:val="%8."/>
      <w:lvlJc w:val="left"/>
      <w:pPr>
        <w:ind w:left="4974" w:hanging="360"/>
      </w:pPr>
    </w:lvl>
    <w:lvl w:ilvl="8" w:tplc="280A001B" w:tentative="1">
      <w:start w:val="1"/>
      <w:numFmt w:val="lowerRoman"/>
      <w:lvlText w:val="%9."/>
      <w:lvlJc w:val="right"/>
      <w:pPr>
        <w:ind w:left="5694" w:hanging="180"/>
      </w:pPr>
    </w:lvl>
  </w:abstractNum>
  <w:abstractNum w:abstractNumId="1" w15:restartNumberingAfterBreak="0">
    <w:nsid w:val="25531074"/>
    <w:multiLevelType w:val="hybridMultilevel"/>
    <w:tmpl w:val="93C09B76"/>
    <w:lvl w:ilvl="0" w:tplc="77EE56C8">
      <w:start w:val="1"/>
      <w:numFmt w:val="decimal"/>
      <w:lvlText w:val="%1."/>
      <w:lvlJc w:val="left"/>
      <w:pPr>
        <w:ind w:left="-66" w:hanging="360"/>
      </w:pPr>
      <w:rPr>
        <w:rFonts w:hint="default"/>
        <w:b/>
        <w:bCs/>
      </w:rPr>
    </w:lvl>
    <w:lvl w:ilvl="1" w:tplc="280A0019" w:tentative="1">
      <w:start w:val="1"/>
      <w:numFmt w:val="lowerLetter"/>
      <w:lvlText w:val="%2."/>
      <w:lvlJc w:val="left"/>
      <w:pPr>
        <w:ind w:left="654" w:hanging="360"/>
      </w:pPr>
    </w:lvl>
    <w:lvl w:ilvl="2" w:tplc="280A001B" w:tentative="1">
      <w:start w:val="1"/>
      <w:numFmt w:val="lowerRoman"/>
      <w:lvlText w:val="%3."/>
      <w:lvlJc w:val="right"/>
      <w:pPr>
        <w:ind w:left="1374" w:hanging="180"/>
      </w:pPr>
    </w:lvl>
    <w:lvl w:ilvl="3" w:tplc="280A000F" w:tentative="1">
      <w:start w:val="1"/>
      <w:numFmt w:val="decimal"/>
      <w:lvlText w:val="%4."/>
      <w:lvlJc w:val="left"/>
      <w:pPr>
        <w:ind w:left="2094" w:hanging="360"/>
      </w:pPr>
    </w:lvl>
    <w:lvl w:ilvl="4" w:tplc="280A0019" w:tentative="1">
      <w:start w:val="1"/>
      <w:numFmt w:val="lowerLetter"/>
      <w:lvlText w:val="%5."/>
      <w:lvlJc w:val="left"/>
      <w:pPr>
        <w:ind w:left="2814" w:hanging="360"/>
      </w:pPr>
    </w:lvl>
    <w:lvl w:ilvl="5" w:tplc="280A001B" w:tentative="1">
      <w:start w:val="1"/>
      <w:numFmt w:val="lowerRoman"/>
      <w:lvlText w:val="%6."/>
      <w:lvlJc w:val="right"/>
      <w:pPr>
        <w:ind w:left="3534" w:hanging="180"/>
      </w:pPr>
    </w:lvl>
    <w:lvl w:ilvl="6" w:tplc="280A000F" w:tentative="1">
      <w:start w:val="1"/>
      <w:numFmt w:val="decimal"/>
      <w:lvlText w:val="%7."/>
      <w:lvlJc w:val="left"/>
      <w:pPr>
        <w:ind w:left="4254" w:hanging="360"/>
      </w:pPr>
    </w:lvl>
    <w:lvl w:ilvl="7" w:tplc="280A0019" w:tentative="1">
      <w:start w:val="1"/>
      <w:numFmt w:val="lowerLetter"/>
      <w:lvlText w:val="%8."/>
      <w:lvlJc w:val="left"/>
      <w:pPr>
        <w:ind w:left="4974" w:hanging="360"/>
      </w:pPr>
    </w:lvl>
    <w:lvl w:ilvl="8" w:tplc="280A001B" w:tentative="1">
      <w:start w:val="1"/>
      <w:numFmt w:val="lowerRoman"/>
      <w:lvlText w:val="%9."/>
      <w:lvlJc w:val="right"/>
      <w:pPr>
        <w:ind w:left="5694" w:hanging="180"/>
      </w:pPr>
    </w:lvl>
  </w:abstractNum>
  <w:abstractNum w:abstractNumId="2" w15:restartNumberingAfterBreak="0">
    <w:nsid w:val="587D74DD"/>
    <w:multiLevelType w:val="hybridMultilevel"/>
    <w:tmpl w:val="367CB176"/>
    <w:lvl w:ilvl="0" w:tplc="280A0001">
      <w:start w:val="1"/>
      <w:numFmt w:val="bullet"/>
      <w:lvlText w:val=""/>
      <w:lvlJc w:val="left"/>
      <w:pPr>
        <w:ind w:left="294" w:hanging="360"/>
      </w:pPr>
      <w:rPr>
        <w:rFonts w:ascii="Symbol" w:hAnsi="Symbol" w:hint="default"/>
      </w:rPr>
    </w:lvl>
    <w:lvl w:ilvl="1" w:tplc="280A0003" w:tentative="1">
      <w:start w:val="1"/>
      <w:numFmt w:val="bullet"/>
      <w:lvlText w:val="o"/>
      <w:lvlJc w:val="left"/>
      <w:pPr>
        <w:ind w:left="1014" w:hanging="360"/>
      </w:pPr>
      <w:rPr>
        <w:rFonts w:ascii="Courier New" w:hAnsi="Courier New" w:cs="Courier New" w:hint="default"/>
      </w:rPr>
    </w:lvl>
    <w:lvl w:ilvl="2" w:tplc="280A0005" w:tentative="1">
      <w:start w:val="1"/>
      <w:numFmt w:val="bullet"/>
      <w:lvlText w:val=""/>
      <w:lvlJc w:val="left"/>
      <w:pPr>
        <w:ind w:left="1734" w:hanging="360"/>
      </w:pPr>
      <w:rPr>
        <w:rFonts w:ascii="Wingdings" w:hAnsi="Wingdings" w:hint="default"/>
      </w:rPr>
    </w:lvl>
    <w:lvl w:ilvl="3" w:tplc="280A0001" w:tentative="1">
      <w:start w:val="1"/>
      <w:numFmt w:val="bullet"/>
      <w:lvlText w:val=""/>
      <w:lvlJc w:val="left"/>
      <w:pPr>
        <w:ind w:left="2454" w:hanging="360"/>
      </w:pPr>
      <w:rPr>
        <w:rFonts w:ascii="Symbol" w:hAnsi="Symbol" w:hint="default"/>
      </w:rPr>
    </w:lvl>
    <w:lvl w:ilvl="4" w:tplc="280A0003" w:tentative="1">
      <w:start w:val="1"/>
      <w:numFmt w:val="bullet"/>
      <w:lvlText w:val="o"/>
      <w:lvlJc w:val="left"/>
      <w:pPr>
        <w:ind w:left="3174" w:hanging="360"/>
      </w:pPr>
      <w:rPr>
        <w:rFonts w:ascii="Courier New" w:hAnsi="Courier New" w:cs="Courier New" w:hint="default"/>
      </w:rPr>
    </w:lvl>
    <w:lvl w:ilvl="5" w:tplc="280A0005" w:tentative="1">
      <w:start w:val="1"/>
      <w:numFmt w:val="bullet"/>
      <w:lvlText w:val=""/>
      <w:lvlJc w:val="left"/>
      <w:pPr>
        <w:ind w:left="3894" w:hanging="360"/>
      </w:pPr>
      <w:rPr>
        <w:rFonts w:ascii="Wingdings" w:hAnsi="Wingdings" w:hint="default"/>
      </w:rPr>
    </w:lvl>
    <w:lvl w:ilvl="6" w:tplc="280A0001" w:tentative="1">
      <w:start w:val="1"/>
      <w:numFmt w:val="bullet"/>
      <w:lvlText w:val=""/>
      <w:lvlJc w:val="left"/>
      <w:pPr>
        <w:ind w:left="4614" w:hanging="360"/>
      </w:pPr>
      <w:rPr>
        <w:rFonts w:ascii="Symbol" w:hAnsi="Symbol" w:hint="default"/>
      </w:rPr>
    </w:lvl>
    <w:lvl w:ilvl="7" w:tplc="280A0003" w:tentative="1">
      <w:start w:val="1"/>
      <w:numFmt w:val="bullet"/>
      <w:lvlText w:val="o"/>
      <w:lvlJc w:val="left"/>
      <w:pPr>
        <w:ind w:left="5334" w:hanging="360"/>
      </w:pPr>
      <w:rPr>
        <w:rFonts w:ascii="Courier New" w:hAnsi="Courier New" w:cs="Courier New" w:hint="default"/>
      </w:rPr>
    </w:lvl>
    <w:lvl w:ilvl="8" w:tplc="280A0005" w:tentative="1">
      <w:start w:val="1"/>
      <w:numFmt w:val="bullet"/>
      <w:lvlText w:val=""/>
      <w:lvlJc w:val="left"/>
      <w:pPr>
        <w:ind w:left="6054" w:hanging="360"/>
      </w:pPr>
      <w:rPr>
        <w:rFonts w:ascii="Wingdings" w:hAnsi="Wingdings" w:hint="default"/>
      </w:rPr>
    </w:lvl>
  </w:abstractNum>
  <w:abstractNum w:abstractNumId="3" w15:restartNumberingAfterBreak="0">
    <w:nsid w:val="60C52B6A"/>
    <w:multiLevelType w:val="multilevel"/>
    <w:tmpl w:val="897E07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B8068AD"/>
    <w:multiLevelType w:val="hybridMultilevel"/>
    <w:tmpl w:val="1180C0DE"/>
    <w:lvl w:ilvl="0" w:tplc="280A0001">
      <w:start w:val="1"/>
      <w:numFmt w:val="bullet"/>
      <w:lvlText w:val=""/>
      <w:lvlJc w:val="left"/>
      <w:pPr>
        <w:ind w:left="294" w:hanging="360"/>
      </w:pPr>
      <w:rPr>
        <w:rFonts w:ascii="Symbol" w:hAnsi="Symbol" w:hint="default"/>
      </w:rPr>
    </w:lvl>
    <w:lvl w:ilvl="1" w:tplc="280A0003" w:tentative="1">
      <w:start w:val="1"/>
      <w:numFmt w:val="bullet"/>
      <w:lvlText w:val="o"/>
      <w:lvlJc w:val="left"/>
      <w:pPr>
        <w:ind w:left="1014" w:hanging="360"/>
      </w:pPr>
      <w:rPr>
        <w:rFonts w:ascii="Courier New" w:hAnsi="Courier New" w:cs="Courier New" w:hint="default"/>
      </w:rPr>
    </w:lvl>
    <w:lvl w:ilvl="2" w:tplc="280A0005" w:tentative="1">
      <w:start w:val="1"/>
      <w:numFmt w:val="bullet"/>
      <w:lvlText w:val=""/>
      <w:lvlJc w:val="left"/>
      <w:pPr>
        <w:ind w:left="1734" w:hanging="360"/>
      </w:pPr>
      <w:rPr>
        <w:rFonts w:ascii="Wingdings" w:hAnsi="Wingdings" w:hint="default"/>
      </w:rPr>
    </w:lvl>
    <w:lvl w:ilvl="3" w:tplc="280A0001" w:tentative="1">
      <w:start w:val="1"/>
      <w:numFmt w:val="bullet"/>
      <w:lvlText w:val=""/>
      <w:lvlJc w:val="left"/>
      <w:pPr>
        <w:ind w:left="2454" w:hanging="360"/>
      </w:pPr>
      <w:rPr>
        <w:rFonts w:ascii="Symbol" w:hAnsi="Symbol" w:hint="default"/>
      </w:rPr>
    </w:lvl>
    <w:lvl w:ilvl="4" w:tplc="280A0003" w:tentative="1">
      <w:start w:val="1"/>
      <w:numFmt w:val="bullet"/>
      <w:lvlText w:val="o"/>
      <w:lvlJc w:val="left"/>
      <w:pPr>
        <w:ind w:left="3174" w:hanging="360"/>
      </w:pPr>
      <w:rPr>
        <w:rFonts w:ascii="Courier New" w:hAnsi="Courier New" w:cs="Courier New" w:hint="default"/>
      </w:rPr>
    </w:lvl>
    <w:lvl w:ilvl="5" w:tplc="280A0005" w:tentative="1">
      <w:start w:val="1"/>
      <w:numFmt w:val="bullet"/>
      <w:lvlText w:val=""/>
      <w:lvlJc w:val="left"/>
      <w:pPr>
        <w:ind w:left="3894" w:hanging="360"/>
      </w:pPr>
      <w:rPr>
        <w:rFonts w:ascii="Wingdings" w:hAnsi="Wingdings" w:hint="default"/>
      </w:rPr>
    </w:lvl>
    <w:lvl w:ilvl="6" w:tplc="280A0001" w:tentative="1">
      <w:start w:val="1"/>
      <w:numFmt w:val="bullet"/>
      <w:lvlText w:val=""/>
      <w:lvlJc w:val="left"/>
      <w:pPr>
        <w:ind w:left="4614" w:hanging="360"/>
      </w:pPr>
      <w:rPr>
        <w:rFonts w:ascii="Symbol" w:hAnsi="Symbol" w:hint="default"/>
      </w:rPr>
    </w:lvl>
    <w:lvl w:ilvl="7" w:tplc="280A0003" w:tentative="1">
      <w:start w:val="1"/>
      <w:numFmt w:val="bullet"/>
      <w:lvlText w:val="o"/>
      <w:lvlJc w:val="left"/>
      <w:pPr>
        <w:ind w:left="5334" w:hanging="360"/>
      </w:pPr>
      <w:rPr>
        <w:rFonts w:ascii="Courier New" w:hAnsi="Courier New" w:cs="Courier New" w:hint="default"/>
      </w:rPr>
    </w:lvl>
    <w:lvl w:ilvl="8" w:tplc="280A0005" w:tentative="1">
      <w:start w:val="1"/>
      <w:numFmt w:val="bullet"/>
      <w:lvlText w:val=""/>
      <w:lvlJc w:val="left"/>
      <w:pPr>
        <w:ind w:left="6054" w:hanging="360"/>
      </w:pPr>
      <w:rPr>
        <w:rFonts w:ascii="Wingdings" w:hAnsi="Wingdings" w:hint="default"/>
      </w:rPr>
    </w:lvl>
  </w:abstractNum>
  <w:abstractNum w:abstractNumId="5" w15:restartNumberingAfterBreak="0">
    <w:nsid w:val="6EDE7D58"/>
    <w:multiLevelType w:val="hybridMultilevel"/>
    <w:tmpl w:val="B3425E0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1735006270">
    <w:abstractNumId w:val="0"/>
  </w:num>
  <w:num w:numId="2" w16cid:durableId="2106729570">
    <w:abstractNumId w:val="1"/>
  </w:num>
  <w:num w:numId="3" w16cid:durableId="1865095268">
    <w:abstractNumId w:val="2"/>
  </w:num>
  <w:num w:numId="4" w16cid:durableId="1612783223">
    <w:abstractNumId w:val="3"/>
  </w:num>
  <w:num w:numId="5" w16cid:durableId="1000890206">
    <w:abstractNumId w:val="5"/>
  </w:num>
  <w:num w:numId="6" w16cid:durableId="17225527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27F"/>
    <w:rsid w:val="0004177E"/>
    <w:rsid w:val="0006602B"/>
    <w:rsid w:val="000D327F"/>
    <w:rsid w:val="000D3CA6"/>
    <w:rsid w:val="000E78DA"/>
    <w:rsid w:val="00111446"/>
    <w:rsid w:val="001237C3"/>
    <w:rsid w:val="00135A9F"/>
    <w:rsid w:val="00144AAB"/>
    <w:rsid w:val="0015396C"/>
    <w:rsid w:val="00170E8E"/>
    <w:rsid w:val="001B0AEA"/>
    <w:rsid w:val="001B55F2"/>
    <w:rsid w:val="00290E2D"/>
    <w:rsid w:val="002D4259"/>
    <w:rsid w:val="00327027"/>
    <w:rsid w:val="003273C6"/>
    <w:rsid w:val="003A345C"/>
    <w:rsid w:val="00403492"/>
    <w:rsid w:val="00436998"/>
    <w:rsid w:val="004520D5"/>
    <w:rsid w:val="0049663D"/>
    <w:rsid w:val="004B4E97"/>
    <w:rsid w:val="004C3E4B"/>
    <w:rsid w:val="00523E3A"/>
    <w:rsid w:val="0055084C"/>
    <w:rsid w:val="005869C3"/>
    <w:rsid w:val="00587C52"/>
    <w:rsid w:val="005A06BA"/>
    <w:rsid w:val="005A18B9"/>
    <w:rsid w:val="005E3C9C"/>
    <w:rsid w:val="00624F22"/>
    <w:rsid w:val="006570BA"/>
    <w:rsid w:val="00710417"/>
    <w:rsid w:val="00767C1F"/>
    <w:rsid w:val="00785ADC"/>
    <w:rsid w:val="008045FB"/>
    <w:rsid w:val="008222BA"/>
    <w:rsid w:val="00856119"/>
    <w:rsid w:val="008830B2"/>
    <w:rsid w:val="008A1872"/>
    <w:rsid w:val="008A7629"/>
    <w:rsid w:val="00944243"/>
    <w:rsid w:val="009D46D7"/>
    <w:rsid w:val="00A30AE9"/>
    <w:rsid w:val="00B12795"/>
    <w:rsid w:val="00B14FAA"/>
    <w:rsid w:val="00B67EBF"/>
    <w:rsid w:val="00BE3DAA"/>
    <w:rsid w:val="00BF767A"/>
    <w:rsid w:val="00BF7F74"/>
    <w:rsid w:val="00D34E61"/>
    <w:rsid w:val="00D71C12"/>
    <w:rsid w:val="00D75062"/>
    <w:rsid w:val="00DB5642"/>
    <w:rsid w:val="00DC2956"/>
    <w:rsid w:val="00DD0609"/>
    <w:rsid w:val="00DD3735"/>
    <w:rsid w:val="00E32B1B"/>
    <w:rsid w:val="00F329E3"/>
    <w:rsid w:val="00F35A12"/>
    <w:rsid w:val="00FA2A6E"/>
    <w:rsid w:val="00FA5EAE"/>
    <w:rsid w:val="00FF0A1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14B75"/>
  <w15:chartTrackingRefBased/>
  <w15:docId w15:val="{3E083E7E-1D32-43CC-A42C-E09C6BF06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27F"/>
    <w:rPr>
      <w:rFonts w:eastAsiaTheme="majorEastAsia" w:cstheme="majorBidi"/>
      <w:color w:val="272727" w:themeColor="text1" w:themeTint="D8"/>
    </w:rPr>
  </w:style>
  <w:style w:type="paragraph" w:styleId="Title">
    <w:name w:val="Title"/>
    <w:basedOn w:val="Normal"/>
    <w:next w:val="Normal"/>
    <w:link w:val="TitleChar"/>
    <w:uiPriority w:val="10"/>
    <w:qFormat/>
    <w:rsid w:val="000D3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27F"/>
    <w:pPr>
      <w:spacing w:before="160"/>
      <w:jc w:val="center"/>
    </w:pPr>
    <w:rPr>
      <w:i/>
      <w:iCs/>
      <w:color w:val="404040" w:themeColor="text1" w:themeTint="BF"/>
    </w:rPr>
  </w:style>
  <w:style w:type="character" w:customStyle="1" w:styleId="QuoteChar">
    <w:name w:val="Quote Char"/>
    <w:basedOn w:val="DefaultParagraphFont"/>
    <w:link w:val="Quote"/>
    <w:uiPriority w:val="29"/>
    <w:rsid w:val="000D327F"/>
    <w:rPr>
      <w:i/>
      <w:iCs/>
      <w:color w:val="404040" w:themeColor="text1" w:themeTint="BF"/>
    </w:rPr>
  </w:style>
  <w:style w:type="paragraph" w:styleId="ListParagraph">
    <w:name w:val="List Paragraph"/>
    <w:basedOn w:val="Normal"/>
    <w:uiPriority w:val="34"/>
    <w:qFormat/>
    <w:rsid w:val="000D327F"/>
    <w:pPr>
      <w:ind w:left="720"/>
      <w:contextualSpacing/>
    </w:pPr>
  </w:style>
  <w:style w:type="character" w:styleId="IntenseEmphasis">
    <w:name w:val="Intense Emphasis"/>
    <w:basedOn w:val="DefaultParagraphFont"/>
    <w:uiPriority w:val="21"/>
    <w:qFormat/>
    <w:rsid w:val="000D327F"/>
    <w:rPr>
      <w:i/>
      <w:iCs/>
      <w:color w:val="0F4761" w:themeColor="accent1" w:themeShade="BF"/>
    </w:rPr>
  </w:style>
  <w:style w:type="paragraph" w:styleId="IntenseQuote">
    <w:name w:val="Intense Quote"/>
    <w:basedOn w:val="Normal"/>
    <w:next w:val="Normal"/>
    <w:link w:val="IntenseQuoteChar"/>
    <w:uiPriority w:val="30"/>
    <w:qFormat/>
    <w:rsid w:val="000D3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27F"/>
    <w:rPr>
      <w:i/>
      <w:iCs/>
      <w:color w:val="0F4761" w:themeColor="accent1" w:themeShade="BF"/>
    </w:rPr>
  </w:style>
  <w:style w:type="character" w:styleId="IntenseReference">
    <w:name w:val="Intense Reference"/>
    <w:basedOn w:val="DefaultParagraphFont"/>
    <w:uiPriority w:val="32"/>
    <w:qFormat/>
    <w:rsid w:val="000D327F"/>
    <w:rPr>
      <w:b/>
      <w:bCs/>
      <w:smallCaps/>
      <w:color w:val="0F4761" w:themeColor="accent1" w:themeShade="BF"/>
      <w:spacing w:val="5"/>
    </w:rPr>
  </w:style>
  <w:style w:type="character" w:styleId="Hyperlink">
    <w:name w:val="Hyperlink"/>
    <w:basedOn w:val="DefaultParagraphFont"/>
    <w:uiPriority w:val="99"/>
    <w:unhideWhenUsed/>
    <w:rsid w:val="000D327F"/>
    <w:rPr>
      <w:color w:val="467886" w:themeColor="hyperlink"/>
      <w:u w:val="single"/>
    </w:rPr>
  </w:style>
  <w:style w:type="character" w:styleId="UnresolvedMention">
    <w:name w:val="Unresolved Mention"/>
    <w:basedOn w:val="DefaultParagraphFont"/>
    <w:uiPriority w:val="99"/>
    <w:semiHidden/>
    <w:unhideWhenUsed/>
    <w:rsid w:val="000D327F"/>
    <w:rPr>
      <w:color w:val="605E5C"/>
      <w:shd w:val="clear" w:color="auto" w:fill="E1DFDD"/>
    </w:rPr>
  </w:style>
  <w:style w:type="paragraph" w:styleId="Header">
    <w:name w:val="header"/>
    <w:basedOn w:val="Normal"/>
    <w:link w:val="HeaderChar"/>
    <w:uiPriority w:val="99"/>
    <w:unhideWhenUsed/>
    <w:rsid w:val="00DD37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735"/>
  </w:style>
  <w:style w:type="paragraph" w:styleId="Footer">
    <w:name w:val="footer"/>
    <w:basedOn w:val="Normal"/>
    <w:link w:val="FooterChar"/>
    <w:uiPriority w:val="99"/>
    <w:unhideWhenUsed/>
    <w:rsid w:val="00DD37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735"/>
  </w:style>
  <w:style w:type="character" w:styleId="PlaceholderText">
    <w:name w:val="Placeholder Text"/>
    <w:basedOn w:val="DefaultParagraphFont"/>
    <w:uiPriority w:val="99"/>
    <w:semiHidden/>
    <w:rsid w:val="0006602B"/>
    <w:rPr>
      <w:color w:val="666666"/>
    </w:rPr>
  </w:style>
  <w:style w:type="table" w:styleId="TableGrid">
    <w:name w:val="Table Grid"/>
    <w:basedOn w:val="TableNormal"/>
    <w:uiPriority w:val="39"/>
    <w:rsid w:val="008A7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830B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830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4424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94424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40859">
      <w:bodyDiv w:val="1"/>
      <w:marLeft w:val="0"/>
      <w:marRight w:val="0"/>
      <w:marTop w:val="0"/>
      <w:marBottom w:val="0"/>
      <w:divBdr>
        <w:top w:val="none" w:sz="0" w:space="0" w:color="auto"/>
        <w:left w:val="none" w:sz="0" w:space="0" w:color="auto"/>
        <w:bottom w:val="none" w:sz="0" w:space="0" w:color="auto"/>
        <w:right w:val="none" w:sz="0" w:space="0" w:color="auto"/>
      </w:divBdr>
    </w:div>
    <w:div w:id="451825711">
      <w:bodyDiv w:val="1"/>
      <w:marLeft w:val="0"/>
      <w:marRight w:val="0"/>
      <w:marTop w:val="0"/>
      <w:marBottom w:val="0"/>
      <w:divBdr>
        <w:top w:val="none" w:sz="0" w:space="0" w:color="auto"/>
        <w:left w:val="none" w:sz="0" w:space="0" w:color="auto"/>
        <w:bottom w:val="none" w:sz="0" w:space="0" w:color="auto"/>
        <w:right w:val="none" w:sz="0" w:space="0" w:color="auto"/>
      </w:divBdr>
    </w:div>
    <w:div w:id="605773300">
      <w:bodyDiv w:val="1"/>
      <w:marLeft w:val="0"/>
      <w:marRight w:val="0"/>
      <w:marTop w:val="0"/>
      <w:marBottom w:val="0"/>
      <w:divBdr>
        <w:top w:val="none" w:sz="0" w:space="0" w:color="auto"/>
        <w:left w:val="none" w:sz="0" w:space="0" w:color="auto"/>
        <w:bottom w:val="none" w:sz="0" w:space="0" w:color="auto"/>
        <w:right w:val="none" w:sz="0" w:space="0" w:color="auto"/>
      </w:divBdr>
    </w:div>
    <w:div w:id="748767560">
      <w:bodyDiv w:val="1"/>
      <w:marLeft w:val="0"/>
      <w:marRight w:val="0"/>
      <w:marTop w:val="0"/>
      <w:marBottom w:val="0"/>
      <w:divBdr>
        <w:top w:val="none" w:sz="0" w:space="0" w:color="auto"/>
        <w:left w:val="none" w:sz="0" w:space="0" w:color="auto"/>
        <w:bottom w:val="none" w:sz="0" w:space="0" w:color="auto"/>
        <w:right w:val="none" w:sz="0" w:space="0" w:color="auto"/>
      </w:divBdr>
    </w:div>
    <w:div w:id="932780496">
      <w:bodyDiv w:val="1"/>
      <w:marLeft w:val="0"/>
      <w:marRight w:val="0"/>
      <w:marTop w:val="0"/>
      <w:marBottom w:val="0"/>
      <w:divBdr>
        <w:top w:val="none" w:sz="0" w:space="0" w:color="auto"/>
        <w:left w:val="none" w:sz="0" w:space="0" w:color="auto"/>
        <w:bottom w:val="none" w:sz="0" w:space="0" w:color="auto"/>
        <w:right w:val="none" w:sz="0" w:space="0" w:color="auto"/>
      </w:divBdr>
    </w:div>
    <w:div w:id="1059135450">
      <w:bodyDiv w:val="1"/>
      <w:marLeft w:val="0"/>
      <w:marRight w:val="0"/>
      <w:marTop w:val="0"/>
      <w:marBottom w:val="0"/>
      <w:divBdr>
        <w:top w:val="none" w:sz="0" w:space="0" w:color="auto"/>
        <w:left w:val="none" w:sz="0" w:space="0" w:color="auto"/>
        <w:bottom w:val="none" w:sz="0" w:space="0" w:color="auto"/>
        <w:right w:val="none" w:sz="0" w:space="0" w:color="auto"/>
      </w:divBdr>
    </w:div>
    <w:div w:id="1249078770">
      <w:bodyDiv w:val="1"/>
      <w:marLeft w:val="0"/>
      <w:marRight w:val="0"/>
      <w:marTop w:val="0"/>
      <w:marBottom w:val="0"/>
      <w:divBdr>
        <w:top w:val="none" w:sz="0" w:space="0" w:color="auto"/>
        <w:left w:val="none" w:sz="0" w:space="0" w:color="auto"/>
        <w:bottom w:val="none" w:sz="0" w:space="0" w:color="auto"/>
        <w:right w:val="none" w:sz="0" w:space="0" w:color="auto"/>
      </w:divBdr>
    </w:div>
    <w:div w:id="1270698796">
      <w:bodyDiv w:val="1"/>
      <w:marLeft w:val="0"/>
      <w:marRight w:val="0"/>
      <w:marTop w:val="0"/>
      <w:marBottom w:val="0"/>
      <w:divBdr>
        <w:top w:val="none" w:sz="0" w:space="0" w:color="auto"/>
        <w:left w:val="none" w:sz="0" w:space="0" w:color="auto"/>
        <w:bottom w:val="none" w:sz="0" w:space="0" w:color="auto"/>
        <w:right w:val="none" w:sz="0" w:space="0" w:color="auto"/>
      </w:divBdr>
    </w:div>
    <w:div w:id="1270896666">
      <w:bodyDiv w:val="1"/>
      <w:marLeft w:val="0"/>
      <w:marRight w:val="0"/>
      <w:marTop w:val="0"/>
      <w:marBottom w:val="0"/>
      <w:divBdr>
        <w:top w:val="none" w:sz="0" w:space="0" w:color="auto"/>
        <w:left w:val="none" w:sz="0" w:space="0" w:color="auto"/>
        <w:bottom w:val="none" w:sz="0" w:space="0" w:color="auto"/>
        <w:right w:val="none" w:sz="0" w:space="0" w:color="auto"/>
      </w:divBdr>
    </w:div>
    <w:div w:id="1295018421">
      <w:bodyDiv w:val="1"/>
      <w:marLeft w:val="0"/>
      <w:marRight w:val="0"/>
      <w:marTop w:val="0"/>
      <w:marBottom w:val="0"/>
      <w:divBdr>
        <w:top w:val="none" w:sz="0" w:space="0" w:color="auto"/>
        <w:left w:val="none" w:sz="0" w:space="0" w:color="auto"/>
        <w:bottom w:val="none" w:sz="0" w:space="0" w:color="auto"/>
        <w:right w:val="none" w:sz="0" w:space="0" w:color="auto"/>
      </w:divBdr>
    </w:div>
    <w:div w:id="1334525025">
      <w:bodyDiv w:val="1"/>
      <w:marLeft w:val="0"/>
      <w:marRight w:val="0"/>
      <w:marTop w:val="0"/>
      <w:marBottom w:val="0"/>
      <w:divBdr>
        <w:top w:val="none" w:sz="0" w:space="0" w:color="auto"/>
        <w:left w:val="none" w:sz="0" w:space="0" w:color="auto"/>
        <w:bottom w:val="none" w:sz="0" w:space="0" w:color="auto"/>
        <w:right w:val="none" w:sz="0" w:space="0" w:color="auto"/>
      </w:divBdr>
    </w:div>
    <w:div w:id="1662124578">
      <w:bodyDiv w:val="1"/>
      <w:marLeft w:val="0"/>
      <w:marRight w:val="0"/>
      <w:marTop w:val="0"/>
      <w:marBottom w:val="0"/>
      <w:divBdr>
        <w:top w:val="none" w:sz="0" w:space="0" w:color="auto"/>
        <w:left w:val="none" w:sz="0" w:space="0" w:color="auto"/>
        <w:bottom w:val="none" w:sz="0" w:space="0" w:color="auto"/>
        <w:right w:val="none" w:sz="0" w:space="0" w:color="auto"/>
      </w:divBdr>
    </w:div>
    <w:div w:id="1737891966">
      <w:bodyDiv w:val="1"/>
      <w:marLeft w:val="0"/>
      <w:marRight w:val="0"/>
      <w:marTop w:val="0"/>
      <w:marBottom w:val="0"/>
      <w:divBdr>
        <w:top w:val="none" w:sz="0" w:space="0" w:color="auto"/>
        <w:left w:val="none" w:sz="0" w:space="0" w:color="auto"/>
        <w:bottom w:val="none" w:sz="0" w:space="0" w:color="auto"/>
        <w:right w:val="none" w:sz="0" w:space="0" w:color="auto"/>
      </w:divBdr>
    </w:div>
    <w:div w:id="1798378828">
      <w:bodyDiv w:val="1"/>
      <w:marLeft w:val="0"/>
      <w:marRight w:val="0"/>
      <w:marTop w:val="0"/>
      <w:marBottom w:val="0"/>
      <w:divBdr>
        <w:top w:val="none" w:sz="0" w:space="0" w:color="auto"/>
        <w:left w:val="none" w:sz="0" w:space="0" w:color="auto"/>
        <w:bottom w:val="none" w:sz="0" w:space="0" w:color="auto"/>
        <w:right w:val="none" w:sz="0" w:space="0" w:color="auto"/>
      </w:divBdr>
    </w:div>
    <w:div w:id="1813522610">
      <w:bodyDiv w:val="1"/>
      <w:marLeft w:val="0"/>
      <w:marRight w:val="0"/>
      <w:marTop w:val="0"/>
      <w:marBottom w:val="0"/>
      <w:divBdr>
        <w:top w:val="none" w:sz="0" w:space="0" w:color="auto"/>
        <w:left w:val="none" w:sz="0" w:space="0" w:color="auto"/>
        <w:bottom w:val="none" w:sz="0" w:space="0" w:color="auto"/>
        <w:right w:val="none" w:sz="0" w:space="0" w:color="auto"/>
      </w:divBdr>
    </w:div>
    <w:div w:id="188386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winrafaelocas@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opascual@regioncajamarca.gob.pe"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0D3BA-8C2C-4513-AB6E-C70ADF0C3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1230</Words>
  <Characters>6771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Rafael Ocas Ramírez</dc:creator>
  <cp:keywords/>
  <dc:description/>
  <cp:lastModifiedBy>Edwin Rafael Ocas Ramírez</cp:lastModifiedBy>
  <cp:revision>2</cp:revision>
  <dcterms:created xsi:type="dcterms:W3CDTF">2025-05-12T15:27:00Z</dcterms:created>
  <dcterms:modified xsi:type="dcterms:W3CDTF">2025-05-12T15:27:00Z</dcterms:modified>
</cp:coreProperties>
</file>