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6D122" w14:textId="3602A252" w:rsidR="00140E67" w:rsidRPr="00483293" w:rsidRDefault="00140E67" w:rsidP="00760181">
      <w:pPr>
        <w:spacing w:line="360" w:lineRule="auto"/>
        <w:jc w:val="center"/>
        <w:rPr>
          <w:rFonts w:ascii="Arial" w:hAnsi="Arial" w:cs="Arial"/>
          <w:b/>
          <w:bCs/>
        </w:rPr>
      </w:pPr>
      <w:r w:rsidRPr="00483293">
        <w:rPr>
          <w:rFonts w:ascii="Arial" w:hAnsi="Arial" w:cs="Arial"/>
          <w:b/>
          <w:bCs/>
        </w:rPr>
        <w:t>PERUMIN 37 Convención Minera</w:t>
      </w:r>
    </w:p>
    <w:p w14:paraId="674459F8" w14:textId="5D4BB68B" w:rsidR="00140E67" w:rsidRPr="00483293" w:rsidRDefault="00140E67" w:rsidP="00760181">
      <w:pPr>
        <w:spacing w:line="360" w:lineRule="auto"/>
        <w:jc w:val="center"/>
        <w:rPr>
          <w:rFonts w:ascii="Arial" w:hAnsi="Arial" w:cs="Arial"/>
          <w:b/>
          <w:bCs/>
        </w:rPr>
      </w:pPr>
      <w:r w:rsidRPr="00483293">
        <w:rPr>
          <w:rFonts w:ascii="Arial" w:hAnsi="Arial" w:cs="Arial"/>
          <w:b/>
          <w:bCs/>
        </w:rPr>
        <w:t>Arequipa, 22 – 26 de setiembre, 2025</w:t>
      </w:r>
    </w:p>
    <w:p w14:paraId="5A7E54A4" w14:textId="532255D9" w:rsidR="00CC1DCB" w:rsidRPr="00483293" w:rsidRDefault="00140E67" w:rsidP="00760181">
      <w:pPr>
        <w:spacing w:line="360" w:lineRule="auto"/>
        <w:jc w:val="center"/>
        <w:rPr>
          <w:rFonts w:ascii="Arial" w:hAnsi="Arial" w:cs="Arial"/>
          <w:b/>
          <w:bCs/>
        </w:rPr>
      </w:pPr>
      <w:r w:rsidRPr="00483293">
        <w:rPr>
          <w:rFonts w:ascii="Arial" w:hAnsi="Arial" w:cs="Arial"/>
          <w:b/>
          <w:bCs/>
        </w:rPr>
        <w:t>FORO DE TECNOLOGÍA, INNOVACIÓN Y SOSTENIBILIDAD CONVOCATORIA DE TRABAJOS TÉCNICOS PREMIO NACIONAL DE MINERÍA</w:t>
      </w:r>
    </w:p>
    <w:p w14:paraId="4D6AF366" w14:textId="393F3483" w:rsidR="00140E67" w:rsidRPr="00483293" w:rsidRDefault="00483293" w:rsidP="00760181">
      <w:pPr>
        <w:spacing w:line="360" w:lineRule="auto"/>
        <w:jc w:val="both"/>
        <w:rPr>
          <w:rFonts w:ascii="Arial" w:hAnsi="Arial" w:cs="Arial"/>
        </w:rPr>
      </w:pPr>
      <w:r w:rsidRPr="00483293">
        <w:rPr>
          <w:rFonts w:ascii="Arial" w:hAnsi="Arial" w:cs="Arial"/>
          <w:b/>
          <w:bCs/>
        </w:rPr>
        <w:t>Título</w:t>
      </w:r>
      <w:r w:rsidR="00DF3614" w:rsidRPr="00483293">
        <w:rPr>
          <w:rFonts w:ascii="Arial" w:hAnsi="Arial" w:cs="Arial"/>
          <w:b/>
          <w:bCs/>
        </w:rPr>
        <w:t>:</w:t>
      </w:r>
      <w:r w:rsidR="00DF3614" w:rsidRPr="00483293">
        <w:rPr>
          <w:rFonts w:ascii="Arial" w:hAnsi="Arial" w:cs="Arial"/>
        </w:rPr>
        <w:t xml:space="preserve"> </w:t>
      </w:r>
      <w:r w:rsidR="00D31620" w:rsidRPr="00D31620">
        <w:rPr>
          <w:rFonts w:ascii="Arial" w:hAnsi="Arial" w:cs="Arial"/>
        </w:rPr>
        <w:t>Estudio Integral sobre la Tercerización en la Gran Minería del Perú</w:t>
      </w:r>
    </w:p>
    <w:p w14:paraId="5F2B49C2" w14:textId="056816C8" w:rsidR="00140E67" w:rsidRPr="00483293" w:rsidRDefault="00140E67" w:rsidP="00760181">
      <w:pPr>
        <w:spacing w:line="360" w:lineRule="auto"/>
        <w:jc w:val="both"/>
        <w:rPr>
          <w:rFonts w:ascii="Arial" w:hAnsi="Arial" w:cs="Arial"/>
          <w:b/>
          <w:bCs/>
        </w:rPr>
      </w:pPr>
      <w:r w:rsidRPr="00483293">
        <w:rPr>
          <w:rFonts w:ascii="Arial" w:hAnsi="Arial" w:cs="Arial"/>
          <w:b/>
          <w:bCs/>
        </w:rPr>
        <w:t>Tema:</w:t>
      </w:r>
      <w:r w:rsidR="000F1AE3">
        <w:rPr>
          <w:rFonts w:ascii="Arial" w:hAnsi="Arial" w:cs="Arial"/>
          <w:b/>
          <w:bCs/>
        </w:rPr>
        <w:t xml:space="preserve"> </w:t>
      </w:r>
      <w:r w:rsidR="000F1AE3" w:rsidRPr="000F1AE3">
        <w:rPr>
          <w:rFonts w:ascii="Arial" w:hAnsi="Arial" w:cs="Arial"/>
        </w:rPr>
        <w:t>Tercerización</w:t>
      </w:r>
    </w:p>
    <w:p w14:paraId="5A44B5E3" w14:textId="21047710" w:rsidR="00140E67" w:rsidRPr="00483293" w:rsidRDefault="00483293" w:rsidP="00760181">
      <w:pPr>
        <w:spacing w:line="360" w:lineRule="auto"/>
        <w:jc w:val="both"/>
        <w:rPr>
          <w:rFonts w:ascii="Arial" w:hAnsi="Arial" w:cs="Arial"/>
          <w:b/>
          <w:bCs/>
        </w:rPr>
      </w:pPr>
      <w:r w:rsidRPr="00483293">
        <w:rPr>
          <w:rFonts w:ascii="Arial" w:hAnsi="Arial" w:cs="Arial"/>
          <w:b/>
          <w:bCs/>
        </w:rPr>
        <w:t>Categoría</w:t>
      </w:r>
      <w:r w:rsidR="00140E67" w:rsidRPr="00483293">
        <w:rPr>
          <w:rFonts w:ascii="Arial" w:hAnsi="Arial" w:cs="Arial"/>
          <w:b/>
          <w:bCs/>
        </w:rPr>
        <w:t>:</w:t>
      </w:r>
      <w:r w:rsidR="000F1AE3">
        <w:rPr>
          <w:rFonts w:ascii="Arial" w:hAnsi="Arial" w:cs="Arial"/>
          <w:b/>
          <w:bCs/>
        </w:rPr>
        <w:t xml:space="preserve"> </w:t>
      </w:r>
      <w:r w:rsidR="000F1AE3" w:rsidRPr="000F1AE3">
        <w:rPr>
          <w:rFonts w:ascii="Arial" w:hAnsi="Arial" w:cs="Arial"/>
        </w:rPr>
        <w:t>Regulación y Economía Minera</w:t>
      </w:r>
    </w:p>
    <w:p w14:paraId="40D7917B" w14:textId="34F76348" w:rsidR="00140E67" w:rsidRDefault="00140E67" w:rsidP="00760181">
      <w:pPr>
        <w:spacing w:line="360" w:lineRule="auto"/>
        <w:jc w:val="both"/>
        <w:rPr>
          <w:rFonts w:ascii="Arial" w:hAnsi="Arial" w:cs="Arial"/>
          <w:b/>
          <w:bCs/>
        </w:rPr>
      </w:pPr>
      <w:r w:rsidRPr="00483293">
        <w:rPr>
          <w:rFonts w:ascii="Arial" w:hAnsi="Arial" w:cs="Arial"/>
          <w:b/>
          <w:bCs/>
        </w:rPr>
        <w:t>Datos del autor y coautores:</w:t>
      </w:r>
    </w:p>
    <w:p w14:paraId="23620463" w14:textId="6557A3F4" w:rsidR="000F1AE3" w:rsidRDefault="000F1AE3" w:rsidP="00760181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Nombre: </w:t>
      </w:r>
      <w:r w:rsidRPr="000F1AE3">
        <w:rPr>
          <w:rFonts w:ascii="Arial" w:hAnsi="Arial" w:cs="Arial"/>
        </w:rPr>
        <w:t>Erik Málaga Enciso</w:t>
      </w:r>
    </w:p>
    <w:p w14:paraId="37953396" w14:textId="7268E01C" w:rsidR="000F1AE3" w:rsidRDefault="000F1AE3" w:rsidP="00760181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b/>
          <w:bCs/>
          <w:lang w:val="en-US"/>
        </w:rPr>
      </w:pPr>
      <w:proofErr w:type="spellStart"/>
      <w:r w:rsidRPr="000F1AE3">
        <w:rPr>
          <w:rFonts w:ascii="Arial" w:hAnsi="Arial" w:cs="Arial"/>
          <w:b/>
          <w:bCs/>
          <w:lang w:val="en-US"/>
        </w:rPr>
        <w:t>Empresa</w:t>
      </w:r>
      <w:proofErr w:type="spellEnd"/>
      <w:r w:rsidRPr="000F1AE3">
        <w:rPr>
          <w:rFonts w:ascii="Arial" w:hAnsi="Arial" w:cs="Arial"/>
          <w:b/>
          <w:bCs/>
          <w:lang w:val="en-US"/>
        </w:rPr>
        <w:t xml:space="preserve">: </w:t>
      </w:r>
      <w:r w:rsidRPr="000F1AE3">
        <w:rPr>
          <w:rFonts w:ascii="Arial" w:hAnsi="Arial" w:cs="Arial"/>
          <w:lang w:val="en-US"/>
        </w:rPr>
        <w:t>Southern Perú Copper Corporation</w:t>
      </w:r>
    </w:p>
    <w:p w14:paraId="5F13E37B" w14:textId="525ADD34" w:rsidR="000F1AE3" w:rsidRPr="000F1AE3" w:rsidRDefault="000F1AE3" w:rsidP="00760181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0F1AE3">
        <w:rPr>
          <w:rFonts w:ascii="Arial" w:hAnsi="Arial" w:cs="Arial"/>
          <w:b/>
          <w:bCs/>
        </w:rPr>
        <w:t xml:space="preserve">Cargo:  </w:t>
      </w:r>
      <w:r w:rsidR="0090735E" w:rsidRPr="0090735E">
        <w:rPr>
          <w:rFonts w:ascii="Arial" w:hAnsi="Arial" w:cs="Arial"/>
        </w:rPr>
        <w:t>Gerente de Planea</w:t>
      </w:r>
      <w:r w:rsidR="0090735E">
        <w:rPr>
          <w:rFonts w:ascii="Arial" w:hAnsi="Arial" w:cs="Arial"/>
        </w:rPr>
        <w:t>ción</w:t>
      </w:r>
      <w:r w:rsidR="0090735E" w:rsidRPr="0090735E">
        <w:rPr>
          <w:rFonts w:ascii="Arial" w:hAnsi="Arial" w:cs="Arial"/>
        </w:rPr>
        <w:t xml:space="preserve"> y Servicios Técnicos</w:t>
      </w:r>
    </w:p>
    <w:p w14:paraId="595AB269" w14:textId="21BF26F2" w:rsidR="000F1AE3" w:rsidRPr="0090735E" w:rsidRDefault="000F1AE3" w:rsidP="00760181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Dirección:</w:t>
      </w:r>
      <w:r w:rsidR="0090735E">
        <w:rPr>
          <w:rFonts w:ascii="Arial" w:hAnsi="Arial" w:cs="Arial"/>
          <w:b/>
          <w:bCs/>
        </w:rPr>
        <w:t xml:space="preserve"> </w:t>
      </w:r>
      <w:r w:rsidR="0090735E" w:rsidRPr="0090735E">
        <w:rPr>
          <w:rFonts w:ascii="Arial" w:hAnsi="Arial" w:cs="Arial"/>
        </w:rPr>
        <w:t>Villa Staff Cuajone Calle Torata #42 Moquegua - Cuajone</w:t>
      </w:r>
    </w:p>
    <w:p w14:paraId="754BA53D" w14:textId="670BA427" w:rsidR="000F1AE3" w:rsidRDefault="000F1AE3" w:rsidP="00760181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Correo corporativo:</w:t>
      </w:r>
      <w:r w:rsidRPr="0090735E">
        <w:rPr>
          <w:rFonts w:ascii="Arial" w:hAnsi="Arial" w:cs="Arial"/>
        </w:rPr>
        <w:t xml:space="preserve"> </w:t>
      </w:r>
      <w:hyperlink r:id="rId5" w:history="1">
        <w:r w:rsidRPr="0090735E">
          <w:t>emalagae@southernperu.com.pe</w:t>
        </w:r>
      </w:hyperlink>
    </w:p>
    <w:p w14:paraId="059D8DA9" w14:textId="79070609" w:rsidR="000F1AE3" w:rsidRPr="0090735E" w:rsidRDefault="000F1AE3" w:rsidP="00760181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Correo personal: </w:t>
      </w:r>
      <w:hyperlink r:id="rId6">
        <w:r w:rsidR="0090735E" w:rsidRPr="0090735E">
          <w:rPr>
            <w:rFonts w:ascii="Arial" w:hAnsi="Arial" w:cs="Arial"/>
          </w:rPr>
          <w:t>erik.malaga@outlook.com</w:t>
        </w:r>
      </w:hyperlink>
    </w:p>
    <w:p w14:paraId="6A2AA0A7" w14:textId="64425A60" w:rsidR="000F1AE3" w:rsidRPr="0090735E" w:rsidRDefault="000F1AE3" w:rsidP="00760181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Numero de celular: </w:t>
      </w:r>
      <w:r w:rsidR="0090735E" w:rsidRPr="0090735E">
        <w:rPr>
          <w:rFonts w:ascii="Arial" w:hAnsi="Arial" w:cs="Arial"/>
        </w:rPr>
        <w:t>+51 950 211 674</w:t>
      </w:r>
    </w:p>
    <w:p w14:paraId="01DAA589" w14:textId="11532520" w:rsidR="00140E67" w:rsidRDefault="00140E67" w:rsidP="00760181">
      <w:pPr>
        <w:spacing w:line="360" w:lineRule="auto"/>
        <w:jc w:val="both"/>
        <w:rPr>
          <w:rFonts w:ascii="Arial" w:hAnsi="Arial" w:cs="Arial"/>
          <w:b/>
          <w:bCs/>
        </w:rPr>
      </w:pPr>
      <w:r w:rsidRPr="00483293">
        <w:rPr>
          <w:rFonts w:ascii="Arial" w:hAnsi="Arial" w:cs="Arial"/>
          <w:b/>
          <w:bCs/>
        </w:rPr>
        <w:t>Palabras claves:</w:t>
      </w:r>
    </w:p>
    <w:p w14:paraId="65B583A9" w14:textId="55FF994A" w:rsidR="000423BC" w:rsidRPr="000423BC" w:rsidRDefault="000423BC" w:rsidP="00760181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0423BC">
        <w:rPr>
          <w:rFonts w:ascii="Arial" w:hAnsi="Arial" w:cs="Arial"/>
        </w:rPr>
        <w:t>Tercerización</w:t>
      </w:r>
    </w:p>
    <w:p w14:paraId="19E14625" w14:textId="59FD6DC3" w:rsidR="000423BC" w:rsidRPr="000423BC" w:rsidRDefault="000423BC" w:rsidP="00760181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0423BC">
        <w:rPr>
          <w:rFonts w:ascii="Arial" w:hAnsi="Arial" w:cs="Arial"/>
        </w:rPr>
        <w:t> Eficiencia</w:t>
      </w:r>
    </w:p>
    <w:p w14:paraId="4943CEC6" w14:textId="73716B67" w:rsidR="000423BC" w:rsidRPr="000423BC" w:rsidRDefault="000423BC" w:rsidP="00760181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0423BC">
        <w:rPr>
          <w:rFonts w:ascii="Arial" w:hAnsi="Arial" w:cs="Arial"/>
        </w:rPr>
        <w:t>Costos operativos</w:t>
      </w:r>
    </w:p>
    <w:p w14:paraId="4FE22463" w14:textId="6E796116" w:rsidR="000423BC" w:rsidRPr="000423BC" w:rsidRDefault="000423BC" w:rsidP="00D31620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0423BC">
        <w:rPr>
          <w:rFonts w:ascii="Arial" w:hAnsi="Arial" w:cs="Arial"/>
        </w:rPr>
        <w:t xml:space="preserve">Sostenibilidad </w:t>
      </w:r>
    </w:p>
    <w:p w14:paraId="027CB4D3" w14:textId="05BEAB3C" w:rsidR="00140E67" w:rsidRPr="00483293" w:rsidRDefault="00140E67" w:rsidP="00D31620">
      <w:pPr>
        <w:spacing w:line="360" w:lineRule="auto"/>
        <w:jc w:val="both"/>
        <w:rPr>
          <w:rFonts w:ascii="Arial" w:hAnsi="Arial" w:cs="Arial"/>
          <w:b/>
          <w:bCs/>
        </w:rPr>
      </w:pPr>
      <w:r w:rsidRPr="00483293">
        <w:rPr>
          <w:rFonts w:ascii="Arial" w:hAnsi="Arial" w:cs="Arial"/>
          <w:b/>
          <w:bCs/>
        </w:rPr>
        <w:t xml:space="preserve">Partes que debe contener un resumen de trabajo técnico a presentarse: </w:t>
      </w:r>
    </w:p>
    <w:p w14:paraId="7B796578" w14:textId="53EF0420" w:rsidR="00DF3614" w:rsidRPr="00483293" w:rsidRDefault="00DF3614" w:rsidP="00D31620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  <w:bCs/>
        </w:rPr>
      </w:pPr>
      <w:r w:rsidRPr="00483293">
        <w:rPr>
          <w:rFonts w:ascii="Arial" w:hAnsi="Arial" w:cs="Arial"/>
          <w:b/>
          <w:bCs/>
        </w:rPr>
        <w:t>Contexto o escenario en que se ha realizado el trabajo y cómo se ha llegado a precisar sus alcances:</w:t>
      </w:r>
    </w:p>
    <w:p w14:paraId="1D33FBA2" w14:textId="77777777" w:rsidR="00891CE9" w:rsidRDefault="00891CE9" w:rsidP="00D31620">
      <w:pPr>
        <w:pStyle w:val="Sinespaciado"/>
        <w:spacing w:line="360" w:lineRule="auto"/>
        <w:jc w:val="both"/>
        <w:rPr>
          <w:rFonts w:ascii="Arial" w:hAnsi="Arial" w:cs="Arial"/>
        </w:rPr>
      </w:pPr>
      <w:r w:rsidRPr="00891CE9">
        <w:rPr>
          <w:rFonts w:ascii="Arial" w:hAnsi="Arial" w:cs="Arial"/>
        </w:rPr>
        <w:t>Este estudio se desarrolla en el marco del debate técnico, legal y social sobre la tercerización en la gran minería peruana, un tema que ha cobrado especial relevancia ante recientes normas restrictivas como el D.S. 001-2022-TR, así como por su impacto directo en la productividad, la seguridad laboral y la sostenibilidad de las operaciones mineras.</w:t>
      </w:r>
      <w:r w:rsidRPr="00891CE9">
        <w:rPr>
          <w:rFonts w:ascii="Arial" w:hAnsi="Arial" w:cs="Arial"/>
        </w:rPr>
        <w:br/>
        <w:t>El trabajo surge en un contexto de revisión normativa, alta tercerización operativa y tensiones laborales, con el objetivo de brindar una visión técnica, ética y estratégica sobre este fenómeno.</w:t>
      </w:r>
    </w:p>
    <w:p w14:paraId="1C962CA5" w14:textId="4DF077E2" w:rsidR="00891CE9" w:rsidRPr="00891CE9" w:rsidRDefault="00891CE9" w:rsidP="00D31620">
      <w:pPr>
        <w:pStyle w:val="Sinespaciado"/>
        <w:spacing w:line="360" w:lineRule="auto"/>
        <w:jc w:val="both"/>
        <w:rPr>
          <w:rFonts w:ascii="Arial" w:hAnsi="Arial" w:cs="Arial"/>
        </w:rPr>
      </w:pPr>
      <w:r w:rsidRPr="00891CE9">
        <w:rPr>
          <w:rFonts w:ascii="Arial" w:hAnsi="Arial" w:cs="Arial"/>
        </w:rPr>
        <w:lastRenderedPageBreak/>
        <w:t>Se ha definido como alcance del estudio:</w:t>
      </w:r>
    </w:p>
    <w:p w14:paraId="54B4C771" w14:textId="77777777" w:rsidR="00891CE9" w:rsidRPr="00891CE9" w:rsidRDefault="00891CE9" w:rsidP="00D31620">
      <w:pPr>
        <w:pStyle w:val="Sinespaciado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891CE9">
        <w:rPr>
          <w:rFonts w:ascii="Arial" w:hAnsi="Arial" w:cs="Arial"/>
        </w:rPr>
        <w:t xml:space="preserve"> Analizar el fenómeno de la tercerización desde una perspectiva integral: técnica, jurídica, social y económica.</w:t>
      </w:r>
    </w:p>
    <w:p w14:paraId="7A55732A" w14:textId="77777777" w:rsidR="00891CE9" w:rsidRPr="00891CE9" w:rsidRDefault="00891CE9" w:rsidP="00D31620">
      <w:pPr>
        <w:pStyle w:val="Sinespaciado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891CE9">
        <w:rPr>
          <w:rFonts w:ascii="Arial" w:hAnsi="Arial" w:cs="Arial"/>
        </w:rPr>
        <w:t>Evaluar su implementación en la gran minería peruana, con énfasis en los modelos operativos, actores involucrados y marcos regulatorios.</w:t>
      </w:r>
    </w:p>
    <w:p w14:paraId="36744D8B" w14:textId="3C934F49" w:rsidR="00891CE9" w:rsidRPr="00891CE9" w:rsidRDefault="00891CE9" w:rsidP="00D31620">
      <w:pPr>
        <w:pStyle w:val="Sinespaciado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891CE9">
        <w:rPr>
          <w:rFonts w:ascii="Arial" w:hAnsi="Arial" w:cs="Arial"/>
        </w:rPr>
        <w:t>Proponer modelos de gestión óptimos y sostenibles, integrando experiencias reales asimiladas por el autor.</w:t>
      </w:r>
    </w:p>
    <w:p w14:paraId="6F27A291" w14:textId="77777777" w:rsidR="00891CE9" w:rsidRPr="00891CE9" w:rsidRDefault="00891CE9" w:rsidP="00D31620">
      <w:pPr>
        <w:pStyle w:val="Sinespaciado"/>
        <w:spacing w:line="360" w:lineRule="auto"/>
        <w:jc w:val="both"/>
      </w:pPr>
    </w:p>
    <w:p w14:paraId="5231CBCD" w14:textId="77777777" w:rsidR="00D31620" w:rsidRDefault="00CA41D1" w:rsidP="00D31620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  <w:bCs/>
        </w:rPr>
      </w:pPr>
      <w:r w:rsidRPr="00483293">
        <w:rPr>
          <w:rFonts w:ascii="Arial" w:hAnsi="Arial" w:cs="Arial"/>
          <w:b/>
          <w:bCs/>
        </w:rPr>
        <w:t>Objetivos:</w:t>
      </w:r>
    </w:p>
    <w:p w14:paraId="0514DF08" w14:textId="77777777" w:rsidR="00D31620" w:rsidRDefault="00891CE9" w:rsidP="00D31620">
      <w:pPr>
        <w:spacing w:line="360" w:lineRule="auto"/>
        <w:jc w:val="both"/>
        <w:rPr>
          <w:rFonts w:ascii="Arial" w:hAnsi="Arial" w:cs="Arial"/>
          <w:b/>
          <w:bCs/>
        </w:rPr>
      </w:pPr>
      <w:r w:rsidRPr="00D31620">
        <w:rPr>
          <w:rFonts w:ascii="Arial" w:hAnsi="Arial" w:cs="Arial"/>
          <w:b/>
          <w:bCs/>
        </w:rPr>
        <w:t>Objetivo general</w:t>
      </w:r>
    </w:p>
    <w:p w14:paraId="4731F3E7" w14:textId="68F4740C" w:rsidR="00891CE9" w:rsidRPr="00D31620" w:rsidRDefault="00891CE9" w:rsidP="00D31620">
      <w:pPr>
        <w:spacing w:line="360" w:lineRule="auto"/>
        <w:jc w:val="both"/>
        <w:rPr>
          <w:rFonts w:ascii="Arial" w:hAnsi="Arial" w:cs="Arial"/>
          <w:b/>
          <w:bCs/>
        </w:rPr>
      </w:pPr>
      <w:r w:rsidRPr="00891CE9">
        <w:rPr>
          <w:rFonts w:ascii="Arial" w:hAnsi="Arial" w:cs="Arial"/>
        </w:rPr>
        <w:t>Analizar e interpretar los alcances, limitaciones, beneficios y desafíos del modelo de tercerización en la gran minería del Perú, para contribuir con herramientas, criterios y propuestas aplicables a la mejora de la gestión y la sostenibilidad del sector.</w:t>
      </w:r>
      <w:r w:rsidRPr="00891CE9">
        <w:rPr>
          <w:rFonts w:ascii="Arial" w:hAnsi="Arial" w:cs="Arial"/>
        </w:rPr>
        <w:br/>
      </w:r>
      <w:r w:rsidRPr="00891CE9">
        <w:rPr>
          <w:rFonts w:ascii="Arial" w:hAnsi="Arial" w:cs="Arial"/>
          <w:b/>
          <w:bCs/>
        </w:rPr>
        <w:t>Objetivos Específicos:</w:t>
      </w:r>
    </w:p>
    <w:p w14:paraId="3E550D70" w14:textId="77777777" w:rsidR="00891CE9" w:rsidRDefault="00891CE9" w:rsidP="00D31620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891CE9">
        <w:rPr>
          <w:rFonts w:ascii="Arial" w:hAnsi="Arial" w:cs="Arial"/>
        </w:rPr>
        <w:t>Describir el marco normativo y su evolución histórica.</w:t>
      </w:r>
    </w:p>
    <w:p w14:paraId="2B795C69" w14:textId="77777777" w:rsidR="00891CE9" w:rsidRDefault="00891CE9" w:rsidP="00D31620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Pr="00891CE9">
        <w:rPr>
          <w:rFonts w:ascii="Arial" w:hAnsi="Arial" w:cs="Arial"/>
        </w:rPr>
        <w:t>dentificar los tipos de outsourcing utilizados y sus efectos operativos.</w:t>
      </w:r>
    </w:p>
    <w:p w14:paraId="28DE5CA9" w14:textId="77777777" w:rsidR="00891CE9" w:rsidRDefault="00891CE9" w:rsidP="00D31620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891CE9">
        <w:rPr>
          <w:rFonts w:ascii="Arial" w:hAnsi="Arial" w:cs="Arial"/>
        </w:rPr>
        <w:t>Analizar los riesgos laborales y de seguridad asociados a la tercerización.</w:t>
      </w:r>
    </w:p>
    <w:p w14:paraId="53EE17E3" w14:textId="77777777" w:rsidR="00891CE9" w:rsidRDefault="00891CE9" w:rsidP="00D31620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891CE9">
        <w:rPr>
          <w:rFonts w:ascii="Arial" w:hAnsi="Arial" w:cs="Arial"/>
        </w:rPr>
        <w:t>Sistematizar los actores involucrados y sus interacciones.</w:t>
      </w:r>
    </w:p>
    <w:p w14:paraId="32138D26" w14:textId="77777777" w:rsidR="00891CE9" w:rsidRDefault="00891CE9" w:rsidP="00D31620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Pr="00891CE9">
        <w:rPr>
          <w:rFonts w:ascii="Arial" w:hAnsi="Arial" w:cs="Arial"/>
        </w:rPr>
        <w:t>xponer casos y experiencias reales de aplicación exitosa de modelos integrados, como el Modelo Ideal de Gestión de Activos.</w:t>
      </w:r>
    </w:p>
    <w:p w14:paraId="61DE73C0" w14:textId="331E724C" w:rsidR="00891CE9" w:rsidRPr="00891CE9" w:rsidRDefault="00891CE9" w:rsidP="00D31620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891CE9">
        <w:rPr>
          <w:rFonts w:ascii="Arial" w:hAnsi="Arial" w:cs="Arial"/>
        </w:rPr>
        <w:t>Proponer conclusiones y recomendaciones que aporten al debate técnico y regulatorio.</w:t>
      </w:r>
    </w:p>
    <w:p w14:paraId="6CCD0D08" w14:textId="73D191E6" w:rsidR="00483293" w:rsidRPr="00483293" w:rsidRDefault="00483293" w:rsidP="00D31620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  <w:bCs/>
        </w:rPr>
      </w:pPr>
      <w:r w:rsidRPr="00483293">
        <w:rPr>
          <w:rFonts w:ascii="Arial" w:hAnsi="Arial" w:cs="Arial"/>
          <w:b/>
          <w:bCs/>
        </w:rPr>
        <w:t>El procedimiento o metodología empleada como parte del trabajo.</w:t>
      </w:r>
    </w:p>
    <w:p w14:paraId="28B49063" w14:textId="77777777" w:rsidR="00891CE9" w:rsidRDefault="00891CE9" w:rsidP="00D31620">
      <w:pPr>
        <w:spacing w:line="360" w:lineRule="auto"/>
        <w:jc w:val="both"/>
        <w:rPr>
          <w:rFonts w:ascii="Arial" w:hAnsi="Arial" w:cs="Arial"/>
        </w:rPr>
      </w:pPr>
      <w:r w:rsidRPr="00891CE9">
        <w:rPr>
          <w:rFonts w:ascii="Arial" w:hAnsi="Arial" w:cs="Arial"/>
        </w:rPr>
        <w:t>El estudio ha seguido una metodología técnica-descriptiva, documental y analítica, combinando:</w:t>
      </w:r>
      <w:r>
        <w:rPr>
          <w:rFonts w:ascii="Arial" w:hAnsi="Arial" w:cs="Arial"/>
        </w:rPr>
        <w:t xml:space="preserve"> </w:t>
      </w:r>
    </w:p>
    <w:p w14:paraId="06A7F4B5" w14:textId="77777777" w:rsidR="00891CE9" w:rsidRDefault="00891CE9" w:rsidP="00D31620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891CE9">
        <w:rPr>
          <w:rFonts w:ascii="Arial" w:hAnsi="Arial" w:cs="Arial"/>
        </w:rPr>
        <w:t>Revisión normativa y jurídica (Leyes, D.S., R.M. y jurisprudencia).</w:t>
      </w:r>
    </w:p>
    <w:p w14:paraId="40123E3A" w14:textId="77777777" w:rsidR="00891CE9" w:rsidRDefault="00891CE9" w:rsidP="00D31620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891CE9">
        <w:rPr>
          <w:rFonts w:ascii="Arial" w:hAnsi="Arial" w:cs="Arial"/>
        </w:rPr>
        <w:t>Análisis técnico-operativo de modelos de tercerización en la gran minería.</w:t>
      </w:r>
    </w:p>
    <w:p w14:paraId="2DB17A36" w14:textId="77777777" w:rsidR="00891CE9" w:rsidRDefault="00891CE9" w:rsidP="00D31620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891CE9">
        <w:rPr>
          <w:rFonts w:ascii="Arial" w:hAnsi="Arial" w:cs="Arial"/>
        </w:rPr>
        <w:t>Revisión de publicaciones especializadas y experiencias reales en la Gran Minería.</w:t>
      </w:r>
    </w:p>
    <w:p w14:paraId="68FF97A0" w14:textId="77777777" w:rsidR="00891CE9" w:rsidRPr="00D31620" w:rsidRDefault="00891CE9" w:rsidP="00D31620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891CE9">
        <w:rPr>
          <w:rFonts w:ascii="Arial" w:hAnsi="Arial" w:cs="Arial"/>
        </w:rPr>
        <w:t xml:space="preserve">Construcción de visuales e infografías para representar comparativas, mapas de </w:t>
      </w:r>
      <w:r w:rsidRPr="00D31620">
        <w:rPr>
          <w:rFonts w:ascii="Arial" w:hAnsi="Arial" w:cs="Arial"/>
        </w:rPr>
        <w:t>actores, escalas de riesgo y modelos de gestión.</w:t>
      </w:r>
    </w:p>
    <w:p w14:paraId="58AC04DE" w14:textId="5C19E8AA" w:rsidR="00891CE9" w:rsidRPr="00D31620" w:rsidRDefault="00891CE9" w:rsidP="00D31620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D31620">
        <w:rPr>
          <w:rFonts w:ascii="Arial" w:hAnsi="Arial" w:cs="Arial"/>
        </w:rPr>
        <w:t>Aplicación de herramientas de IA para organizar, compilar, ilustrar y fortalecer la presentación del contenido.</w:t>
      </w:r>
    </w:p>
    <w:p w14:paraId="76774561" w14:textId="77777777" w:rsidR="00D31620" w:rsidRDefault="00483293" w:rsidP="00D31620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  <w:bCs/>
        </w:rPr>
      </w:pPr>
      <w:r w:rsidRPr="00D31620">
        <w:rPr>
          <w:rFonts w:ascii="Arial" w:hAnsi="Arial" w:cs="Arial"/>
          <w:b/>
          <w:bCs/>
        </w:rPr>
        <w:t>Resultados alcanzados:</w:t>
      </w:r>
    </w:p>
    <w:p w14:paraId="3D414B14" w14:textId="200B8EF0" w:rsidR="00891CE9" w:rsidRPr="00D31620" w:rsidRDefault="00891CE9" w:rsidP="00D31620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b/>
          <w:bCs/>
        </w:rPr>
      </w:pPr>
      <w:r w:rsidRPr="00D31620">
        <w:rPr>
          <w:rFonts w:ascii="Arial" w:hAnsi="Arial" w:cs="Arial"/>
        </w:rPr>
        <w:lastRenderedPageBreak/>
        <w:t>Compendio técnico-académico de más de 60 páginas, con contenido visual,</w:t>
      </w:r>
    </w:p>
    <w:p w14:paraId="4C1BD882" w14:textId="77777777" w:rsidR="00891CE9" w:rsidRPr="00D31620" w:rsidRDefault="00891CE9" w:rsidP="00D31620">
      <w:pPr>
        <w:pStyle w:val="Prrafodelista"/>
        <w:spacing w:line="360" w:lineRule="auto"/>
        <w:jc w:val="both"/>
        <w:rPr>
          <w:rFonts w:ascii="Arial" w:hAnsi="Arial" w:cs="Arial"/>
        </w:rPr>
      </w:pPr>
      <w:r w:rsidRPr="00D31620">
        <w:rPr>
          <w:rFonts w:ascii="Arial" w:hAnsi="Arial" w:cs="Arial"/>
        </w:rPr>
        <w:t>analítico y referencial.</w:t>
      </w:r>
    </w:p>
    <w:p w14:paraId="495C4051" w14:textId="77777777" w:rsidR="00891CE9" w:rsidRPr="00D31620" w:rsidRDefault="00891CE9" w:rsidP="00D31620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b/>
          <w:bCs/>
        </w:rPr>
      </w:pPr>
      <w:r w:rsidRPr="00D31620">
        <w:rPr>
          <w:rFonts w:ascii="Arial" w:hAnsi="Arial" w:cs="Arial"/>
        </w:rPr>
        <w:t>Tipología y clasificación de outsourcing en función de su criticidad e impacto.</w:t>
      </w:r>
    </w:p>
    <w:p w14:paraId="39703EEF" w14:textId="77777777" w:rsidR="00891CE9" w:rsidRPr="00D31620" w:rsidRDefault="00891CE9" w:rsidP="00D31620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b/>
          <w:bCs/>
        </w:rPr>
      </w:pPr>
      <w:r w:rsidRPr="00D31620">
        <w:rPr>
          <w:rFonts w:ascii="Arial" w:hAnsi="Arial" w:cs="Arial"/>
        </w:rPr>
        <w:t>Análisis comparativo de marcos normativos y su aplicación práctica en minería.</w:t>
      </w:r>
    </w:p>
    <w:p w14:paraId="61956412" w14:textId="77777777" w:rsidR="00891CE9" w:rsidRPr="00D31620" w:rsidRDefault="00891CE9" w:rsidP="00D31620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b/>
          <w:bCs/>
        </w:rPr>
      </w:pPr>
      <w:r w:rsidRPr="00D31620">
        <w:rPr>
          <w:rFonts w:ascii="Arial" w:hAnsi="Arial" w:cs="Arial"/>
        </w:rPr>
        <w:t>Modelo visual del mapa de actores con sus vínculos funcionales.</w:t>
      </w:r>
    </w:p>
    <w:p w14:paraId="1C5C865F" w14:textId="77777777" w:rsidR="00891CE9" w:rsidRPr="00D31620" w:rsidRDefault="00891CE9" w:rsidP="00D31620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b/>
          <w:bCs/>
        </w:rPr>
      </w:pPr>
      <w:r w:rsidRPr="00D31620">
        <w:rPr>
          <w:rFonts w:ascii="Arial" w:hAnsi="Arial" w:cs="Arial"/>
        </w:rPr>
        <w:t>Escala de riesgo aplicada a contratistas y tercerización.</w:t>
      </w:r>
    </w:p>
    <w:p w14:paraId="541678B8" w14:textId="77777777" w:rsidR="00D31620" w:rsidRPr="00D31620" w:rsidRDefault="00891CE9" w:rsidP="00D31620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b/>
          <w:bCs/>
        </w:rPr>
      </w:pPr>
      <w:r w:rsidRPr="00D31620">
        <w:rPr>
          <w:rFonts w:ascii="Arial" w:hAnsi="Arial" w:cs="Arial"/>
        </w:rPr>
        <w:t>Integración del Modelo Ideal de Gestión de Activos para la Operación y Mantenimiento en la Gran Minería, destacando cómo la tercerización puede maximizar la disponibilidad, confiabilidad y seguridad mediante una gestión profesional.</w:t>
      </w:r>
    </w:p>
    <w:p w14:paraId="6DE186F9" w14:textId="77777777" w:rsidR="00D31620" w:rsidRPr="00D31620" w:rsidRDefault="00891CE9" w:rsidP="00D31620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b/>
          <w:bCs/>
        </w:rPr>
      </w:pPr>
      <w:r w:rsidRPr="00D31620">
        <w:rPr>
          <w:rFonts w:ascii="Arial" w:hAnsi="Arial" w:cs="Arial"/>
        </w:rPr>
        <w:t xml:space="preserve">Propuesta de la matriz SIGPRO como herramienta de gestión estratégica para proyectos </w:t>
      </w:r>
      <w:proofErr w:type="spellStart"/>
      <w:r w:rsidRPr="00D31620">
        <w:rPr>
          <w:rFonts w:ascii="Arial" w:hAnsi="Arial" w:cs="Arial"/>
        </w:rPr>
        <w:t>Opex</w:t>
      </w:r>
      <w:proofErr w:type="spellEnd"/>
      <w:r w:rsidRPr="00D31620">
        <w:rPr>
          <w:rFonts w:ascii="Arial" w:hAnsi="Arial" w:cs="Arial"/>
        </w:rPr>
        <w:t xml:space="preserve"> y </w:t>
      </w:r>
      <w:proofErr w:type="spellStart"/>
      <w:r w:rsidRPr="00D31620">
        <w:rPr>
          <w:rFonts w:ascii="Arial" w:hAnsi="Arial" w:cs="Arial"/>
        </w:rPr>
        <w:t>Capex</w:t>
      </w:r>
      <w:proofErr w:type="spellEnd"/>
      <w:r w:rsidRPr="00D31620">
        <w:rPr>
          <w:rFonts w:ascii="Arial" w:hAnsi="Arial" w:cs="Arial"/>
        </w:rPr>
        <w:t>.</w:t>
      </w:r>
    </w:p>
    <w:p w14:paraId="32FE7BD4" w14:textId="7A2EBBA4" w:rsidR="00483293" w:rsidRPr="00D31620" w:rsidRDefault="00891CE9" w:rsidP="00D31620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b/>
          <w:bCs/>
        </w:rPr>
      </w:pPr>
      <w:r w:rsidRPr="00D31620">
        <w:rPr>
          <w:rFonts w:ascii="Arial" w:hAnsi="Arial" w:cs="Arial"/>
        </w:rPr>
        <w:t>Desarrollo de presentaciones en PowerPoint, infografías, versión EPUB y versión ejecutiva para múltiples audiencias.</w:t>
      </w:r>
    </w:p>
    <w:p w14:paraId="53171DB9" w14:textId="2DB978F4" w:rsidR="003F7DCF" w:rsidRPr="00D31620" w:rsidRDefault="00891CE9" w:rsidP="00D31620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  <w:bCs/>
        </w:rPr>
      </w:pPr>
      <w:r w:rsidRPr="00D31620">
        <w:rPr>
          <w:rFonts w:ascii="Arial" w:hAnsi="Arial" w:cs="Arial"/>
          <w:b/>
          <w:bCs/>
        </w:rPr>
        <w:t>Conclusiones y Recomendaciones</w:t>
      </w:r>
      <w:r w:rsidR="00DF3614" w:rsidRPr="00D31620">
        <w:rPr>
          <w:rFonts w:ascii="Arial" w:hAnsi="Arial" w:cs="Arial"/>
          <w:b/>
          <w:bCs/>
        </w:rPr>
        <w:t>:</w:t>
      </w:r>
    </w:p>
    <w:p w14:paraId="0E0AD899" w14:textId="4DA86893" w:rsidR="00891CE9" w:rsidRPr="00D31620" w:rsidRDefault="00891CE9" w:rsidP="00D31620">
      <w:pPr>
        <w:spacing w:line="360" w:lineRule="auto"/>
        <w:jc w:val="both"/>
        <w:rPr>
          <w:rFonts w:ascii="Arial" w:hAnsi="Arial" w:cs="Arial"/>
          <w:b/>
          <w:bCs/>
        </w:rPr>
      </w:pPr>
      <w:r w:rsidRPr="00D31620">
        <w:rPr>
          <w:rFonts w:ascii="Arial" w:hAnsi="Arial" w:cs="Arial"/>
          <w:b/>
          <w:bCs/>
        </w:rPr>
        <w:t xml:space="preserve"> Conclusiones:</w:t>
      </w:r>
    </w:p>
    <w:p w14:paraId="417B0AAC" w14:textId="77777777" w:rsidR="00D31620" w:rsidRPr="00D31620" w:rsidRDefault="00891CE9" w:rsidP="00D31620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b/>
          <w:bCs/>
        </w:rPr>
      </w:pPr>
      <w:r w:rsidRPr="00D31620">
        <w:rPr>
          <w:rFonts w:ascii="Arial" w:hAnsi="Arial" w:cs="Arial"/>
        </w:rPr>
        <w:t>La tercerización, aplicada correctamente, permite optimizar la eficiencia y sostenibilidad en minería.</w:t>
      </w:r>
    </w:p>
    <w:p w14:paraId="4AC266CE" w14:textId="77777777" w:rsidR="00D31620" w:rsidRPr="00D31620" w:rsidRDefault="00891CE9" w:rsidP="00D31620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b/>
          <w:bCs/>
        </w:rPr>
      </w:pPr>
      <w:r w:rsidRPr="00D31620">
        <w:rPr>
          <w:rFonts w:ascii="Arial" w:hAnsi="Arial" w:cs="Arial"/>
        </w:rPr>
        <w:t>Requiere criterios técnicos, marcos regulatorios claros y una ética de corresponsabilidad.</w:t>
      </w:r>
    </w:p>
    <w:p w14:paraId="319F14B6" w14:textId="77777777" w:rsidR="00D31620" w:rsidRPr="00D31620" w:rsidRDefault="00891CE9" w:rsidP="00D31620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b/>
          <w:bCs/>
        </w:rPr>
      </w:pPr>
      <w:r w:rsidRPr="00D31620">
        <w:rPr>
          <w:rFonts w:ascii="Arial" w:hAnsi="Arial" w:cs="Arial"/>
        </w:rPr>
        <w:t>La seguridad laboral de trabajadores tercerizados debe ser equivalente a la del personal directo.</w:t>
      </w:r>
    </w:p>
    <w:p w14:paraId="7DEA3E47" w14:textId="77777777" w:rsidR="00D31620" w:rsidRPr="00D31620" w:rsidRDefault="00891CE9" w:rsidP="00D31620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b/>
          <w:bCs/>
        </w:rPr>
      </w:pPr>
      <w:r w:rsidRPr="00D31620">
        <w:rPr>
          <w:rFonts w:ascii="Arial" w:hAnsi="Arial" w:cs="Arial"/>
        </w:rPr>
        <w:t>El modelo propuesto demuestra que una gestión profesional e integrada de activos permite alcanzar altos niveles de productividad sin comprometer la seguridad ni la equidad.</w:t>
      </w:r>
    </w:p>
    <w:p w14:paraId="4E2FD1FC" w14:textId="77777777" w:rsidR="00D31620" w:rsidRPr="00D31620" w:rsidRDefault="00891CE9" w:rsidP="00D31620">
      <w:pPr>
        <w:spacing w:line="360" w:lineRule="auto"/>
        <w:jc w:val="both"/>
        <w:rPr>
          <w:rFonts w:ascii="Arial" w:hAnsi="Arial" w:cs="Arial"/>
          <w:b/>
          <w:bCs/>
        </w:rPr>
      </w:pPr>
      <w:r w:rsidRPr="00D31620">
        <w:rPr>
          <w:rFonts w:ascii="Arial" w:hAnsi="Arial" w:cs="Arial"/>
          <w:b/>
          <w:bCs/>
        </w:rPr>
        <w:t>Recomendaciones:</w:t>
      </w:r>
    </w:p>
    <w:p w14:paraId="22C23E76" w14:textId="77777777" w:rsidR="00D31620" w:rsidRPr="00D31620" w:rsidRDefault="00891CE9" w:rsidP="00D31620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b/>
          <w:bCs/>
        </w:rPr>
      </w:pPr>
      <w:r w:rsidRPr="00D31620">
        <w:rPr>
          <w:rFonts w:ascii="Arial" w:hAnsi="Arial" w:cs="Arial"/>
        </w:rPr>
        <w:t>Impulsar la profesionalización y regulación clara de los contratos de outsourcing.</w:t>
      </w:r>
    </w:p>
    <w:p w14:paraId="7A211B45" w14:textId="77777777" w:rsidR="00D31620" w:rsidRPr="00D31620" w:rsidRDefault="00891CE9" w:rsidP="00D31620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b/>
          <w:bCs/>
        </w:rPr>
      </w:pPr>
      <w:r w:rsidRPr="00D31620">
        <w:rPr>
          <w:rFonts w:ascii="Arial" w:hAnsi="Arial" w:cs="Arial"/>
        </w:rPr>
        <w:t>Incorporar Sistemas Integrales como SIGPRO en la gestión de proyectos mineros.</w:t>
      </w:r>
    </w:p>
    <w:p w14:paraId="3ABEFD37" w14:textId="77777777" w:rsidR="00D31620" w:rsidRPr="00D31620" w:rsidRDefault="00891CE9" w:rsidP="00D31620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b/>
          <w:bCs/>
        </w:rPr>
      </w:pPr>
      <w:r w:rsidRPr="00D31620">
        <w:rPr>
          <w:rFonts w:ascii="Arial" w:hAnsi="Arial" w:cs="Arial"/>
        </w:rPr>
        <w:t>Fortalecer la fiscalización técnica más allá de lo formal, priorizando resultados e indicadores.</w:t>
      </w:r>
    </w:p>
    <w:p w14:paraId="4C7EF39A" w14:textId="77777777" w:rsidR="00D31620" w:rsidRPr="00D31620" w:rsidRDefault="00891CE9" w:rsidP="00D31620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b/>
          <w:bCs/>
        </w:rPr>
      </w:pPr>
      <w:r w:rsidRPr="00D31620">
        <w:rPr>
          <w:rFonts w:ascii="Arial" w:hAnsi="Arial" w:cs="Arial"/>
        </w:rPr>
        <w:t>Promover la corresponsabilidad entre empresas mineras y contratistas en seguridad, calidad y sostenibilidad.</w:t>
      </w:r>
    </w:p>
    <w:p w14:paraId="0E19CD4B" w14:textId="77777777" w:rsidR="00760181" w:rsidRPr="001068A7" w:rsidRDefault="00760181" w:rsidP="00D31620">
      <w:pPr>
        <w:pStyle w:val="Prrafodelista"/>
        <w:spacing w:line="360" w:lineRule="auto"/>
        <w:jc w:val="both"/>
        <w:rPr>
          <w:rFonts w:ascii="Arial" w:hAnsi="Arial" w:cs="Arial"/>
          <w:b/>
          <w:bCs/>
        </w:rPr>
      </w:pPr>
    </w:p>
    <w:sectPr w:rsidR="00760181" w:rsidRPr="001068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12EFB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16D3D62"/>
    <w:multiLevelType w:val="hybridMultilevel"/>
    <w:tmpl w:val="FCE6CC92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D571ED"/>
    <w:multiLevelType w:val="hybridMultilevel"/>
    <w:tmpl w:val="C03EAB2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F130F"/>
    <w:multiLevelType w:val="hybridMultilevel"/>
    <w:tmpl w:val="71C880A6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9C5944"/>
    <w:multiLevelType w:val="hybridMultilevel"/>
    <w:tmpl w:val="C69ABD6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0142D7"/>
    <w:multiLevelType w:val="hybridMultilevel"/>
    <w:tmpl w:val="F8CEBE0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041A14"/>
    <w:multiLevelType w:val="hybridMultilevel"/>
    <w:tmpl w:val="4992B8B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550417"/>
    <w:multiLevelType w:val="hybridMultilevel"/>
    <w:tmpl w:val="2BE8ADE0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0E56DBB"/>
    <w:multiLevelType w:val="hybridMultilevel"/>
    <w:tmpl w:val="35AE9C3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6971B0"/>
    <w:multiLevelType w:val="hybridMultilevel"/>
    <w:tmpl w:val="83EC8D7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9D3618"/>
    <w:multiLevelType w:val="hybridMultilevel"/>
    <w:tmpl w:val="CE6C7D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564F35"/>
    <w:multiLevelType w:val="hybridMultilevel"/>
    <w:tmpl w:val="E2AC7B7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585964"/>
    <w:multiLevelType w:val="hybridMultilevel"/>
    <w:tmpl w:val="2F8A3872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9600F01"/>
    <w:multiLevelType w:val="hybridMultilevel"/>
    <w:tmpl w:val="5094C8B0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E2161C9"/>
    <w:multiLevelType w:val="hybridMultilevel"/>
    <w:tmpl w:val="362A3CA4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1681C0E"/>
    <w:multiLevelType w:val="hybridMultilevel"/>
    <w:tmpl w:val="F04A096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3543F3"/>
    <w:multiLevelType w:val="hybridMultilevel"/>
    <w:tmpl w:val="122C929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9664DE6"/>
    <w:multiLevelType w:val="hybridMultilevel"/>
    <w:tmpl w:val="6052BD1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C8C7718"/>
    <w:multiLevelType w:val="hybridMultilevel"/>
    <w:tmpl w:val="DC0091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636EAF"/>
    <w:multiLevelType w:val="hybridMultilevel"/>
    <w:tmpl w:val="0EB21F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FE1F3C"/>
    <w:multiLevelType w:val="hybridMultilevel"/>
    <w:tmpl w:val="03FE814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D836CE"/>
    <w:multiLevelType w:val="hybridMultilevel"/>
    <w:tmpl w:val="C364727C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4A241EC"/>
    <w:multiLevelType w:val="hybridMultilevel"/>
    <w:tmpl w:val="E8A0F2A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FA5687"/>
    <w:multiLevelType w:val="hybridMultilevel"/>
    <w:tmpl w:val="9738DF0A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D074B59"/>
    <w:multiLevelType w:val="hybridMultilevel"/>
    <w:tmpl w:val="4238F2F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1518154">
    <w:abstractNumId w:val="19"/>
  </w:num>
  <w:num w:numId="2" w16cid:durableId="907299064">
    <w:abstractNumId w:val="24"/>
  </w:num>
  <w:num w:numId="3" w16cid:durableId="206375973">
    <w:abstractNumId w:val="8"/>
  </w:num>
  <w:num w:numId="4" w16cid:durableId="623586693">
    <w:abstractNumId w:val="23"/>
  </w:num>
  <w:num w:numId="5" w16cid:durableId="358046573">
    <w:abstractNumId w:val="7"/>
  </w:num>
  <w:num w:numId="6" w16cid:durableId="1246303614">
    <w:abstractNumId w:val="0"/>
  </w:num>
  <w:num w:numId="7" w16cid:durableId="1766610052">
    <w:abstractNumId w:val="3"/>
  </w:num>
  <w:num w:numId="8" w16cid:durableId="1521699223">
    <w:abstractNumId w:val="21"/>
  </w:num>
  <w:num w:numId="9" w16cid:durableId="419109858">
    <w:abstractNumId w:val="13"/>
  </w:num>
  <w:num w:numId="10" w16cid:durableId="760949890">
    <w:abstractNumId w:val="5"/>
  </w:num>
  <w:num w:numId="11" w16cid:durableId="616060395">
    <w:abstractNumId w:val="11"/>
  </w:num>
  <w:num w:numId="12" w16cid:durableId="1062290335">
    <w:abstractNumId w:val="14"/>
  </w:num>
  <w:num w:numId="13" w16cid:durableId="1443920026">
    <w:abstractNumId w:val="1"/>
  </w:num>
  <w:num w:numId="14" w16cid:durableId="409080046">
    <w:abstractNumId w:val="6"/>
  </w:num>
  <w:num w:numId="15" w16cid:durableId="1585995924">
    <w:abstractNumId w:val="9"/>
  </w:num>
  <w:num w:numId="16" w16cid:durableId="1421021701">
    <w:abstractNumId w:val="22"/>
  </w:num>
  <w:num w:numId="17" w16cid:durableId="1590459682">
    <w:abstractNumId w:val="10"/>
  </w:num>
  <w:num w:numId="18" w16cid:durableId="1107850907">
    <w:abstractNumId w:val="15"/>
  </w:num>
  <w:num w:numId="19" w16cid:durableId="2025747247">
    <w:abstractNumId w:val="2"/>
  </w:num>
  <w:num w:numId="20" w16cid:durableId="1961759683">
    <w:abstractNumId w:val="12"/>
  </w:num>
  <w:num w:numId="21" w16cid:durableId="1177382114">
    <w:abstractNumId w:val="18"/>
  </w:num>
  <w:num w:numId="22" w16cid:durableId="371468596">
    <w:abstractNumId w:val="16"/>
  </w:num>
  <w:num w:numId="23" w16cid:durableId="1689215710">
    <w:abstractNumId w:val="4"/>
  </w:num>
  <w:num w:numId="24" w16cid:durableId="1279339678">
    <w:abstractNumId w:val="17"/>
  </w:num>
  <w:num w:numId="25" w16cid:durableId="150905514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E67"/>
    <w:rsid w:val="000323E3"/>
    <w:rsid w:val="000423BC"/>
    <w:rsid w:val="000F1AE3"/>
    <w:rsid w:val="001068A7"/>
    <w:rsid w:val="00140E67"/>
    <w:rsid w:val="003F7DCF"/>
    <w:rsid w:val="00483293"/>
    <w:rsid w:val="004E0E1D"/>
    <w:rsid w:val="005A2E95"/>
    <w:rsid w:val="00760181"/>
    <w:rsid w:val="00891CE9"/>
    <w:rsid w:val="0090735E"/>
    <w:rsid w:val="00B5279C"/>
    <w:rsid w:val="00C35BAE"/>
    <w:rsid w:val="00CA41D1"/>
    <w:rsid w:val="00CC1DCB"/>
    <w:rsid w:val="00D31620"/>
    <w:rsid w:val="00D568A7"/>
    <w:rsid w:val="00DF3614"/>
    <w:rsid w:val="00E44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2FCF3"/>
  <w15:chartTrackingRefBased/>
  <w15:docId w15:val="{C0BB011C-94D8-4705-BDC8-08A81A66F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0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0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0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0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0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0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0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0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0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0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0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0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0E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0E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0E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0E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0E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0E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0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0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0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0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0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0E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0E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0E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0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0E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0E67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DF3614"/>
    <w:pPr>
      <w:numPr>
        <w:numId w:val="6"/>
      </w:numPr>
      <w:spacing w:after="200" w:line="276" w:lineRule="auto"/>
      <w:contextualSpacing/>
    </w:pPr>
    <w:rPr>
      <w:rFonts w:eastAsiaTheme="minorEastAsia"/>
      <w:lang w:val="en-US"/>
    </w:rPr>
  </w:style>
  <w:style w:type="character" w:styleId="Hipervnculo">
    <w:name w:val="Hyperlink"/>
    <w:basedOn w:val="Fuentedeprrafopredeter"/>
    <w:uiPriority w:val="99"/>
    <w:unhideWhenUsed/>
    <w:rsid w:val="000F1AE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1AE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601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Sinespaciado">
    <w:name w:val="No Spacing"/>
    <w:uiPriority w:val="1"/>
    <w:qFormat/>
    <w:rsid w:val="00891CE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42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rik.malaga@outlook.com" TargetMode="External"/><Relationship Id="rId5" Type="http://schemas.openxmlformats.org/officeDocument/2006/relationships/hyperlink" Target="mailto:emalagae@southernperu.com.p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784</Words>
  <Characters>4317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Villavicencio Valenzuela</dc:creator>
  <cp:keywords/>
  <dc:description/>
  <cp:lastModifiedBy>Málaga, Erik</cp:lastModifiedBy>
  <cp:revision>2</cp:revision>
  <dcterms:created xsi:type="dcterms:W3CDTF">2025-04-04T17:05:00Z</dcterms:created>
  <dcterms:modified xsi:type="dcterms:W3CDTF">2025-04-04T17:05:00Z</dcterms:modified>
</cp:coreProperties>
</file>