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DC9C" w14:textId="344FCD45" w:rsidR="0052019A" w:rsidRPr="00544409" w:rsidRDefault="0052019A" w:rsidP="000A3D57">
      <w:pPr>
        <w:jc w:val="both"/>
        <w:rPr>
          <w:rFonts w:ascii="Arial" w:hAnsi="Arial" w:cs="Arial"/>
          <w:sz w:val="22"/>
          <w:szCs w:val="22"/>
        </w:rPr>
      </w:pPr>
      <w:r w:rsidRPr="00544409">
        <w:rPr>
          <w:rFonts w:ascii="Arial" w:hAnsi="Arial" w:cs="Arial"/>
          <w:sz w:val="22"/>
          <w:szCs w:val="22"/>
        </w:rPr>
        <w:t xml:space="preserve">Título: </w:t>
      </w:r>
      <w:r w:rsidR="00E92913" w:rsidRPr="00E92913">
        <w:rPr>
          <w:rFonts w:ascii="Arial" w:hAnsi="Arial" w:cs="Arial"/>
          <w:sz w:val="22"/>
          <w:szCs w:val="22"/>
        </w:rPr>
        <w:t>“</w:t>
      </w:r>
      <w:r w:rsidR="00E92913" w:rsidRPr="000A3D57">
        <w:rPr>
          <w:rFonts w:ascii="Arial" w:hAnsi="Arial" w:cs="Arial"/>
          <w:b/>
          <w:bCs/>
          <w:sz w:val="22"/>
          <w:szCs w:val="22"/>
        </w:rPr>
        <w:t xml:space="preserve">Desafíos y oportunidades para la formalización de la minería artesanal y de pequeña escala en el Perú: </w:t>
      </w:r>
      <w:r w:rsidR="000A3D57">
        <w:rPr>
          <w:rFonts w:ascii="Arial" w:hAnsi="Arial" w:cs="Arial"/>
          <w:b/>
          <w:bCs/>
          <w:sz w:val="22"/>
          <w:szCs w:val="22"/>
        </w:rPr>
        <w:t>u</w:t>
      </w:r>
      <w:r w:rsidR="00E92913" w:rsidRPr="000A3D57">
        <w:rPr>
          <w:rFonts w:ascii="Arial" w:hAnsi="Arial" w:cs="Arial"/>
          <w:b/>
          <w:bCs/>
          <w:sz w:val="22"/>
          <w:szCs w:val="22"/>
        </w:rPr>
        <w:t>n enfoque multiactor alineado con estándares internacionales de derechos humanos y debida diligencia”</w:t>
      </w:r>
    </w:p>
    <w:p w14:paraId="16CA3437" w14:textId="3F4A49C0" w:rsidR="005B3356" w:rsidRPr="00544409" w:rsidRDefault="005B3356" w:rsidP="000A3D57">
      <w:pPr>
        <w:rPr>
          <w:rFonts w:ascii="Arial" w:hAnsi="Arial" w:cs="Arial"/>
          <w:sz w:val="22"/>
          <w:szCs w:val="22"/>
        </w:rPr>
      </w:pPr>
      <w:r w:rsidRPr="00544409">
        <w:rPr>
          <w:rFonts w:ascii="Arial" w:hAnsi="Arial" w:cs="Arial"/>
          <w:sz w:val="22"/>
          <w:szCs w:val="22"/>
        </w:rPr>
        <w:t>AUTOR PRINCIPAL:</w:t>
      </w:r>
      <w:r w:rsidR="00544409" w:rsidRPr="00544409">
        <w:rPr>
          <w:rFonts w:ascii="Arial" w:hAnsi="Arial" w:cs="Arial"/>
          <w:sz w:val="22"/>
          <w:szCs w:val="22"/>
        </w:rPr>
        <w:t xml:space="preserve"> </w:t>
      </w:r>
      <w:r w:rsidR="0052019A" w:rsidRPr="00544409">
        <w:rPr>
          <w:rFonts w:ascii="Arial" w:hAnsi="Arial" w:cs="Arial"/>
          <w:sz w:val="22"/>
          <w:szCs w:val="22"/>
        </w:rPr>
        <w:t xml:space="preserve"> Bettina Sara Leonor Reyna Ugarriza </w:t>
      </w:r>
      <w:r w:rsidRPr="00544409">
        <w:rPr>
          <w:rFonts w:ascii="Arial" w:hAnsi="Arial" w:cs="Arial"/>
          <w:sz w:val="22"/>
          <w:szCs w:val="22"/>
        </w:rPr>
        <w:t xml:space="preserve">COAUTORES: Eduardo </w:t>
      </w:r>
      <w:r w:rsidR="00EE701F" w:rsidRPr="00544409">
        <w:rPr>
          <w:rFonts w:ascii="Arial" w:hAnsi="Arial" w:cs="Arial"/>
          <w:sz w:val="22"/>
          <w:szCs w:val="22"/>
        </w:rPr>
        <w:t>Vega Luna</w:t>
      </w:r>
      <w:r w:rsidR="000A3D57">
        <w:rPr>
          <w:rFonts w:ascii="Arial" w:hAnsi="Arial" w:cs="Arial"/>
          <w:sz w:val="22"/>
          <w:szCs w:val="22"/>
        </w:rPr>
        <w:t xml:space="preserve"> y </w:t>
      </w:r>
      <w:r w:rsidRPr="00544409">
        <w:rPr>
          <w:rFonts w:ascii="Arial" w:hAnsi="Arial" w:cs="Arial"/>
          <w:sz w:val="22"/>
          <w:szCs w:val="22"/>
        </w:rPr>
        <w:t>Gonzalo Delgado</w:t>
      </w:r>
    </w:p>
    <w:p w14:paraId="0331A0DB" w14:textId="2EC7055D" w:rsidR="0052019A" w:rsidRPr="00544409" w:rsidRDefault="00544409">
      <w:pPr>
        <w:rPr>
          <w:rFonts w:ascii="Arial" w:hAnsi="Arial" w:cs="Arial"/>
          <w:sz w:val="22"/>
          <w:szCs w:val="22"/>
        </w:rPr>
      </w:pPr>
      <w:r w:rsidRPr="00544409">
        <w:rPr>
          <w:rFonts w:ascii="Arial" w:hAnsi="Arial" w:cs="Arial"/>
          <w:sz w:val="22"/>
          <w:szCs w:val="22"/>
        </w:rPr>
        <w:t xml:space="preserve">Bettina Reyna es actualmente </w:t>
      </w:r>
      <w:r w:rsidR="0052019A" w:rsidRPr="00544409">
        <w:rPr>
          <w:rFonts w:ascii="Arial" w:hAnsi="Arial" w:cs="Arial"/>
          <w:sz w:val="22"/>
          <w:szCs w:val="22"/>
        </w:rPr>
        <w:t>Directora</w:t>
      </w:r>
      <w:r w:rsidRPr="00544409">
        <w:rPr>
          <w:rFonts w:ascii="Arial" w:hAnsi="Arial" w:cs="Arial"/>
          <w:sz w:val="22"/>
          <w:szCs w:val="22"/>
        </w:rPr>
        <w:t xml:space="preserve"> en ERM. </w:t>
      </w:r>
      <w:r w:rsidR="0052019A" w:rsidRPr="00544409">
        <w:rPr>
          <w:rFonts w:ascii="Arial" w:hAnsi="Arial" w:cs="Arial"/>
          <w:sz w:val="22"/>
          <w:szCs w:val="22"/>
        </w:rPr>
        <w:t xml:space="preserve"> </w:t>
      </w:r>
      <w:r w:rsidR="000A3D57">
        <w:rPr>
          <w:rFonts w:ascii="Arial" w:hAnsi="Arial" w:cs="Arial"/>
          <w:sz w:val="22"/>
          <w:szCs w:val="22"/>
        </w:rPr>
        <w:t>Vive</w:t>
      </w:r>
      <w:r w:rsidRPr="00544409">
        <w:rPr>
          <w:rFonts w:ascii="Arial" w:hAnsi="Arial" w:cs="Arial"/>
          <w:sz w:val="22"/>
          <w:szCs w:val="22"/>
        </w:rPr>
        <w:t xml:space="preserve"> en San Borja.</w:t>
      </w:r>
      <w:r w:rsidR="000A3D57">
        <w:rPr>
          <w:rFonts w:ascii="Arial" w:hAnsi="Arial" w:cs="Arial"/>
          <w:sz w:val="22"/>
          <w:szCs w:val="22"/>
        </w:rPr>
        <w:t xml:space="preserve"> </w:t>
      </w:r>
      <w:hyperlink r:id="rId5" w:history="1">
        <w:r w:rsidR="000A3D57" w:rsidRPr="005D22FD">
          <w:rPr>
            <w:rStyle w:val="Hipervnculo"/>
            <w:rFonts w:ascii="Arial" w:hAnsi="Arial" w:cs="Arial"/>
            <w:sz w:val="22"/>
            <w:szCs w:val="22"/>
          </w:rPr>
          <w:t>Bettina.reyna@erm.com</w:t>
        </w:r>
      </w:hyperlink>
      <w:r w:rsidR="0052019A" w:rsidRPr="00544409">
        <w:rPr>
          <w:rFonts w:ascii="Arial" w:hAnsi="Arial" w:cs="Arial"/>
          <w:sz w:val="22"/>
          <w:szCs w:val="22"/>
        </w:rPr>
        <w:t xml:space="preserve"> </w:t>
      </w:r>
      <w:r w:rsidR="000A3D57">
        <w:rPr>
          <w:rFonts w:ascii="Arial" w:hAnsi="Arial" w:cs="Arial"/>
          <w:sz w:val="22"/>
          <w:szCs w:val="22"/>
        </w:rPr>
        <w:t xml:space="preserve">, </w:t>
      </w:r>
      <w:hyperlink r:id="rId6" w:history="1">
        <w:r w:rsidR="0052019A" w:rsidRPr="00544409">
          <w:rPr>
            <w:rStyle w:val="Hipervnculo"/>
            <w:rFonts w:ascii="Arial" w:hAnsi="Arial" w:cs="Arial"/>
            <w:sz w:val="22"/>
            <w:szCs w:val="22"/>
          </w:rPr>
          <w:t>breynau@gmail.com</w:t>
        </w:r>
      </w:hyperlink>
      <w:r w:rsidR="000A3D57">
        <w:t xml:space="preserve"> </w:t>
      </w:r>
      <w:r w:rsidRPr="00544409">
        <w:rPr>
          <w:rFonts w:ascii="Arial" w:hAnsi="Arial" w:cs="Arial"/>
          <w:sz w:val="22"/>
          <w:szCs w:val="22"/>
        </w:rPr>
        <w:t xml:space="preserve">Celular:  </w:t>
      </w:r>
      <w:r w:rsidR="0052019A" w:rsidRPr="00544409">
        <w:rPr>
          <w:rFonts w:ascii="Arial" w:hAnsi="Arial" w:cs="Arial"/>
          <w:sz w:val="22"/>
          <w:szCs w:val="22"/>
        </w:rPr>
        <w:t>998007031</w:t>
      </w:r>
    </w:p>
    <w:p w14:paraId="4A1D75B7" w14:textId="2EA65CFE" w:rsidR="0052019A" w:rsidRPr="00544409" w:rsidRDefault="0052019A" w:rsidP="0052019A">
      <w:pPr>
        <w:rPr>
          <w:rFonts w:ascii="Arial" w:hAnsi="Arial" w:cs="Arial"/>
          <w:sz w:val="22"/>
          <w:szCs w:val="22"/>
        </w:rPr>
      </w:pPr>
      <w:r w:rsidRPr="00544409">
        <w:rPr>
          <w:rFonts w:ascii="Arial" w:hAnsi="Arial" w:cs="Arial"/>
          <w:sz w:val="22"/>
          <w:szCs w:val="22"/>
        </w:rPr>
        <w:t xml:space="preserve">Categoría:  Regulación y Economía Minera </w:t>
      </w:r>
    </w:p>
    <w:p w14:paraId="79807740" w14:textId="272CF627" w:rsidR="00EE701F" w:rsidRPr="00544409" w:rsidRDefault="00EE701F">
      <w:pPr>
        <w:rPr>
          <w:rFonts w:ascii="Arial" w:hAnsi="Arial" w:cs="Arial"/>
          <w:b/>
          <w:bCs/>
          <w:sz w:val="22"/>
          <w:szCs w:val="22"/>
        </w:rPr>
      </w:pPr>
      <w:r w:rsidRPr="00544409">
        <w:rPr>
          <w:rFonts w:ascii="Arial" w:hAnsi="Arial" w:cs="Arial"/>
          <w:b/>
          <w:bCs/>
          <w:sz w:val="22"/>
          <w:szCs w:val="22"/>
        </w:rPr>
        <w:t>RESEÑAS:</w:t>
      </w:r>
    </w:p>
    <w:p w14:paraId="7D23B93D" w14:textId="36609586" w:rsidR="00EE701F" w:rsidRPr="00544409" w:rsidRDefault="00EE701F" w:rsidP="00EE701F">
      <w:pPr>
        <w:pStyle w:val="Prrafodelista"/>
        <w:numPr>
          <w:ilvl w:val="0"/>
          <w:numId w:val="2"/>
        </w:numPr>
        <w:rPr>
          <w:rFonts w:ascii="Arial" w:hAnsi="Arial" w:cs="Arial"/>
          <w:sz w:val="22"/>
          <w:szCs w:val="22"/>
        </w:rPr>
      </w:pPr>
      <w:r w:rsidRPr="00544409">
        <w:rPr>
          <w:rFonts w:ascii="Arial" w:hAnsi="Arial" w:cs="Arial"/>
          <w:sz w:val="22"/>
          <w:szCs w:val="22"/>
        </w:rPr>
        <w:t xml:space="preserve">Bettina Reyna Ugarriza – Investigadora principal del estudio. Consultora en Derechos Humanos y Minería de ERM. Abogada por la Pontificia Universidad Católica del Perú, Master en Cooperación Internacional para el Desarrollo. Fundadora del Comité de DDHH en la SNMPE y miembro del Grupo de Diálogo de Minería y Sostenibilidad. </w:t>
      </w:r>
    </w:p>
    <w:p w14:paraId="4322BBE6" w14:textId="2431935E" w:rsidR="00EE701F" w:rsidRPr="00544409" w:rsidRDefault="00EE701F" w:rsidP="00EE701F">
      <w:pPr>
        <w:pStyle w:val="Prrafodelista"/>
        <w:numPr>
          <w:ilvl w:val="0"/>
          <w:numId w:val="2"/>
        </w:numPr>
        <w:rPr>
          <w:rFonts w:ascii="Arial" w:hAnsi="Arial" w:cs="Arial"/>
          <w:sz w:val="22"/>
          <w:szCs w:val="22"/>
        </w:rPr>
      </w:pPr>
      <w:r w:rsidRPr="00544409">
        <w:rPr>
          <w:rFonts w:ascii="Arial" w:hAnsi="Arial" w:cs="Arial"/>
          <w:sz w:val="22"/>
          <w:szCs w:val="22"/>
        </w:rPr>
        <w:t>Gonzalo Delgado Jacob. - Director del Centro de Estudios sobre Minería y Sostenibilidad (CEMS)  de la Universidad del Pacifico. Es magíster en Administración Pública por Harvard University.</w:t>
      </w:r>
    </w:p>
    <w:p w14:paraId="30D96052" w14:textId="2EE49848" w:rsidR="00EE701F" w:rsidRPr="00544409" w:rsidRDefault="00EE701F" w:rsidP="00EE701F">
      <w:pPr>
        <w:pStyle w:val="Prrafodelista"/>
        <w:numPr>
          <w:ilvl w:val="0"/>
          <w:numId w:val="2"/>
        </w:numPr>
        <w:rPr>
          <w:rFonts w:ascii="Arial" w:hAnsi="Arial" w:cs="Arial"/>
          <w:sz w:val="22"/>
          <w:szCs w:val="22"/>
        </w:rPr>
      </w:pPr>
      <w:r w:rsidRPr="00544409">
        <w:rPr>
          <w:rFonts w:ascii="Arial" w:hAnsi="Arial" w:cs="Arial"/>
          <w:sz w:val="22"/>
          <w:szCs w:val="22"/>
        </w:rPr>
        <w:t xml:space="preserve">Eduardo Vega Luna - Investigador, Decano de la Facultad de Derecho de la Universidad Antonio Ruiz De Montoya. Abogado y magíster en Derecho por la UNMSM. Con estudios de especialización en Derechos Humanos por el IIDH, estudios en Paz y Desarrollo por la Cátedra Unesco, y Lucha contra la Corrupción en la Escuela Nacional de Administración de </w:t>
      </w:r>
      <w:proofErr w:type="spellStart"/>
      <w:r w:rsidRPr="00544409">
        <w:rPr>
          <w:rFonts w:ascii="Arial" w:hAnsi="Arial" w:cs="Arial"/>
          <w:sz w:val="22"/>
          <w:szCs w:val="22"/>
        </w:rPr>
        <w:t>Francia.George</w:t>
      </w:r>
      <w:proofErr w:type="spellEnd"/>
      <w:r w:rsidRPr="00544409">
        <w:rPr>
          <w:rFonts w:ascii="Arial" w:hAnsi="Arial" w:cs="Arial"/>
          <w:sz w:val="22"/>
          <w:szCs w:val="22"/>
        </w:rPr>
        <w:t xml:space="preserve"> Washington University. Ex Ministro de Justicia y Derechos Humanos y Ex Defensor del Pueblo. </w:t>
      </w:r>
    </w:p>
    <w:p w14:paraId="758AA176" w14:textId="77777777" w:rsidR="00544409" w:rsidRPr="00544409" w:rsidRDefault="00544409" w:rsidP="00544409">
      <w:pPr>
        <w:spacing w:before="100" w:beforeAutospacing="1" w:after="100" w:afterAutospacing="1" w:line="360" w:lineRule="auto"/>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Contexto y escenario</w:t>
      </w:r>
    </w:p>
    <w:p w14:paraId="62611B49" w14:textId="1FFC290D" w:rsidR="00544409" w:rsidRPr="00544409" w:rsidRDefault="00544409" w:rsidP="00544409">
      <w:pPr>
        <w:spacing w:before="100" w:beforeAutospacing="1" w:after="100" w:afterAutospacing="1" w:line="360" w:lineRule="auto"/>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 xml:space="preserve">El estudio se llevó a cabo entre junio de 2024 y mayo de 2025, en un momento decisivo para la formalización de la minería artesanal y de pequeña escala (MAPE) en el Perú. Durante este periodo, la minería ilegal representaba aproximadamente el 44 % de la producción aurífera informal, mientras el Congreso debatía la nueva Ley MAPE y se anunciaba el cierre paulatino del Registro Integral de Formalización Minera (REINFO). </w:t>
      </w:r>
    </w:p>
    <w:p w14:paraId="0F7DA95F" w14:textId="70680BA8" w:rsidR="00544409" w:rsidRPr="00544409" w:rsidRDefault="00544409" w:rsidP="00544409">
      <w:pPr>
        <w:spacing w:before="100" w:beforeAutospacing="1" w:after="100" w:afterAutospacing="1" w:line="360" w:lineRule="auto"/>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 xml:space="preserve">En este marco, es imprescindible caracterizar las visiones y prioridades de actores clave—desde entidades estatales y grandes empresas mineras, hasta organizaciones de la sociedad civil, cooperación y asociaciones de mineros artesanales—para diseñar propuestas de formalización que no solo cierren brechas técnicas y normativas, sino que también integren mecanismos concretos de influencia en políticas públicas y estándares de debida diligencia. </w:t>
      </w:r>
    </w:p>
    <w:p w14:paraId="3FBF5574" w14:textId="77777777" w:rsidR="00544409" w:rsidRPr="00544409" w:rsidRDefault="00544409" w:rsidP="00544409">
      <w:pPr>
        <w:numPr>
          <w:ilvl w:val="0"/>
          <w:numId w:val="3"/>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lastRenderedPageBreak/>
        <w:t>Objetivo(s)</w:t>
      </w:r>
    </w:p>
    <w:p w14:paraId="2A3E1D81" w14:textId="6294317A" w:rsidR="00544409" w:rsidRPr="00544409" w:rsidRDefault="00544409" w:rsidP="00544409">
      <w:pPr>
        <w:numPr>
          <w:ilvl w:val="0"/>
          <w:numId w:val="4"/>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General:</w:t>
      </w:r>
      <w:r w:rsidRPr="00544409">
        <w:rPr>
          <w:rFonts w:ascii="Arial" w:eastAsia="Times New Roman" w:hAnsi="Arial" w:cs="Arial"/>
          <w:kern w:val="0"/>
          <w:sz w:val="22"/>
          <w:szCs w:val="22"/>
          <w:lang w:eastAsia="es-MX"/>
          <w14:ligatures w14:val="none"/>
        </w:rPr>
        <w:t xml:space="preserve"> Identificar y analizar los desafíos y oportunidades para la formalización de la minería artesanal y de pequeña escala en el Perú, alineados con estándares internacionales de debida diligencia y sostenibilidad.</w:t>
      </w:r>
    </w:p>
    <w:p w14:paraId="2BFEB9F4" w14:textId="77777777" w:rsidR="00544409" w:rsidRPr="00544409" w:rsidRDefault="00544409" w:rsidP="00544409">
      <w:pPr>
        <w:numPr>
          <w:ilvl w:val="0"/>
          <w:numId w:val="4"/>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Específicos:</w:t>
      </w:r>
    </w:p>
    <w:p w14:paraId="6630822E" w14:textId="6A3B027D" w:rsidR="00544409" w:rsidRPr="00544409" w:rsidRDefault="00544409" w:rsidP="000A3D57">
      <w:pPr>
        <w:numPr>
          <w:ilvl w:val="1"/>
          <w:numId w:val="6"/>
        </w:numPr>
        <w:tabs>
          <w:tab w:val="clear" w:pos="1800"/>
        </w:tabs>
        <w:spacing w:after="0" w:line="360" w:lineRule="auto"/>
        <w:ind w:left="1134" w:hanging="283"/>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Caracterizar las posturas y expectativas de actores clave (públicos, privados y comunitarios) sobre trazabilidad, tributación y gobernanza.</w:t>
      </w:r>
    </w:p>
    <w:p w14:paraId="7BD907B7" w14:textId="5E736B87" w:rsidR="00544409" w:rsidRPr="00544409" w:rsidRDefault="00544409" w:rsidP="000A3D57">
      <w:pPr>
        <w:numPr>
          <w:ilvl w:val="1"/>
          <w:numId w:val="6"/>
        </w:numPr>
        <w:tabs>
          <w:tab w:val="clear" w:pos="1800"/>
        </w:tabs>
        <w:spacing w:after="0" w:line="360" w:lineRule="auto"/>
        <w:ind w:left="1134" w:hanging="283"/>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Analizar la trazabilidad y los riesgos de derechos humanos en la cadena de valor de la MAPE.</w:t>
      </w:r>
    </w:p>
    <w:p w14:paraId="5009F68F" w14:textId="57C080B2" w:rsidR="00544409" w:rsidRPr="00544409" w:rsidRDefault="00544409" w:rsidP="000A3D57">
      <w:pPr>
        <w:numPr>
          <w:ilvl w:val="1"/>
          <w:numId w:val="6"/>
        </w:numPr>
        <w:tabs>
          <w:tab w:val="clear" w:pos="1800"/>
        </w:tabs>
        <w:spacing w:after="0" w:line="360" w:lineRule="auto"/>
        <w:ind w:left="1134" w:hanging="283"/>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Identificar barreras técnicas, normativas y socioculturales a la formalización.</w:t>
      </w:r>
    </w:p>
    <w:p w14:paraId="77129344" w14:textId="77777777" w:rsidR="00544409" w:rsidRPr="00544409" w:rsidRDefault="00544409" w:rsidP="000A3D57">
      <w:pPr>
        <w:numPr>
          <w:ilvl w:val="1"/>
          <w:numId w:val="6"/>
        </w:numPr>
        <w:tabs>
          <w:tab w:val="clear" w:pos="1800"/>
        </w:tabs>
        <w:spacing w:after="0" w:line="360" w:lineRule="auto"/>
        <w:ind w:left="1134" w:hanging="283"/>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 xml:space="preserve">Diseñar una estrategia de incidencia política multiactor para traducir los hallazgos en mejoras normativas y prácticas empresariales. </w:t>
      </w:r>
    </w:p>
    <w:p w14:paraId="7E8AF1DE" w14:textId="77777777" w:rsidR="00544409" w:rsidRPr="00544409" w:rsidRDefault="00544409" w:rsidP="00544409">
      <w:pPr>
        <w:spacing w:after="0" w:line="360" w:lineRule="auto"/>
        <w:ind w:left="1788"/>
        <w:contextualSpacing/>
        <w:jc w:val="both"/>
        <w:rPr>
          <w:rFonts w:ascii="Arial" w:eastAsia="Times New Roman" w:hAnsi="Arial" w:cs="Arial"/>
          <w:kern w:val="0"/>
          <w:sz w:val="22"/>
          <w:szCs w:val="22"/>
          <w:lang w:eastAsia="es-MX"/>
          <w14:ligatures w14:val="none"/>
        </w:rPr>
      </w:pPr>
    </w:p>
    <w:p w14:paraId="16777130" w14:textId="60C5A67A" w:rsidR="00544409" w:rsidRPr="000A3D57" w:rsidRDefault="000A3D57" w:rsidP="00007BF9">
      <w:pPr>
        <w:numPr>
          <w:ilvl w:val="0"/>
          <w:numId w:val="5"/>
        </w:numPr>
        <w:spacing w:after="0" w:line="360" w:lineRule="auto"/>
        <w:contextualSpacing/>
        <w:jc w:val="both"/>
        <w:rPr>
          <w:rFonts w:ascii="Arial" w:eastAsia="Times New Roman" w:hAnsi="Arial" w:cs="Arial"/>
          <w:kern w:val="0"/>
          <w:sz w:val="22"/>
          <w:szCs w:val="22"/>
          <w:lang w:eastAsia="es-MX"/>
          <w14:ligatures w14:val="none"/>
        </w:rPr>
      </w:pPr>
      <w:r>
        <w:rPr>
          <w:rFonts w:ascii="Arial" w:eastAsia="Times New Roman" w:hAnsi="Arial" w:cs="Arial"/>
          <w:b/>
          <w:bCs/>
          <w:kern w:val="0"/>
          <w:sz w:val="22"/>
          <w:szCs w:val="22"/>
          <w:lang w:eastAsia="es-MX"/>
          <w14:ligatures w14:val="none"/>
        </w:rPr>
        <w:t>M</w:t>
      </w:r>
      <w:r w:rsidR="00544409" w:rsidRPr="000A3D57">
        <w:rPr>
          <w:rFonts w:ascii="Arial" w:eastAsia="Times New Roman" w:hAnsi="Arial" w:cs="Arial"/>
          <w:b/>
          <w:bCs/>
          <w:kern w:val="0"/>
          <w:sz w:val="22"/>
          <w:szCs w:val="22"/>
          <w:lang w:eastAsia="es-MX"/>
          <w14:ligatures w14:val="none"/>
        </w:rPr>
        <w:t>etodología</w:t>
      </w:r>
      <w:r w:rsidRPr="000A3D57">
        <w:rPr>
          <w:rFonts w:ascii="Arial" w:eastAsia="Times New Roman" w:hAnsi="Arial" w:cs="Arial"/>
          <w:b/>
          <w:bCs/>
          <w:kern w:val="0"/>
          <w:sz w:val="22"/>
          <w:szCs w:val="22"/>
          <w:lang w:eastAsia="es-MX"/>
          <w14:ligatures w14:val="none"/>
        </w:rPr>
        <w:t xml:space="preserve">: </w:t>
      </w:r>
      <w:r w:rsidR="00544409" w:rsidRPr="000A3D57">
        <w:rPr>
          <w:rFonts w:ascii="Arial" w:eastAsia="Times New Roman" w:hAnsi="Arial" w:cs="Arial"/>
          <w:kern w:val="0"/>
          <w:sz w:val="22"/>
          <w:szCs w:val="22"/>
          <w:lang w:eastAsia="es-MX"/>
          <w14:ligatures w14:val="none"/>
        </w:rPr>
        <w:t>Se adoptó un diseño mixto con las siguientes fases:</w:t>
      </w:r>
    </w:p>
    <w:p w14:paraId="7F3DF907" w14:textId="77777777" w:rsidR="00544409" w:rsidRPr="00544409" w:rsidRDefault="00544409" w:rsidP="00544409">
      <w:pPr>
        <w:numPr>
          <w:ilvl w:val="0"/>
          <w:numId w:val="6"/>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 xml:space="preserve">Revisión documental </w:t>
      </w:r>
    </w:p>
    <w:p w14:paraId="07878366" w14:textId="77777777" w:rsidR="00544409" w:rsidRPr="00544409" w:rsidRDefault="00544409" w:rsidP="000A3D57">
      <w:pPr>
        <w:numPr>
          <w:ilvl w:val="1"/>
          <w:numId w:val="6"/>
        </w:numPr>
        <w:tabs>
          <w:tab w:val="clear" w:pos="1800"/>
        </w:tabs>
        <w:spacing w:after="0" w:line="360" w:lineRule="auto"/>
        <w:ind w:left="1134" w:hanging="283"/>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Normativa nacional: Ley General de Minería; Decreto Supremo N.º 009-2021-JUS; lineamientos del Plan Nacional de Acción sobre Empresas y DDHH (PNA 2021–2025).</w:t>
      </w:r>
    </w:p>
    <w:p w14:paraId="74C88B49" w14:textId="77777777" w:rsidR="00544409" w:rsidRPr="00544409" w:rsidRDefault="00544409" w:rsidP="000A3D57">
      <w:pPr>
        <w:numPr>
          <w:ilvl w:val="1"/>
          <w:numId w:val="6"/>
        </w:numPr>
        <w:tabs>
          <w:tab w:val="clear" w:pos="1800"/>
        </w:tabs>
        <w:spacing w:after="0" w:line="360" w:lineRule="auto"/>
        <w:ind w:left="1134" w:hanging="283"/>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 xml:space="preserve">Estándares internacionales: Guía OCDE sobre DDHH, CSDDD de la UE, LBMA y </w:t>
      </w:r>
      <w:proofErr w:type="spellStart"/>
      <w:r w:rsidRPr="00544409">
        <w:rPr>
          <w:rFonts w:ascii="Arial" w:eastAsia="Times New Roman" w:hAnsi="Arial" w:cs="Arial"/>
          <w:kern w:val="0"/>
          <w:sz w:val="22"/>
          <w:szCs w:val="22"/>
          <w:lang w:eastAsia="es-MX"/>
          <w14:ligatures w14:val="none"/>
        </w:rPr>
        <w:t>Fairmined</w:t>
      </w:r>
      <w:proofErr w:type="spellEnd"/>
      <w:r w:rsidRPr="00544409">
        <w:rPr>
          <w:rFonts w:ascii="Arial" w:eastAsia="Times New Roman" w:hAnsi="Arial" w:cs="Arial"/>
          <w:kern w:val="0"/>
          <w:sz w:val="22"/>
          <w:szCs w:val="22"/>
          <w:lang w:eastAsia="es-MX"/>
          <w14:ligatures w14:val="none"/>
        </w:rPr>
        <w:t>.</w:t>
      </w:r>
    </w:p>
    <w:p w14:paraId="4C94684E" w14:textId="77777777" w:rsidR="00544409" w:rsidRPr="00544409" w:rsidRDefault="00544409" w:rsidP="00544409">
      <w:pPr>
        <w:numPr>
          <w:ilvl w:val="0"/>
          <w:numId w:val="6"/>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Entrevistas semiestructuradas</w:t>
      </w:r>
      <w:r w:rsidRPr="00544409">
        <w:rPr>
          <w:rFonts w:ascii="Arial" w:eastAsia="Times New Roman" w:hAnsi="Arial" w:cs="Arial"/>
          <w:kern w:val="0"/>
          <w:sz w:val="22"/>
          <w:szCs w:val="22"/>
          <w:lang w:eastAsia="es-MX"/>
          <w14:ligatures w14:val="none"/>
        </w:rPr>
        <w:t xml:space="preserve"> (Más de 30) con:</w:t>
      </w:r>
    </w:p>
    <w:p w14:paraId="74724AAE" w14:textId="02E5DDE8" w:rsidR="00544409" w:rsidRPr="00544409" w:rsidRDefault="00544409" w:rsidP="000A3D57">
      <w:pPr>
        <w:numPr>
          <w:ilvl w:val="1"/>
          <w:numId w:val="6"/>
        </w:numPr>
        <w:tabs>
          <w:tab w:val="clear" w:pos="1800"/>
        </w:tabs>
        <w:spacing w:after="0" w:line="360" w:lineRule="auto"/>
        <w:ind w:left="1134" w:hanging="283"/>
        <w:contextualSpacing/>
        <w:jc w:val="both"/>
        <w:rPr>
          <w:rFonts w:ascii="Arial" w:eastAsia="Times New Roman" w:hAnsi="Arial" w:cs="Arial"/>
          <w:kern w:val="0"/>
          <w:sz w:val="22"/>
          <w:szCs w:val="22"/>
          <w:lang w:eastAsia="es-MX"/>
          <w14:ligatures w14:val="none"/>
        </w:rPr>
      </w:pPr>
      <w:r w:rsidRPr="000A3D57">
        <w:rPr>
          <w:rFonts w:ascii="Arial" w:eastAsia="Times New Roman" w:hAnsi="Arial" w:cs="Arial"/>
          <w:kern w:val="0"/>
          <w:sz w:val="22"/>
          <w:szCs w:val="22"/>
          <w:lang w:eastAsia="es-MX"/>
          <w14:ligatures w14:val="none"/>
        </w:rPr>
        <w:t>Sector público:</w:t>
      </w:r>
      <w:r w:rsidRPr="00544409">
        <w:rPr>
          <w:rFonts w:ascii="Arial" w:eastAsia="Times New Roman" w:hAnsi="Arial" w:cs="Arial"/>
          <w:kern w:val="0"/>
          <w:sz w:val="22"/>
          <w:szCs w:val="22"/>
          <w:lang w:eastAsia="es-MX"/>
          <w14:ligatures w14:val="none"/>
        </w:rPr>
        <w:t xml:space="preserve"> MINEM, MINJUSDH, Fiscalías, </w:t>
      </w:r>
      <w:proofErr w:type="spellStart"/>
      <w:r w:rsidRPr="00544409">
        <w:rPr>
          <w:rFonts w:ascii="Arial" w:eastAsia="Times New Roman" w:hAnsi="Arial" w:cs="Arial"/>
          <w:kern w:val="0"/>
          <w:sz w:val="22"/>
          <w:szCs w:val="22"/>
          <w:lang w:eastAsia="es-MX"/>
          <w14:ligatures w14:val="none"/>
        </w:rPr>
        <w:t>Proinversión</w:t>
      </w:r>
      <w:proofErr w:type="spellEnd"/>
      <w:r w:rsidRPr="00544409">
        <w:rPr>
          <w:rFonts w:ascii="Arial" w:eastAsia="Times New Roman" w:hAnsi="Arial" w:cs="Arial"/>
          <w:kern w:val="0"/>
          <w:sz w:val="22"/>
          <w:szCs w:val="22"/>
          <w:lang w:eastAsia="es-MX"/>
          <w14:ligatures w14:val="none"/>
        </w:rPr>
        <w:t>, Defensoría.</w:t>
      </w:r>
    </w:p>
    <w:p w14:paraId="5FA7E6F3" w14:textId="77777777" w:rsidR="00544409" w:rsidRPr="00544409" w:rsidRDefault="00544409" w:rsidP="000A3D57">
      <w:pPr>
        <w:numPr>
          <w:ilvl w:val="1"/>
          <w:numId w:val="6"/>
        </w:numPr>
        <w:tabs>
          <w:tab w:val="clear" w:pos="1800"/>
        </w:tabs>
        <w:spacing w:after="0" w:line="360" w:lineRule="auto"/>
        <w:ind w:left="1134" w:hanging="283"/>
        <w:contextualSpacing/>
        <w:jc w:val="both"/>
        <w:rPr>
          <w:rFonts w:ascii="Arial" w:eastAsia="Times New Roman" w:hAnsi="Arial" w:cs="Arial"/>
          <w:kern w:val="0"/>
          <w:sz w:val="22"/>
          <w:szCs w:val="22"/>
          <w:lang w:eastAsia="es-MX"/>
          <w14:ligatures w14:val="none"/>
        </w:rPr>
      </w:pPr>
      <w:r w:rsidRPr="000A3D57">
        <w:rPr>
          <w:rFonts w:ascii="Arial" w:eastAsia="Times New Roman" w:hAnsi="Arial" w:cs="Arial"/>
          <w:kern w:val="0"/>
          <w:sz w:val="22"/>
          <w:szCs w:val="22"/>
          <w:lang w:eastAsia="es-MX"/>
          <w14:ligatures w14:val="none"/>
        </w:rPr>
        <w:t>Sector privado:</w:t>
      </w:r>
      <w:r w:rsidRPr="00544409">
        <w:rPr>
          <w:rFonts w:ascii="Arial" w:eastAsia="Times New Roman" w:hAnsi="Arial" w:cs="Arial"/>
          <w:kern w:val="0"/>
          <w:sz w:val="22"/>
          <w:szCs w:val="22"/>
          <w:lang w:eastAsia="es-MX"/>
          <w14:ligatures w14:val="none"/>
        </w:rPr>
        <w:t xml:space="preserve"> empresas de la gran y mediana minería, SNMPE, IIMP, plantas de beneficio de oro, </w:t>
      </w:r>
      <w:proofErr w:type="spellStart"/>
      <w:r w:rsidRPr="00544409">
        <w:rPr>
          <w:rFonts w:ascii="Arial" w:eastAsia="Times New Roman" w:hAnsi="Arial" w:cs="Arial"/>
          <w:kern w:val="0"/>
          <w:sz w:val="22"/>
          <w:szCs w:val="22"/>
          <w:lang w:eastAsia="es-MX"/>
          <w14:ligatures w14:val="none"/>
        </w:rPr>
        <w:t>traders</w:t>
      </w:r>
      <w:proofErr w:type="spellEnd"/>
      <w:r w:rsidRPr="00544409">
        <w:rPr>
          <w:rFonts w:ascii="Arial" w:eastAsia="Times New Roman" w:hAnsi="Arial" w:cs="Arial"/>
          <w:kern w:val="0"/>
          <w:sz w:val="22"/>
          <w:szCs w:val="22"/>
          <w:lang w:eastAsia="es-MX"/>
          <w14:ligatures w14:val="none"/>
        </w:rPr>
        <w:t xml:space="preserve"> internacionales.</w:t>
      </w:r>
    </w:p>
    <w:p w14:paraId="4753EE4A" w14:textId="77777777" w:rsidR="00544409" w:rsidRPr="00544409" w:rsidRDefault="00544409" w:rsidP="000A3D57">
      <w:pPr>
        <w:numPr>
          <w:ilvl w:val="1"/>
          <w:numId w:val="6"/>
        </w:numPr>
        <w:tabs>
          <w:tab w:val="clear" w:pos="1800"/>
        </w:tabs>
        <w:spacing w:after="0" w:line="360" w:lineRule="auto"/>
        <w:ind w:left="1134" w:hanging="283"/>
        <w:contextualSpacing/>
        <w:jc w:val="both"/>
        <w:rPr>
          <w:rFonts w:ascii="Arial" w:eastAsia="Times New Roman" w:hAnsi="Arial" w:cs="Arial"/>
          <w:kern w:val="0"/>
          <w:sz w:val="22"/>
          <w:szCs w:val="22"/>
          <w:lang w:eastAsia="es-MX"/>
          <w14:ligatures w14:val="none"/>
        </w:rPr>
      </w:pPr>
      <w:r w:rsidRPr="000A3D57">
        <w:rPr>
          <w:rFonts w:ascii="Arial" w:eastAsia="Times New Roman" w:hAnsi="Arial" w:cs="Arial"/>
          <w:kern w:val="0"/>
          <w:sz w:val="22"/>
          <w:szCs w:val="22"/>
          <w:lang w:eastAsia="es-MX"/>
          <w14:ligatures w14:val="none"/>
        </w:rPr>
        <w:t>Organizaciones MAPE</w:t>
      </w:r>
      <w:r w:rsidRPr="00544409">
        <w:rPr>
          <w:rFonts w:ascii="Arial" w:eastAsia="Times New Roman" w:hAnsi="Arial" w:cs="Arial"/>
          <w:kern w:val="0"/>
          <w:sz w:val="22"/>
          <w:szCs w:val="22"/>
          <w:lang w:eastAsia="es-MX"/>
          <w14:ligatures w14:val="none"/>
        </w:rPr>
        <w:t>.</w:t>
      </w:r>
    </w:p>
    <w:p w14:paraId="79E969F1" w14:textId="6C85C7AD" w:rsidR="00544409" w:rsidRPr="00544409" w:rsidRDefault="00544409" w:rsidP="000A3D57">
      <w:pPr>
        <w:numPr>
          <w:ilvl w:val="1"/>
          <w:numId w:val="6"/>
        </w:numPr>
        <w:tabs>
          <w:tab w:val="clear" w:pos="1800"/>
        </w:tabs>
        <w:spacing w:after="0" w:line="360" w:lineRule="auto"/>
        <w:ind w:left="1134" w:hanging="283"/>
        <w:contextualSpacing/>
        <w:jc w:val="both"/>
        <w:rPr>
          <w:rFonts w:ascii="Arial" w:eastAsia="Times New Roman" w:hAnsi="Arial" w:cs="Arial"/>
          <w:kern w:val="0"/>
          <w:sz w:val="22"/>
          <w:szCs w:val="22"/>
          <w:lang w:eastAsia="es-MX"/>
          <w14:ligatures w14:val="none"/>
        </w:rPr>
      </w:pPr>
      <w:r w:rsidRPr="000A3D57">
        <w:rPr>
          <w:rFonts w:ascii="Arial" w:eastAsia="Times New Roman" w:hAnsi="Arial" w:cs="Arial"/>
          <w:kern w:val="0"/>
          <w:sz w:val="22"/>
          <w:szCs w:val="22"/>
          <w:lang w:eastAsia="es-MX"/>
          <w14:ligatures w14:val="none"/>
        </w:rPr>
        <w:t>Sociedad civil y cooperación</w:t>
      </w:r>
    </w:p>
    <w:p w14:paraId="0A923352" w14:textId="4BB0E7CD" w:rsidR="00544409" w:rsidRPr="00544409" w:rsidRDefault="00544409" w:rsidP="000A3D57">
      <w:pPr>
        <w:numPr>
          <w:ilvl w:val="1"/>
          <w:numId w:val="6"/>
        </w:numPr>
        <w:tabs>
          <w:tab w:val="clear" w:pos="1800"/>
        </w:tabs>
        <w:spacing w:after="0" w:line="360" w:lineRule="auto"/>
        <w:ind w:left="1134" w:hanging="283"/>
        <w:contextualSpacing/>
        <w:jc w:val="both"/>
        <w:rPr>
          <w:rFonts w:ascii="Arial" w:eastAsia="Times New Roman" w:hAnsi="Arial" w:cs="Arial"/>
          <w:kern w:val="0"/>
          <w:sz w:val="22"/>
          <w:szCs w:val="22"/>
          <w:lang w:eastAsia="es-MX"/>
          <w14:ligatures w14:val="none"/>
        </w:rPr>
      </w:pPr>
      <w:r w:rsidRPr="000A3D57">
        <w:rPr>
          <w:rFonts w:ascii="Arial" w:eastAsia="Times New Roman" w:hAnsi="Arial" w:cs="Arial"/>
          <w:kern w:val="0"/>
          <w:sz w:val="22"/>
          <w:szCs w:val="22"/>
          <w:lang w:eastAsia="es-MX"/>
          <w14:ligatures w14:val="none"/>
        </w:rPr>
        <w:t>Expertos internacionales</w:t>
      </w:r>
    </w:p>
    <w:p w14:paraId="25C79281" w14:textId="77777777" w:rsidR="00544409" w:rsidRPr="000A3D57" w:rsidRDefault="00544409" w:rsidP="00544409">
      <w:pPr>
        <w:numPr>
          <w:ilvl w:val="0"/>
          <w:numId w:val="6"/>
        </w:numPr>
        <w:spacing w:after="0" w:line="360" w:lineRule="auto"/>
        <w:contextualSpacing/>
        <w:jc w:val="both"/>
        <w:rPr>
          <w:rFonts w:ascii="Arial" w:eastAsia="Times New Roman" w:hAnsi="Arial" w:cs="Arial"/>
          <w:kern w:val="0"/>
          <w:sz w:val="22"/>
          <w:szCs w:val="22"/>
          <w:lang w:eastAsia="es-MX"/>
          <w14:ligatures w14:val="none"/>
        </w:rPr>
      </w:pPr>
      <w:r w:rsidRPr="000A3D57">
        <w:rPr>
          <w:rFonts w:ascii="Arial" w:eastAsia="Times New Roman" w:hAnsi="Arial" w:cs="Arial"/>
          <w:kern w:val="0"/>
          <w:sz w:val="22"/>
          <w:szCs w:val="22"/>
          <w:lang w:eastAsia="es-MX"/>
          <w14:ligatures w14:val="none"/>
        </w:rPr>
        <w:t>Grupos focales:</w:t>
      </w:r>
      <w:r w:rsidRPr="00544409">
        <w:rPr>
          <w:rFonts w:ascii="Arial" w:eastAsia="Times New Roman" w:hAnsi="Arial" w:cs="Arial"/>
          <w:b/>
          <w:bCs/>
          <w:kern w:val="0"/>
          <w:sz w:val="22"/>
          <w:szCs w:val="22"/>
          <w:lang w:eastAsia="es-MX"/>
          <w14:ligatures w14:val="none"/>
        </w:rPr>
        <w:t xml:space="preserve"> </w:t>
      </w:r>
      <w:r w:rsidRPr="000A3D57">
        <w:rPr>
          <w:rFonts w:ascii="Arial" w:eastAsia="Times New Roman" w:hAnsi="Arial" w:cs="Arial"/>
          <w:kern w:val="0"/>
          <w:sz w:val="22"/>
          <w:szCs w:val="22"/>
          <w:lang w:eastAsia="es-MX"/>
          <w14:ligatures w14:val="none"/>
        </w:rPr>
        <w:t xml:space="preserve">Empresas mineras, empresas MAPE, Cooperación internacional, Academia y sociedad civil.  </w:t>
      </w:r>
    </w:p>
    <w:p w14:paraId="103EBB6B" w14:textId="2BDD08F8" w:rsidR="00E92913" w:rsidRPr="000A3D57" w:rsidRDefault="000A3D57" w:rsidP="007C73F1">
      <w:pPr>
        <w:numPr>
          <w:ilvl w:val="0"/>
          <w:numId w:val="6"/>
        </w:numPr>
        <w:spacing w:after="0" w:line="360" w:lineRule="auto"/>
        <w:contextualSpacing/>
        <w:jc w:val="both"/>
        <w:rPr>
          <w:rFonts w:ascii="Arial" w:eastAsia="Times New Roman" w:hAnsi="Arial" w:cs="Arial"/>
          <w:kern w:val="0"/>
          <w:sz w:val="22"/>
          <w:szCs w:val="22"/>
          <w:lang w:eastAsia="es-MX"/>
          <w14:ligatures w14:val="none"/>
        </w:rPr>
      </w:pPr>
      <w:r>
        <w:rPr>
          <w:rFonts w:ascii="Arial" w:eastAsia="Times New Roman" w:hAnsi="Arial" w:cs="Arial"/>
          <w:kern w:val="0"/>
          <w:sz w:val="22"/>
          <w:szCs w:val="22"/>
          <w:lang w:eastAsia="es-MX"/>
          <w14:ligatures w14:val="none"/>
        </w:rPr>
        <w:t>T</w:t>
      </w:r>
      <w:r w:rsidRPr="000A3D57">
        <w:rPr>
          <w:rFonts w:ascii="Arial" w:eastAsia="Times New Roman" w:hAnsi="Arial" w:cs="Arial"/>
          <w:kern w:val="0"/>
          <w:sz w:val="22"/>
          <w:szCs w:val="22"/>
          <w:lang w:eastAsia="es-MX"/>
          <w14:ligatures w14:val="none"/>
        </w:rPr>
        <w:t>alleres en es</w:t>
      </w:r>
      <w:r w:rsidR="00E92913" w:rsidRPr="000A3D57">
        <w:rPr>
          <w:rFonts w:ascii="Arial" w:eastAsia="Times New Roman" w:hAnsi="Arial" w:cs="Arial"/>
          <w:kern w:val="0"/>
          <w:sz w:val="22"/>
          <w:szCs w:val="22"/>
          <w:lang w:eastAsia="es-MX"/>
          <w14:ligatures w14:val="none"/>
        </w:rPr>
        <w:t xml:space="preserve">pacios de diálogo multiactor, tales como Grupo de Diálogo de Minería y Sostenibilidad y Grupo de Principios Voluntarios y Principios Rectores. </w:t>
      </w:r>
    </w:p>
    <w:p w14:paraId="2720317E" w14:textId="77777777" w:rsidR="00544409" w:rsidRPr="00544409" w:rsidRDefault="00544409" w:rsidP="00544409">
      <w:pPr>
        <w:spacing w:after="0" w:line="360" w:lineRule="auto"/>
        <w:ind w:left="1080"/>
        <w:contextualSpacing/>
        <w:jc w:val="both"/>
        <w:rPr>
          <w:rFonts w:ascii="Arial" w:eastAsia="Times New Roman" w:hAnsi="Arial" w:cs="Arial"/>
          <w:kern w:val="0"/>
          <w:sz w:val="22"/>
          <w:szCs w:val="22"/>
          <w:lang w:eastAsia="es-MX"/>
          <w14:ligatures w14:val="none"/>
        </w:rPr>
      </w:pPr>
    </w:p>
    <w:p w14:paraId="19177788" w14:textId="77777777" w:rsidR="00544409" w:rsidRPr="00544409" w:rsidRDefault="00544409" w:rsidP="00544409">
      <w:pPr>
        <w:numPr>
          <w:ilvl w:val="0"/>
          <w:numId w:val="7"/>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Resultados alcanzados</w:t>
      </w:r>
    </w:p>
    <w:p w14:paraId="34515E32" w14:textId="77777777" w:rsidR="00544409" w:rsidRPr="00544409" w:rsidRDefault="00544409" w:rsidP="00544409">
      <w:pPr>
        <w:numPr>
          <w:ilvl w:val="0"/>
          <w:numId w:val="8"/>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Visiones divergentes:</w:t>
      </w:r>
    </w:p>
    <w:p w14:paraId="30976A13"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lastRenderedPageBreak/>
        <w:t>Grandes empresas exigen trazabilidad digital completa y tributación basada en valor de producción.</w:t>
      </w:r>
    </w:p>
    <w:p w14:paraId="3BCD2070"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 xml:space="preserve">Mineros MAPE proponen registro </w:t>
      </w:r>
      <w:proofErr w:type="spellStart"/>
      <w:r w:rsidRPr="00544409">
        <w:rPr>
          <w:rFonts w:ascii="Arial" w:eastAsia="Times New Roman" w:hAnsi="Arial" w:cs="Arial"/>
          <w:kern w:val="0"/>
          <w:sz w:val="22"/>
          <w:szCs w:val="22"/>
          <w:lang w:eastAsia="es-MX"/>
          <w14:ligatures w14:val="none"/>
        </w:rPr>
        <w:t>semianálogo</w:t>
      </w:r>
      <w:proofErr w:type="spellEnd"/>
      <w:r w:rsidRPr="00544409">
        <w:rPr>
          <w:rFonts w:ascii="Arial" w:eastAsia="Times New Roman" w:hAnsi="Arial" w:cs="Arial"/>
          <w:kern w:val="0"/>
          <w:sz w:val="22"/>
          <w:szCs w:val="22"/>
          <w:lang w:eastAsia="es-MX"/>
          <w14:ligatures w14:val="none"/>
        </w:rPr>
        <w:t xml:space="preserve"> (acta con firma comunitaria), tasa fija adaptada a volúmenes bajos y reconocimiento de “pasivos históricos”.</w:t>
      </w:r>
    </w:p>
    <w:p w14:paraId="476231BE" w14:textId="77777777" w:rsidR="00544409" w:rsidRPr="00544409" w:rsidRDefault="00544409" w:rsidP="00544409">
      <w:pPr>
        <w:numPr>
          <w:ilvl w:val="0"/>
          <w:numId w:val="8"/>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Brechas normativas y operativas:</w:t>
      </w:r>
    </w:p>
    <w:p w14:paraId="1D1B23B0"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Carencia de guías operativas de debida diligencia específicas para MAPE.</w:t>
      </w:r>
    </w:p>
    <w:p w14:paraId="3534CC5D"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Ausencia de un sistema nacional post-REINFO que brinde asistencia técnica y financiamiento para la formalización.</w:t>
      </w:r>
    </w:p>
    <w:p w14:paraId="4590D2D1" w14:textId="77777777" w:rsidR="00544409" w:rsidRPr="00544409" w:rsidRDefault="00544409" w:rsidP="00544409">
      <w:pPr>
        <w:numPr>
          <w:ilvl w:val="0"/>
          <w:numId w:val="8"/>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Barreras identificadas:</w:t>
      </w:r>
    </w:p>
    <w:p w14:paraId="5FF47D42"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Técnicas: baja conectividad en zonas rurales impide el uso de plataformas digitales.</w:t>
      </w:r>
    </w:p>
    <w:p w14:paraId="417624F1"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Económicas: costos directos (inscripción, monitoreo) y costos de oportunidad (tiempo de formalización).</w:t>
      </w:r>
    </w:p>
    <w:p w14:paraId="6C7414D4"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Socioculturales: desconfianza histórica hacia autoridades estatales y temor a sanciones penales.</w:t>
      </w:r>
    </w:p>
    <w:p w14:paraId="3C4FFCB5" w14:textId="77777777" w:rsidR="00544409" w:rsidRPr="00544409" w:rsidRDefault="00544409" w:rsidP="00544409">
      <w:pPr>
        <w:spacing w:after="0" w:line="360" w:lineRule="auto"/>
        <w:ind w:left="1788"/>
        <w:contextualSpacing/>
        <w:jc w:val="both"/>
        <w:rPr>
          <w:rFonts w:ascii="Arial" w:eastAsia="Times New Roman" w:hAnsi="Arial" w:cs="Arial"/>
          <w:kern w:val="0"/>
          <w:sz w:val="22"/>
          <w:szCs w:val="22"/>
          <w:lang w:eastAsia="es-MX"/>
          <w14:ligatures w14:val="none"/>
        </w:rPr>
      </w:pPr>
    </w:p>
    <w:p w14:paraId="50530E1A" w14:textId="3AD2F349" w:rsidR="00544409" w:rsidRPr="000A3D57" w:rsidRDefault="00544409" w:rsidP="00E1432E">
      <w:pPr>
        <w:numPr>
          <w:ilvl w:val="0"/>
          <w:numId w:val="9"/>
        </w:numPr>
        <w:spacing w:after="0" w:line="360" w:lineRule="auto"/>
        <w:contextualSpacing/>
        <w:jc w:val="both"/>
        <w:rPr>
          <w:rFonts w:ascii="Arial" w:eastAsia="Times New Roman" w:hAnsi="Arial" w:cs="Arial"/>
          <w:kern w:val="0"/>
          <w:sz w:val="22"/>
          <w:szCs w:val="22"/>
          <w:lang w:eastAsia="es-MX"/>
          <w14:ligatures w14:val="none"/>
        </w:rPr>
      </w:pPr>
      <w:r w:rsidRPr="000A3D57">
        <w:rPr>
          <w:rFonts w:ascii="Arial" w:eastAsia="Times New Roman" w:hAnsi="Arial" w:cs="Arial"/>
          <w:b/>
          <w:bCs/>
          <w:kern w:val="0"/>
          <w:sz w:val="22"/>
          <w:szCs w:val="22"/>
          <w:lang w:eastAsia="es-MX"/>
          <w14:ligatures w14:val="none"/>
        </w:rPr>
        <w:t>Conclusión y recomendaciones</w:t>
      </w:r>
      <w:r w:rsidR="000A3D57" w:rsidRPr="000A3D57">
        <w:rPr>
          <w:rFonts w:ascii="Arial" w:eastAsia="Times New Roman" w:hAnsi="Arial" w:cs="Arial"/>
          <w:b/>
          <w:bCs/>
          <w:kern w:val="0"/>
          <w:sz w:val="22"/>
          <w:szCs w:val="22"/>
          <w:lang w:eastAsia="es-MX"/>
          <w14:ligatures w14:val="none"/>
        </w:rPr>
        <w:t xml:space="preserve">: </w:t>
      </w:r>
      <w:r w:rsidR="000A3D57">
        <w:rPr>
          <w:rFonts w:ascii="Arial" w:eastAsia="Times New Roman" w:hAnsi="Arial" w:cs="Arial"/>
          <w:kern w:val="0"/>
          <w:sz w:val="22"/>
          <w:szCs w:val="22"/>
          <w:lang w:eastAsia="es-MX"/>
          <w14:ligatures w14:val="none"/>
        </w:rPr>
        <w:t>p</w:t>
      </w:r>
      <w:r w:rsidRPr="000A3D57">
        <w:rPr>
          <w:rFonts w:ascii="Arial" w:eastAsia="Times New Roman" w:hAnsi="Arial" w:cs="Arial"/>
          <w:kern w:val="0"/>
          <w:sz w:val="22"/>
          <w:szCs w:val="22"/>
          <w:lang w:eastAsia="es-MX"/>
          <w14:ligatures w14:val="none"/>
        </w:rPr>
        <w:t>ara lograr una formalización eficaz y sostenible de la MAPE, se propone:</w:t>
      </w:r>
    </w:p>
    <w:p w14:paraId="1D50D7D6" w14:textId="77777777" w:rsidR="00544409" w:rsidRPr="00544409" w:rsidRDefault="00544409" w:rsidP="00544409">
      <w:pPr>
        <w:numPr>
          <w:ilvl w:val="0"/>
          <w:numId w:val="10"/>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Diseño de un régimen escalonado</w:t>
      </w:r>
      <w:r w:rsidRPr="00544409">
        <w:rPr>
          <w:rFonts w:ascii="Arial" w:eastAsia="Times New Roman" w:hAnsi="Arial" w:cs="Arial"/>
          <w:kern w:val="0"/>
          <w:sz w:val="22"/>
          <w:szCs w:val="22"/>
          <w:lang w:eastAsia="es-MX"/>
          <w14:ligatures w14:val="none"/>
        </w:rPr>
        <w:t>, con niveles (básico, intermedio, avanzado) que permitan una transición gradual y reconocimiento de trayectorias históricas.</w:t>
      </w:r>
    </w:p>
    <w:p w14:paraId="4174DECB" w14:textId="77777777" w:rsidR="00544409" w:rsidRPr="00544409" w:rsidRDefault="00544409" w:rsidP="00544409">
      <w:pPr>
        <w:numPr>
          <w:ilvl w:val="0"/>
          <w:numId w:val="10"/>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Guías operativas de debida diligencia</w:t>
      </w:r>
      <w:r w:rsidRPr="00544409">
        <w:rPr>
          <w:rFonts w:ascii="Arial" w:eastAsia="Times New Roman" w:hAnsi="Arial" w:cs="Arial"/>
          <w:kern w:val="0"/>
          <w:sz w:val="22"/>
          <w:szCs w:val="22"/>
          <w:lang w:eastAsia="es-MX"/>
          <w14:ligatures w14:val="none"/>
        </w:rPr>
        <w:t xml:space="preserve"> </w:t>
      </w:r>
      <w:proofErr w:type="spellStart"/>
      <w:r w:rsidRPr="00544409">
        <w:rPr>
          <w:rFonts w:ascii="Arial" w:eastAsia="Times New Roman" w:hAnsi="Arial" w:cs="Arial"/>
          <w:kern w:val="0"/>
          <w:sz w:val="22"/>
          <w:szCs w:val="22"/>
          <w:lang w:eastAsia="es-MX"/>
          <w14:ligatures w14:val="none"/>
        </w:rPr>
        <w:t>co-desarrolladas</w:t>
      </w:r>
      <w:proofErr w:type="spellEnd"/>
      <w:r w:rsidRPr="00544409">
        <w:rPr>
          <w:rFonts w:ascii="Arial" w:eastAsia="Times New Roman" w:hAnsi="Arial" w:cs="Arial"/>
          <w:kern w:val="0"/>
          <w:sz w:val="22"/>
          <w:szCs w:val="22"/>
          <w:lang w:eastAsia="es-MX"/>
          <w14:ligatures w14:val="none"/>
        </w:rPr>
        <w:t xml:space="preserve"> con OCDE y LBMA, que incluyan formularios simplificados y estándares mínimos de trazabilidad.</w:t>
      </w:r>
    </w:p>
    <w:p w14:paraId="3B93F879" w14:textId="24F42D37" w:rsidR="00544409" w:rsidRPr="00544409" w:rsidRDefault="00544409" w:rsidP="00544409">
      <w:pPr>
        <w:numPr>
          <w:ilvl w:val="0"/>
          <w:numId w:val="10"/>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Fortalecimiento institucional regional</w:t>
      </w:r>
      <w:r w:rsidRPr="00544409">
        <w:rPr>
          <w:rFonts w:ascii="Arial" w:eastAsia="Times New Roman" w:hAnsi="Arial" w:cs="Arial"/>
          <w:kern w:val="0"/>
          <w:sz w:val="22"/>
          <w:szCs w:val="22"/>
          <w:lang w:eastAsia="es-MX"/>
          <w14:ligatures w14:val="none"/>
        </w:rPr>
        <w:t>, mediante unidades MAPE en el MINEM con presupuesto y asistencia técnica continua.</w:t>
      </w:r>
    </w:p>
    <w:p w14:paraId="36B014EC" w14:textId="058935EE" w:rsidR="00544409" w:rsidRPr="00544409" w:rsidRDefault="00544409" w:rsidP="00544409">
      <w:pPr>
        <w:numPr>
          <w:ilvl w:val="0"/>
          <w:numId w:val="10"/>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Reactivación de espacios multiactor</w:t>
      </w:r>
      <w:r w:rsidRPr="00544409">
        <w:rPr>
          <w:rFonts w:ascii="Arial" w:eastAsia="Times New Roman" w:hAnsi="Arial" w:cs="Arial"/>
          <w:kern w:val="0"/>
          <w:sz w:val="22"/>
          <w:szCs w:val="22"/>
          <w:lang w:eastAsia="es-MX"/>
          <w14:ligatures w14:val="none"/>
        </w:rPr>
        <w:t>, dotándolos de mandatos específicos, indicadores de desempeño y mecanismos de rendición de cuentas.</w:t>
      </w:r>
    </w:p>
    <w:p w14:paraId="1C1F68D8" w14:textId="77777777" w:rsidR="00544409" w:rsidRPr="00544409" w:rsidRDefault="00544409" w:rsidP="00544409">
      <w:pPr>
        <w:numPr>
          <w:ilvl w:val="0"/>
          <w:numId w:val="10"/>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Alianzas público-privadas</w:t>
      </w:r>
      <w:r w:rsidRPr="00544409">
        <w:rPr>
          <w:rFonts w:ascii="Arial" w:eastAsia="Times New Roman" w:hAnsi="Arial" w:cs="Arial"/>
          <w:kern w:val="0"/>
          <w:sz w:val="22"/>
          <w:szCs w:val="22"/>
          <w:lang w:eastAsia="es-MX"/>
          <w14:ligatures w14:val="none"/>
        </w:rPr>
        <w:t xml:space="preserve"> con plantas de beneficio y compradores responsables para garantizar mercados y acceso a certificaciones voluntarias.</w:t>
      </w:r>
    </w:p>
    <w:p w14:paraId="7C05E867" w14:textId="77777777" w:rsidR="00544409" w:rsidRPr="00544409" w:rsidRDefault="00544409" w:rsidP="00544409">
      <w:pPr>
        <w:spacing w:after="0" w:line="360" w:lineRule="auto"/>
        <w:ind w:left="720"/>
        <w:contextualSpacing/>
        <w:jc w:val="both"/>
        <w:rPr>
          <w:rFonts w:ascii="Arial" w:eastAsia="Times New Roman" w:hAnsi="Arial" w:cs="Arial"/>
          <w:kern w:val="0"/>
          <w:sz w:val="22"/>
          <w:szCs w:val="22"/>
          <w:lang w:eastAsia="es-MX"/>
          <w14:ligatures w14:val="none"/>
        </w:rPr>
      </w:pPr>
    </w:p>
    <w:p w14:paraId="5190B964" w14:textId="54957A7F" w:rsidR="00544409" w:rsidRPr="00544409" w:rsidRDefault="00544409" w:rsidP="00544409">
      <w:pPr>
        <w:spacing w:after="0" w:line="360" w:lineRule="auto"/>
        <w:contextualSpacing/>
        <w:jc w:val="both"/>
        <w:rPr>
          <w:rFonts w:ascii="Arial" w:hAnsi="Arial" w:cs="Arial"/>
          <w:sz w:val="22"/>
          <w:szCs w:val="22"/>
        </w:rPr>
      </w:pPr>
      <w:r w:rsidRPr="00544409">
        <w:rPr>
          <w:rFonts w:ascii="Arial" w:eastAsia="Times New Roman" w:hAnsi="Arial" w:cs="Arial"/>
          <w:kern w:val="0"/>
          <w:sz w:val="22"/>
          <w:szCs w:val="22"/>
          <w:lang w:eastAsia="es-MX"/>
          <w14:ligatures w14:val="none"/>
        </w:rPr>
        <w:t>Este enfoque metodológico robusto y participativo asegura que las recomendaciones sean tanto técnica como socialmente pertinentes, sentando las bases para una política de formalización de la MAPE que promueva la protección de derechos humanos, la inclusión económica y la competitividad del sector en el Perú.</w:t>
      </w:r>
    </w:p>
    <w:sectPr w:rsidR="00544409" w:rsidRPr="005444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B27727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5" o:spid="_x0000_i1025" type="#_x0000_t75" alt="https://cdn.hubblecontent.osi.office.net/icons/publish/icons_chevronarrows_ltr/chevronarrows_ltr.svg" style="width:1in;height:1in;visibility:visible">
            <v:imagedata r:id="rId1" o:title="" croptop="-20610f" cropbottom="-20610f" cropleft="-5001f" cropright="-4480f"/>
          </v:shape>
        </w:pict>
      </mc:Choice>
      <mc:Fallback>
        <w:drawing>
          <wp:inline distT="0" distB="0" distL="0" distR="0" wp14:anchorId="54BF2287" wp14:editId="439C8297">
            <wp:extent cx="914400" cy="914400"/>
            <wp:effectExtent l="0" t="0" r="0" b="0"/>
            <wp:docPr id="1066167166" name="Gráfico 5" descr="https://cdn.hubblecontent.osi.office.net/icons/publish/icons_chevronarrows_ltr/chevronarrows_lt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54432" name="Gráfico 1684854432" descr="https://cdn.hubblecontent.osi.office.net/icons/publish/icons_chevronarrows_ltr/chevronarrows_ltr.svg"/>
                    <pic:cNvPicPr/>
                  </pic:nvPicPr>
                  <pic:blipFill>
                    <a:blip r:embed="rId2">
                      <a:extLst>
                        <a:ext uri="{96DAC541-7B7A-43D3-8B79-37D633B846F1}">
                          <asvg:svgBlip xmlns:asvg="http://schemas.microsoft.com/office/drawing/2016/SVG/main" r:embed="rId3"/>
                        </a:ext>
                      </a:extLst>
                    </a:blip>
                    <a:stretch>
                      <a:fillRect/>
                    </a:stretch>
                  </pic:blipFill>
                  <pic:spPr>
                    <a:xfrm>
                      <a:off x="0" y="0"/>
                      <a:ext cx="914400" cy="914400"/>
                    </a:xfrm>
                    <a:prstGeom prst="rect">
                      <a:avLst/>
                    </a:prstGeom>
                  </pic:spPr>
                </pic:pic>
              </a:graphicData>
            </a:graphic>
          </wp:inline>
        </w:drawing>
      </mc:Fallback>
    </mc:AlternateContent>
  </w:numPicBullet>
  <w:abstractNum w:abstractNumId="0" w15:restartNumberingAfterBreak="0">
    <w:nsid w:val="0A1A3B3B"/>
    <w:multiLevelType w:val="multilevel"/>
    <w:tmpl w:val="32E00BC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13211903"/>
    <w:multiLevelType w:val="multilevel"/>
    <w:tmpl w:val="D3C81AA8"/>
    <w:lvl w:ilvl="0">
      <w:start w:val="1"/>
      <w:numFmt w:val="bullet"/>
      <w:lvlText w:val=""/>
      <w:lvlPicBulletId w:val="0"/>
      <w:lvlJc w:val="left"/>
      <w:pPr>
        <w:tabs>
          <w:tab w:val="num" w:pos="1068"/>
        </w:tabs>
        <w:ind w:left="1068" w:hanging="360"/>
      </w:pPr>
      <w:rPr>
        <w:rFonts w:ascii="Symbol" w:hAnsi="Symbol" w:hint="default"/>
        <w:color w:val="auto"/>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38F53DE6"/>
    <w:multiLevelType w:val="multilevel"/>
    <w:tmpl w:val="CBEEF7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6A44A9F"/>
    <w:multiLevelType w:val="hybridMultilevel"/>
    <w:tmpl w:val="34D8BDA4"/>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25539A"/>
    <w:multiLevelType w:val="multilevel"/>
    <w:tmpl w:val="1A14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596B07"/>
    <w:multiLevelType w:val="hybridMultilevel"/>
    <w:tmpl w:val="6E9E1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26A6A2F"/>
    <w:multiLevelType w:val="hybridMultilevel"/>
    <w:tmpl w:val="AC7A4C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6A42035"/>
    <w:multiLevelType w:val="multilevel"/>
    <w:tmpl w:val="7BEC74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DE4A6A"/>
    <w:multiLevelType w:val="multilevel"/>
    <w:tmpl w:val="FB8C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6E660D"/>
    <w:multiLevelType w:val="multilevel"/>
    <w:tmpl w:val="AE6ACC64"/>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tabs>
          <w:tab w:val="num" w:pos="1788"/>
        </w:tabs>
        <w:ind w:left="1788" w:hanging="360"/>
      </w:p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79C674C3"/>
    <w:multiLevelType w:val="multilevel"/>
    <w:tmpl w:val="61A2F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224242">
    <w:abstractNumId w:val="5"/>
  </w:num>
  <w:num w:numId="2" w16cid:durableId="162478260">
    <w:abstractNumId w:val="3"/>
  </w:num>
  <w:num w:numId="3" w16cid:durableId="566495738">
    <w:abstractNumId w:val="8"/>
  </w:num>
  <w:num w:numId="4" w16cid:durableId="1391198462">
    <w:abstractNumId w:val="9"/>
  </w:num>
  <w:num w:numId="5" w16cid:durableId="632179781">
    <w:abstractNumId w:val="4"/>
  </w:num>
  <w:num w:numId="6" w16cid:durableId="1348753616">
    <w:abstractNumId w:val="2"/>
  </w:num>
  <w:num w:numId="7" w16cid:durableId="1106776485">
    <w:abstractNumId w:val="10"/>
  </w:num>
  <w:num w:numId="8" w16cid:durableId="2146505624">
    <w:abstractNumId w:val="0"/>
  </w:num>
  <w:num w:numId="9" w16cid:durableId="471141107">
    <w:abstractNumId w:val="7"/>
  </w:num>
  <w:num w:numId="10" w16cid:durableId="1210652905">
    <w:abstractNumId w:val="1"/>
  </w:num>
  <w:num w:numId="11" w16cid:durableId="12616486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9A"/>
    <w:rsid w:val="000A3D57"/>
    <w:rsid w:val="000F6A21"/>
    <w:rsid w:val="0052019A"/>
    <w:rsid w:val="00526B4A"/>
    <w:rsid w:val="00544409"/>
    <w:rsid w:val="005B3356"/>
    <w:rsid w:val="00DC49B2"/>
    <w:rsid w:val="00E92913"/>
    <w:rsid w:val="00EE701F"/>
    <w:rsid w:val="00F160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161A8"/>
  <w15:chartTrackingRefBased/>
  <w15:docId w15:val="{46C68129-90DB-4FA6-A680-683D3086A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0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0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01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01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01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01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01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01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01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01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01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01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01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01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01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01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01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019A"/>
    <w:rPr>
      <w:rFonts w:eastAsiaTheme="majorEastAsia" w:cstheme="majorBidi"/>
      <w:color w:val="272727" w:themeColor="text1" w:themeTint="D8"/>
    </w:rPr>
  </w:style>
  <w:style w:type="paragraph" w:styleId="Ttulo">
    <w:name w:val="Title"/>
    <w:basedOn w:val="Normal"/>
    <w:next w:val="Normal"/>
    <w:link w:val="TtuloCar"/>
    <w:uiPriority w:val="10"/>
    <w:qFormat/>
    <w:rsid w:val="00520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01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01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01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019A"/>
    <w:pPr>
      <w:spacing w:before="160"/>
      <w:jc w:val="center"/>
    </w:pPr>
    <w:rPr>
      <w:i/>
      <w:iCs/>
      <w:color w:val="404040" w:themeColor="text1" w:themeTint="BF"/>
    </w:rPr>
  </w:style>
  <w:style w:type="character" w:customStyle="1" w:styleId="CitaCar">
    <w:name w:val="Cita Car"/>
    <w:basedOn w:val="Fuentedeprrafopredeter"/>
    <w:link w:val="Cita"/>
    <w:uiPriority w:val="29"/>
    <w:rsid w:val="0052019A"/>
    <w:rPr>
      <w:i/>
      <w:iCs/>
      <w:color w:val="404040" w:themeColor="text1" w:themeTint="BF"/>
    </w:rPr>
  </w:style>
  <w:style w:type="paragraph" w:styleId="Prrafodelista">
    <w:name w:val="List Paragraph"/>
    <w:basedOn w:val="Normal"/>
    <w:uiPriority w:val="34"/>
    <w:qFormat/>
    <w:rsid w:val="0052019A"/>
    <w:pPr>
      <w:ind w:left="720"/>
      <w:contextualSpacing/>
    </w:pPr>
  </w:style>
  <w:style w:type="character" w:styleId="nfasisintenso">
    <w:name w:val="Intense Emphasis"/>
    <w:basedOn w:val="Fuentedeprrafopredeter"/>
    <w:uiPriority w:val="21"/>
    <w:qFormat/>
    <w:rsid w:val="0052019A"/>
    <w:rPr>
      <w:i/>
      <w:iCs/>
      <w:color w:val="0F4761" w:themeColor="accent1" w:themeShade="BF"/>
    </w:rPr>
  </w:style>
  <w:style w:type="paragraph" w:styleId="Citadestacada">
    <w:name w:val="Intense Quote"/>
    <w:basedOn w:val="Normal"/>
    <w:next w:val="Normal"/>
    <w:link w:val="CitadestacadaCar"/>
    <w:uiPriority w:val="30"/>
    <w:qFormat/>
    <w:rsid w:val="00520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019A"/>
    <w:rPr>
      <w:i/>
      <w:iCs/>
      <w:color w:val="0F4761" w:themeColor="accent1" w:themeShade="BF"/>
    </w:rPr>
  </w:style>
  <w:style w:type="character" w:styleId="Referenciaintensa">
    <w:name w:val="Intense Reference"/>
    <w:basedOn w:val="Fuentedeprrafopredeter"/>
    <w:uiPriority w:val="32"/>
    <w:qFormat/>
    <w:rsid w:val="0052019A"/>
    <w:rPr>
      <w:b/>
      <w:bCs/>
      <w:smallCaps/>
      <w:color w:val="0F4761" w:themeColor="accent1" w:themeShade="BF"/>
      <w:spacing w:val="5"/>
    </w:rPr>
  </w:style>
  <w:style w:type="character" w:styleId="Hipervnculo">
    <w:name w:val="Hyperlink"/>
    <w:basedOn w:val="Fuentedeprrafopredeter"/>
    <w:uiPriority w:val="99"/>
    <w:unhideWhenUsed/>
    <w:rsid w:val="0052019A"/>
    <w:rPr>
      <w:color w:val="467886" w:themeColor="hyperlink"/>
      <w:u w:val="single"/>
    </w:rPr>
  </w:style>
  <w:style w:type="character" w:styleId="Mencinsinresolver">
    <w:name w:val="Unresolved Mention"/>
    <w:basedOn w:val="Fuentedeprrafopredeter"/>
    <w:uiPriority w:val="99"/>
    <w:semiHidden/>
    <w:unhideWhenUsed/>
    <w:rsid w:val="005201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5633315">
      <w:bodyDiv w:val="1"/>
      <w:marLeft w:val="0"/>
      <w:marRight w:val="0"/>
      <w:marTop w:val="0"/>
      <w:marBottom w:val="0"/>
      <w:divBdr>
        <w:top w:val="none" w:sz="0" w:space="0" w:color="auto"/>
        <w:left w:val="none" w:sz="0" w:space="0" w:color="auto"/>
        <w:bottom w:val="none" w:sz="0" w:space="0" w:color="auto"/>
        <w:right w:val="none" w:sz="0" w:space="0" w:color="auto"/>
      </w:divBdr>
    </w:div>
    <w:div w:id="174687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reynau@gmail.com" TargetMode="External"/><Relationship Id="rId5" Type="http://schemas.openxmlformats.org/officeDocument/2006/relationships/hyperlink" Target="mailto:Bettina.reyna@erm.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920</Words>
  <Characters>5066</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Bettina Reyna</dc:creator>
  <cp:keywords/>
  <dc:description/>
  <cp:lastModifiedBy>Carla Bustamante</cp:lastModifiedBy>
  <cp:revision>2</cp:revision>
  <dcterms:created xsi:type="dcterms:W3CDTF">2025-05-15T20:35:00Z</dcterms:created>
  <dcterms:modified xsi:type="dcterms:W3CDTF">2025-05-15T20:35:00Z</dcterms:modified>
</cp:coreProperties>
</file>