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B610C" w14:textId="662EC608" w:rsidR="00CA5861" w:rsidRPr="00CB656E" w:rsidRDefault="00CB656E" w:rsidP="00CB656E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CB656E">
        <w:rPr>
          <w:rFonts w:ascii="Arial" w:hAnsi="Arial" w:cs="Arial"/>
          <w:b/>
          <w:bCs/>
          <w:sz w:val="22"/>
          <w:szCs w:val="22"/>
        </w:rPr>
        <w:t>TÍTULO:</w:t>
      </w:r>
      <w:r w:rsidRPr="00CB656E">
        <w:rPr>
          <w:rFonts w:ascii="Arial" w:hAnsi="Arial" w:cs="Arial"/>
          <w:sz w:val="22"/>
          <w:szCs w:val="22"/>
        </w:rPr>
        <w:t xml:space="preserve"> </w:t>
      </w:r>
      <w:r w:rsidR="009C6BF4" w:rsidRPr="009C6BF4">
        <w:rPr>
          <w:rFonts w:ascii="Arial" w:hAnsi="Arial" w:cs="Arial"/>
          <w:sz w:val="22"/>
          <w:szCs w:val="22"/>
        </w:rPr>
        <w:t>Evaluación técnico-económica de camiones mineros mediante el modelo de Total Cost of Ownership (TCO) en distintos perfiles de acarreo.</w:t>
      </w:r>
    </w:p>
    <w:p w14:paraId="6C36CA3F" w14:textId="6FD0089F" w:rsidR="00CA5861" w:rsidRPr="00CB656E" w:rsidRDefault="00CB656E" w:rsidP="00CB656E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  <w:r w:rsidRPr="00CB656E">
        <w:rPr>
          <w:rFonts w:ascii="Arial" w:hAnsi="Arial" w:cs="Arial"/>
          <w:b/>
          <w:bCs/>
          <w:sz w:val="22"/>
          <w:szCs w:val="22"/>
        </w:rPr>
        <w:t>CATEGORÍA:</w:t>
      </w:r>
      <w:r w:rsidRPr="00CB656E">
        <w:rPr>
          <w:rFonts w:ascii="Arial" w:hAnsi="Arial" w:cs="Arial"/>
          <w:sz w:val="22"/>
          <w:szCs w:val="22"/>
        </w:rPr>
        <w:t xml:space="preserve"> </w:t>
      </w:r>
      <w:r w:rsidR="00CA5861" w:rsidRPr="00CB656E">
        <w:rPr>
          <w:rFonts w:ascii="Arial" w:hAnsi="Arial" w:cs="Arial"/>
          <w:sz w:val="22"/>
          <w:szCs w:val="22"/>
        </w:rPr>
        <w:t>Operaciones Mineras y Gestión de Activos</w:t>
      </w:r>
      <w:r w:rsidR="00CA5861" w:rsidRPr="00CB656E">
        <w:rPr>
          <w:rFonts w:ascii="Arial" w:hAnsi="Arial" w:cs="Arial"/>
          <w:sz w:val="22"/>
          <w:szCs w:val="22"/>
        </w:rPr>
        <w:br/>
      </w:r>
      <w:r w:rsidRPr="00CB656E">
        <w:rPr>
          <w:rFonts w:ascii="Arial" w:hAnsi="Arial" w:cs="Arial"/>
          <w:b/>
          <w:bCs/>
          <w:sz w:val="22"/>
          <w:szCs w:val="22"/>
        </w:rPr>
        <w:t>TEMA:</w:t>
      </w:r>
      <w:r w:rsidRPr="00CB656E">
        <w:rPr>
          <w:rFonts w:ascii="Arial" w:hAnsi="Arial" w:cs="Arial"/>
          <w:sz w:val="22"/>
          <w:szCs w:val="22"/>
        </w:rPr>
        <w:t xml:space="preserve"> </w:t>
      </w:r>
      <w:r w:rsidR="00FA08D1">
        <w:rPr>
          <w:rFonts w:ascii="Arial" w:hAnsi="Arial" w:cs="Arial"/>
          <w:sz w:val="22"/>
          <w:szCs w:val="22"/>
        </w:rPr>
        <w:t xml:space="preserve">Otros </w:t>
      </w:r>
    </w:p>
    <w:p w14:paraId="0CF9B845" w14:textId="034E3CD9" w:rsidR="00CA5861" w:rsidRPr="00CB656E" w:rsidRDefault="00CB656E" w:rsidP="00CB656E">
      <w:pPr>
        <w:pStyle w:val="NormalWeb"/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CB656E">
        <w:rPr>
          <w:rFonts w:ascii="Arial" w:hAnsi="Arial" w:cs="Arial"/>
          <w:b/>
          <w:bCs/>
          <w:sz w:val="22"/>
          <w:szCs w:val="22"/>
        </w:rPr>
        <w:t>CONTENIDO:</w:t>
      </w:r>
    </w:p>
    <w:p w14:paraId="631ED966" w14:textId="5C3F251F" w:rsidR="00CA5861" w:rsidRPr="00CB656E" w:rsidRDefault="00CB656E" w:rsidP="00CB656E">
      <w:pPr>
        <w:pStyle w:val="NormalWeb"/>
        <w:numPr>
          <w:ilvl w:val="0"/>
          <w:numId w:val="1"/>
        </w:numPr>
        <w:spacing w:line="360" w:lineRule="auto"/>
        <w:ind w:left="284" w:hanging="284"/>
        <w:rPr>
          <w:rFonts w:ascii="Arial" w:hAnsi="Arial" w:cs="Arial"/>
          <w:sz w:val="22"/>
          <w:szCs w:val="22"/>
        </w:rPr>
      </w:pPr>
      <w:r w:rsidRPr="00CB656E">
        <w:rPr>
          <w:rStyle w:val="Textoennegrita"/>
          <w:rFonts w:ascii="Arial" w:hAnsi="Arial" w:cs="Arial"/>
          <w:sz w:val="22"/>
          <w:szCs w:val="22"/>
        </w:rPr>
        <w:t>CONTEXTO:</w:t>
      </w:r>
      <w:r w:rsidR="00CA5861" w:rsidRPr="00CB656E">
        <w:rPr>
          <w:rFonts w:ascii="Arial" w:hAnsi="Arial" w:cs="Arial"/>
          <w:sz w:val="22"/>
          <w:szCs w:val="22"/>
        </w:rPr>
        <w:br/>
      </w:r>
      <w:r w:rsidR="009D3A50" w:rsidRPr="009D3A50">
        <w:rPr>
          <w:rFonts w:ascii="Arial" w:hAnsi="Arial" w:cs="Arial"/>
          <w:sz w:val="22"/>
          <w:szCs w:val="22"/>
        </w:rPr>
        <w:t xml:space="preserve">En la minería a </w:t>
      </w:r>
      <w:r w:rsidR="009D3A50">
        <w:rPr>
          <w:rFonts w:ascii="Arial" w:hAnsi="Arial" w:cs="Arial"/>
          <w:sz w:val="22"/>
          <w:szCs w:val="22"/>
        </w:rPr>
        <w:t>tajo</w:t>
      </w:r>
      <w:r w:rsidR="009D3A50" w:rsidRPr="009D3A50">
        <w:rPr>
          <w:rFonts w:ascii="Arial" w:hAnsi="Arial" w:cs="Arial"/>
          <w:sz w:val="22"/>
          <w:szCs w:val="22"/>
        </w:rPr>
        <w:t xml:space="preserve"> abierto, la gestión de flotas de acarreo representa uno de los mayores componentes en los costos operativos y en la eficiencia del ciclo productivo</w:t>
      </w:r>
      <w:r w:rsidR="009D3A50">
        <w:rPr>
          <w:rFonts w:ascii="Arial" w:hAnsi="Arial" w:cs="Arial"/>
          <w:sz w:val="22"/>
          <w:szCs w:val="22"/>
        </w:rPr>
        <w:t>, enfrentando</w:t>
      </w:r>
      <w:r w:rsidR="009D3A50" w:rsidRPr="009D3A50">
        <w:rPr>
          <w:rFonts w:ascii="Arial" w:hAnsi="Arial" w:cs="Arial"/>
          <w:sz w:val="22"/>
          <w:szCs w:val="22"/>
        </w:rPr>
        <w:t xml:space="preserve"> exigencia</w:t>
      </w:r>
      <w:r w:rsidR="009D3A50">
        <w:rPr>
          <w:rFonts w:ascii="Arial" w:hAnsi="Arial" w:cs="Arial"/>
          <w:sz w:val="22"/>
          <w:szCs w:val="22"/>
        </w:rPr>
        <w:t>s en cuanto a</w:t>
      </w:r>
      <w:r w:rsidR="009D3A50" w:rsidRPr="009D3A50">
        <w:rPr>
          <w:rFonts w:ascii="Arial" w:hAnsi="Arial" w:cs="Arial"/>
          <w:sz w:val="22"/>
          <w:szCs w:val="22"/>
        </w:rPr>
        <w:t xml:space="preserve"> productividad</w:t>
      </w:r>
      <w:r w:rsidR="009D3A50">
        <w:rPr>
          <w:rFonts w:ascii="Arial" w:hAnsi="Arial" w:cs="Arial"/>
          <w:sz w:val="22"/>
          <w:szCs w:val="22"/>
        </w:rPr>
        <w:t>,</w:t>
      </w:r>
      <w:r w:rsidR="009D3A50" w:rsidRPr="009D3A50">
        <w:t xml:space="preserve"> </w:t>
      </w:r>
      <w:r w:rsidR="009D3A50" w:rsidRPr="009D3A50">
        <w:rPr>
          <w:rFonts w:ascii="Arial" w:hAnsi="Arial" w:cs="Arial"/>
          <w:sz w:val="22"/>
          <w:szCs w:val="22"/>
        </w:rPr>
        <w:t>control de costos y sostenibilidad operativa</w:t>
      </w:r>
      <w:r w:rsidR="00654CE8">
        <w:rPr>
          <w:rFonts w:ascii="Arial" w:hAnsi="Arial" w:cs="Arial"/>
          <w:sz w:val="22"/>
          <w:szCs w:val="22"/>
        </w:rPr>
        <w:t>, es por ello, que l</w:t>
      </w:r>
      <w:r w:rsidR="00654CE8" w:rsidRPr="00654CE8">
        <w:rPr>
          <w:rFonts w:ascii="Arial" w:hAnsi="Arial" w:cs="Arial"/>
          <w:sz w:val="22"/>
          <w:szCs w:val="22"/>
        </w:rPr>
        <w:t xml:space="preserve">a gestión adecuada de la flota de acarreo se convierte en una decisión estratégica de alto impacto, ya que representa un porcentaje significativo del costo operativo total. </w:t>
      </w:r>
      <w:r w:rsidR="009D3A50" w:rsidRPr="009D3A50">
        <w:rPr>
          <w:rFonts w:ascii="Arial" w:hAnsi="Arial" w:cs="Arial"/>
          <w:sz w:val="22"/>
          <w:szCs w:val="22"/>
        </w:rPr>
        <w:t xml:space="preserve">Sin embargo, en muchos casos, la elección de camiones mineros se ha basado en criterios genéricos, como la suposición de que camiones de mayor capacidad siempre resultan más rentables. </w:t>
      </w:r>
      <w:r w:rsidR="00654CE8" w:rsidRPr="00654CE8">
        <w:rPr>
          <w:rFonts w:ascii="Arial" w:hAnsi="Arial" w:cs="Arial"/>
          <w:sz w:val="22"/>
          <w:szCs w:val="22"/>
        </w:rPr>
        <w:t>Esta suposición puede ser errónea si no se consideran variables como el perfil de acarreo, la distancia, el tipo de pendiente, el consumo de combustible, el desgaste de neumáticos y los costos de mantenimiento</w:t>
      </w:r>
      <w:r w:rsidR="006A7181">
        <w:rPr>
          <w:rFonts w:ascii="Arial" w:hAnsi="Arial" w:cs="Arial"/>
          <w:sz w:val="22"/>
          <w:szCs w:val="22"/>
        </w:rPr>
        <w:t xml:space="preserve"> a lo largo de la vida de los camiones</w:t>
      </w:r>
      <w:r w:rsidR="00654CE8" w:rsidRPr="00654CE8">
        <w:rPr>
          <w:rFonts w:ascii="Arial" w:hAnsi="Arial" w:cs="Arial"/>
          <w:sz w:val="22"/>
          <w:szCs w:val="22"/>
        </w:rPr>
        <w:t xml:space="preserve">. Por ello, surge la necesidad de desarrollar una metodología técnica-económica que permita comparar objetivamente las alternativas y elegir el camión más rentable a lo largo de todo su ciclo de vida, integrando criterios de Total Cost of Ownership (TCO). </w:t>
      </w:r>
    </w:p>
    <w:p w14:paraId="2827B9E6" w14:textId="6BFF0D6C" w:rsidR="00345AA4" w:rsidRDefault="00CB656E" w:rsidP="00944B94">
      <w:pPr>
        <w:pStyle w:val="NormalWeb"/>
        <w:numPr>
          <w:ilvl w:val="0"/>
          <w:numId w:val="1"/>
        </w:numPr>
        <w:spacing w:line="360" w:lineRule="auto"/>
        <w:ind w:left="284" w:hanging="284"/>
        <w:rPr>
          <w:rFonts w:ascii="Arial" w:hAnsi="Arial" w:cs="Arial"/>
          <w:sz w:val="22"/>
          <w:szCs w:val="22"/>
        </w:rPr>
      </w:pPr>
      <w:r w:rsidRPr="00345AA4">
        <w:rPr>
          <w:rStyle w:val="Textoennegrita"/>
          <w:rFonts w:ascii="Arial" w:hAnsi="Arial" w:cs="Arial"/>
          <w:sz w:val="22"/>
          <w:szCs w:val="22"/>
        </w:rPr>
        <w:t>OBJETIVO:</w:t>
      </w:r>
      <w:r w:rsidR="00CA5861" w:rsidRPr="00345AA4">
        <w:rPr>
          <w:rFonts w:ascii="Arial" w:hAnsi="Arial" w:cs="Arial"/>
          <w:sz w:val="22"/>
          <w:szCs w:val="22"/>
        </w:rPr>
        <w:br/>
      </w:r>
      <w:r w:rsidR="00345AA4">
        <w:rPr>
          <w:rFonts w:ascii="Arial" w:hAnsi="Arial" w:cs="Arial"/>
          <w:sz w:val="22"/>
          <w:szCs w:val="22"/>
        </w:rPr>
        <w:t>El presente trabajo, busca d</w:t>
      </w:r>
      <w:r w:rsidR="00345AA4" w:rsidRPr="00345AA4">
        <w:rPr>
          <w:rFonts w:ascii="Arial" w:hAnsi="Arial" w:cs="Arial"/>
          <w:sz w:val="22"/>
          <w:szCs w:val="22"/>
        </w:rPr>
        <w:t xml:space="preserve">eterminar en qué medida el perfil de acarreo influye en la selección de </w:t>
      </w:r>
      <w:r w:rsidR="00345AA4">
        <w:rPr>
          <w:rFonts w:ascii="Arial" w:hAnsi="Arial" w:cs="Arial"/>
          <w:sz w:val="22"/>
          <w:szCs w:val="22"/>
        </w:rPr>
        <w:t>modelo de camiones (320 t o 400 t)</w:t>
      </w:r>
      <w:r w:rsidR="00345AA4" w:rsidRPr="00345AA4">
        <w:rPr>
          <w:rFonts w:ascii="Arial" w:hAnsi="Arial" w:cs="Arial"/>
          <w:sz w:val="22"/>
          <w:szCs w:val="22"/>
        </w:rPr>
        <w:t xml:space="preserve"> con el objetivo de optimizar la elección hacia un menor Total Cost of Ownership (TCO), expresado en $/hora. Esta investigación</w:t>
      </w:r>
      <w:r w:rsidR="00345AA4">
        <w:rPr>
          <w:rFonts w:ascii="Arial" w:hAnsi="Arial" w:cs="Arial"/>
          <w:sz w:val="22"/>
          <w:szCs w:val="22"/>
        </w:rPr>
        <w:t>,</w:t>
      </w:r>
      <w:r w:rsidR="00345AA4" w:rsidRPr="00345AA4">
        <w:rPr>
          <w:rFonts w:ascii="Arial" w:hAnsi="Arial" w:cs="Arial"/>
          <w:sz w:val="22"/>
          <w:szCs w:val="22"/>
        </w:rPr>
        <w:t xml:space="preserve"> busca identificar qué modelo de camión resulta más eficiente, confiable y rentable cuando se evalúan diferentes escenarios de acarreo, distancias y pendientes, aplicando criterios técnico-económicos. La </w:t>
      </w:r>
      <w:r w:rsidR="00345AA4">
        <w:rPr>
          <w:rFonts w:ascii="Arial" w:hAnsi="Arial" w:cs="Arial"/>
          <w:sz w:val="22"/>
          <w:szCs w:val="22"/>
        </w:rPr>
        <w:t xml:space="preserve">finalidad, </w:t>
      </w:r>
      <w:r w:rsidR="00345AA4" w:rsidRPr="00345AA4">
        <w:rPr>
          <w:rFonts w:ascii="Arial" w:hAnsi="Arial" w:cs="Arial"/>
          <w:sz w:val="22"/>
          <w:szCs w:val="22"/>
        </w:rPr>
        <w:t>es lograr una selección estratégica de flota que permita maximizar productividad y minimizar costos acumulados por BCM durante el ciclo de vida del activo.</w:t>
      </w:r>
    </w:p>
    <w:p w14:paraId="455CB1B1" w14:textId="33BF9FB6" w:rsidR="009D3A50" w:rsidRPr="009D3A50" w:rsidRDefault="00CB656E" w:rsidP="009D3A50">
      <w:pPr>
        <w:pStyle w:val="NormalWeb"/>
        <w:numPr>
          <w:ilvl w:val="0"/>
          <w:numId w:val="1"/>
        </w:numPr>
        <w:spacing w:line="360" w:lineRule="auto"/>
        <w:ind w:left="284" w:hanging="284"/>
        <w:rPr>
          <w:rFonts w:ascii="Arial" w:hAnsi="Arial" w:cs="Arial"/>
          <w:sz w:val="22"/>
          <w:szCs w:val="22"/>
        </w:rPr>
      </w:pPr>
      <w:r w:rsidRPr="00345AA4">
        <w:rPr>
          <w:rStyle w:val="Textoennegrita"/>
          <w:rFonts w:ascii="Arial" w:hAnsi="Arial" w:cs="Arial"/>
          <w:sz w:val="22"/>
          <w:szCs w:val="22"/>
        </w:rPr>
        <w:t>METODOLOGÍA:</w:t>
      </w:r>
      <w:r w:rsidR="00CA5861" w:rsidRPr="00345AA4">
        <w:rPr>
          <w:rFonts w:ascii="Arial" w:hAnsi="Arial" w:cs="Arial"/>
          <w:sz w:val="22"/>
          <w:szCs w:val="22"/>
        </w:rPr>
        <w:br/>
      </w:r>
      <w:r w:rsidR="009D3A50" w:rsidRPr="009D3A50">
        <w:rPr>
          <w:rFonts w:ascii="Arial" w:hAnsi="Arial" w:cs="Arial"/>
          <w:sz w:val="22"/>
          <w:szCs w:val="22"/>
        </w:rPr>
        <w:t>Se desarrolló un modelo de evaluación técnica y económica comparativa que integra el análisis del Total Cost of Ownership (TCO) bajo distintos escenarios operativos. El estudio incluyó seis modelos de camiones mineros (Komatsu 930E-</w:t>
      </w:r>
      <w:r w:rsidR="009D3A50" w:rsidRPr="009D3A50">
        <w:rPr>
          <w:rFonts w:ascii="Arial" w:hAnsi="Arial" w:cs="Arial"/>
          <w:sz w:val="22"/>
          <w:szCs w:val="22"/>
        </w:rPr>
        <w:lastRenderedPageBreak/>
        <w:t>2700HP, 930E-3000HP, 930SE, 980E, Caterpillar 794AC y 797F), evaluados frente a perfiles de acarreo con distancias de hasta 3.</w:t>
      </w:r>
      <w:r w:rsidR="009D3A50">
        <w:rPr>
          <w:rFonts w:ascii="Arial" w:hAnsi="Arial" w:cs="Arial"/>
          <w:sz w:val="22"/>
          <w:szCs w:val="22"/>
        </w:rPr>
        <w:t>5</w:t>
      </w:r>
      <w:r w:rsidR="009D3A50" w:rsidRPr="009D3A50">
        <w:rPr>
          <w:rFonts w:ascii="Arial" w:hAnsi="Arial" w:cs="Arial"/>
          <w:sz w:val="22"/>
          <w:szCs w:val="22"/>
        </w:rPr>
        <w:t xml:space="preserve"> km y pendientes de ±8%.</w:t>
      </w:r>
    </w:p>
    <w:p w14:paraId="46C310D7" w14:textId="421E6D2C" w:rsidR="009D3A50" w:rsidRPr="009D3A50" w:rsidRDefault="009D3A50" w:rsidP="009D3A50">
      <w:pPr>
        <w:pStyle w:val="NormalWeb"/>
        <w:spacing w:line="360" w:lineRule="auto"/>
        <w:ind w:left="284" w:hanging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Pr="009D3A50">
        <w:rPr>
          <w:rFonts w:ascii="Arial" w:hAnsi="Arial" w:cs="Arial"/>
          <w:sz w:val="22"/>
          <w:szCs w:val="22"/>
        </w:rPr>
        <w:t>Las variables evaluadas fueron: consumo de combustible (lt/hr), vida útil de neumáticos (km/tire), costos de repuestos de mantenimiento (USD/hr), mano de obra de mantenimiento y operación (USD/hr), costo de capital (USD</w:t>
      </w:r>
      <w:r>
        <w:rPr>
          <w:rFonts w:ascii="Arial" w:hAnsi="Arial" w:cs="Arial"/>
          <w:sz w:val="22"/>
          <w:szCs w:val="22"/>
        </w:rPr>
        <w:t>/camion</w:t>
      </w:r>
      <w:r w:rsidRPr="009D3A50">
        <w:rPr>
          <w:rFonts w:ascii="Arial" w:hAnsi="Arial" w:cs="Arial"/>
          <w:sz w:val="22"/>
          <w:szCs w:val="22"/>
        </w:rPr>
        <w:t>), disponibilidad mecánica (%), velocidad media (km/h), productividad (BCM/hr) y tiempos fijos por ciclo (min).</w:t>
      </w:r>
    </w:p>
    <w:p w14:paraId="257B945A" w14:textId="4DBE7C63" w:rsidR="00CA5861" w:rsidRPr="00345AA4" w:rsidRDefault="009D3A50" w:rsidP="00654CE8">
      <w:pPr>
        <w:pStyle w:val="NormalWeb"/>
        <w:spacing w:line="360" w:lineRule="auto"/>
        <w:ind w:left="284" w:hanging="284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</w:t>
      </w:r>
      <w:r w:rsidRPr="009D3A50">
        <w:rPr>
          <w:rFonts w:ascii="Arial" w:hAnsi="Arial" w:cs="Arial"/>
          <w:sz w:val="22"/>
          <w:szCs w:val="22"/>
        </w:rPr>
        <w:t xml:space="preserve">La productividad de cada equipo se estimó </w:t>
      </w:r>
      <w:r>
        <w:rPr>
          <w:rFonts w:ascii="Arial" w:hAnsi="Arial" w:cs="Arial"/>
          <w:sz w:val="22"/>
          <w:szCs w:val="22"/>
        </w:rPr>
        <w:t xml:space="preserve">mediante simulaciones en TALPAC y </w:t>
      </w:r>
      <w:r w:rsidRPr="009D3A50">
        <w:rPr>
          <w:rFonts w:ascii="Arial" w:hAnsi="Arial" w:cs="Arial"/>
          <w:sz w:val="22"/>
          <w:szCs w:val="22"/>
        </w:rPr>
        <w:t xml:space="preserve">datos recopilados por </w:t>
      </w:r>
      <w:r>
        <w:rPr>
          <w:rFonts w:ascii="Arial" w:hAnsi="Arial" w:cs="Arial"/>
          <w:sz w:val="22"/>
          <w:szCs w:val="22"/>
        </w:rPr>
        <w:t xml:space="preserve">el sistema de </w:t>
      </w:r>
      <w:r w:rsidRPr="009D3A50">
        <w:rPr>
          <w:rFonts w:ascii="Arial" w:hAnsi="Arial" w:cs="Arial"/>
          <w:sz w:val="22"/>
          <w:szCs w:val="22"/>
        </w:rPr>
        <w:t>Wenco</w:t>
      </w:r>
      <w:r>
        <w:rPr>
          <w:rFonts w:ascii="Arial" w:hAnsi="Arial" w:cs="Arial"/>
          <w:sz w:val="22"/>
          <w:szCs w:val="22"/>
        </w:rPr>
        <w:t xml:space="preserve">, también se consideró </w:t>
      </w:r>
      <w:r w:rsidRPr="009D3A50">
        <w:rPr>
          <w:rFonts w:ascii="Arial" w:hAnsi="Arial" w:cs="Arial"/>
          <w:sz w:val="22"/>
          <w:szCs w:val="22"/>
        </w:rPr>
        <w:t>datos de fábrica para definir los parámetros base</w:t>
      </w:r>
      <w:r>
        <w:rPr>
          <w:rFonts w:ascii="Arial" w:hAnsi="Arial" w:cs="Arial"/>
          <w:sz w:val="22"/>
          <w:szCs w:val="22"/>
        </w:rPr>
        <w:t xml:space="preserve">. </w:t>
      </w:r>
      <w:r w:rsidRPr="009D3A50">
        <w:rPr>
          <w:rFonts w:ascii="Arial" w:hAnsi="Arial" w:cs="Arial"/>
          <w:sz w:val="22"/>
          <w:szCs w:val="22"/>
        </w:rPr>
        <w:t>Posteriormente, se aplicó un análisis de sensibilidad tipo tornado para evaluar el impacto de las variaciones en las variables críticas sobre el costo unitario final ($/BCM). Finalmente, se construyó una matriz comparativa por escenarios y se identificaron las alternativas más competitivas.</w:t>
      </w:r>
    </w:p>
    <w:p w14:paraId="4685E962" w14:textId="18592D97" w:rsidR="00654CE8" w:rsidRPr="00654CE8" w:rsidRDefault="00CB656E" w:rsidP="00654CE8">
      <w:pPr>
        <w:pStyle w:val="NormalWeb"/>
        <w:numPr>
          <w:ilvl w:val="0"/>
          <w:numId w:val="1"/>
        </w:numPr>
        <w:spacing w:line="360" w:lineRule="auto"/>
        <w:ind w:left="284" w:hanging="284"/>
        <w:rPr>
          <w:rFonts w:ascii="Arial" w:hAnsi="Arial" w:cs="Arial"/>
          <w:sz w:val="22"/>
          <w:szCs w:val="22"/>
        </w:rPr>
      </w:pPr>
      <w:r w:rsidRPr="00CB656E">
        <w:rPr>
          <w:rStyle w:val="Textoennegrita"/>
          <w:rFonts w:ascii="Arial" w:hAnsi="Arial" w:cs="Arial"/>
          <w:sz w:val="22"/>
          <w:szCs w:val="22"/>
        </w:rPr>
        <w:t>RESULTADOS:</w:t>
      </w:r>
      <w:r w:rsidR="00CA5861" w:rsidRPr="00CB656E">
        <w:rPr>
          <w:rFonts w:ascii="Arial" w:hAnsi="Arial" w:cs="Arial"/>
          <w:sz w:val="22"/>
          <w:szCs w:val="22"/>
        </w:rPr>
        <w:br/>
      </w:r>
      <w:r w:rsidR="00654CE8" w:rsidRPr="00654CE8">
        <w:rPr>
          <w:rFonts w:ascii="Arial" w:hAnsi="Arial" w:cs="Arial"/>
          <w:sz w:val="22"/>
          <w:szCs w:val="22"/>
        </w:rPr>
        <w:t>El análisis reveló que los camiones de clase 320 toneladas, en particular el modelo Komatsu 930SE de 3500HP, ofrecieron el mejor equilibrio entre productividad y costos operativos, alcanzando los menores valores de TCO en perfiles con pendientes marcadas y distancias medias. Estos equipos destacaron por su eficiencia en consumo de combustible, vida útil de neumáticos</w:t>
      </w:r>
      <w:r w:rsidR="00654CE8">
        <w:rPr>
          <w:rFonts w:ascii="Arial" w:hAnsi="Arial" w:cs="Arial"/>
          <w:sz w:val="22"/>
          <w:szCs w:val="22"/>
        </w:rPr>
        <w:t xml:space="preserve">, costos de </w:t>
      </w:r>
      <w:r w:rsidR="00654CE8" w:rsidRPr="00654CE8">
        <w:rPr>
          <w:rFonts w:ascii="Arial" w:hAnsi="Arial" w:cs="Arial"/>
          <w:sz w:val="22"/>
          <w:szCs w:val="22"/>
        </w:rPr>
        <w:t>mantenimiento,</w:t>
      </w:r>
      <w:r w:rsidR="00654CE8">
        <w:rPr>
          <w:rFonts w:ascii="Arial" w:hAnsi="Arial" w:cs="Arial"/>
          <w:sz w:val="22"/>
          <w:szCs w:val="22"/>
        </w:rPr>
        <w:t xml:space="preserve"> logrando</w:t>
      </w:r>
      <w:r w:rsidR="00654CE8" w:rsidRPr="00654CE8">
        <w:rPr>
          <w:rFonts w:ascii="Arial" w:hAnsi="Arial" w:cs="Arial"/>
          <w:sz w:val="22"/>
          <w:szCs w:val="22"/>
        </w:rPr>
        <w:t xml:space="preserve"> reduci</w:t>
      </w:r>
      <w:r w:rsidR="00654CE8">
        <w:rPr>
          <w:rFonts w:ascii="Arial" w:hAnsi="Arial" w:cs="Arial"/>
          <w:sz w:val="22"/>
          <w:szCs w:val="22"/>
        </w:rPr>
        <w:t xml:space="preserve">r </w:t>
      </w:r>
      <w:r w:rsidR="00654CE8" w:rsidRPr="00654CE8">
        <w:rPr>
          <w:rFonts w:ascii="Arial" w:hAnsi="Arial" w:cs="Arial"/>
          <w:sz w:val="22"/>
          <w:szCs w:val="22"/>
        </w:rPr>
        <w:t xml:space="preserve">significativamente el costo por BCM. Si bien el modelo Caterpillar 794AC de </w:t>
      </w:r>
      <w:r w:rsidR="00613882">
        <w:rPr>
          <w:rFonts w:ascii="Arial" w:hAnsi="Arial" w:cs="Arial"/>
          <w:sz w:val="22"/>
          <w:szCs w:val="22"/>
        </w:rPr>
        <w:t>32</w:t>
      </w:r>
      <w:r w:rsidR="00654CE8" w:rsidRPr="00654CE8">
        <w:rPr>
          <w:rFonts w:ascii="Arial" w:hAnsi="Arial" w:cs="Arial"/>
          <w:sz w:val="22"/>
          <w:szCs w:val="22"/>
        </w:rPr>
        <w:t>0 toneladas</w:t>
      </w:r>
      <w:r w:rsidR="00654CE8">
        <w:rPr>
          <w:rFonts w:ascii="Arial" w:hAnsi="Arial" w:cs="Arial"/>
          <w:sz w:val="22"/>
          <w:szCs w:val="22"/>
        </w:rPr>
        <w:t>,</w:t>
      </w:r>
      <w:r w:rsidR="00654CE8" w:rsidRPr="00654CE8">
        <w:rPr>
          <w:rFonts w:ascii="Arial" w:hAnsi="Arial" w:cs="Arial"/>
          <w:sz w:val="22"/>
          <w:szCs w:val="22"/>
        </w:rPr>
        <w:t xml:space="preserve"> </w:t>
      </w:r>
      <w:r w:rsidR="00654CE8" w:rsidRPr="00CB656E">
        <w:rPr>
          <w:rFonts w:ascii="Arial" w:hAnsi="Arial" w:cs="Arial"/>
          <w:sz w:val="22"/>
          <w:szCs w:val="22"/>
        </w:rPr>
        <w:t>obtuvo el costo más bajo en ciertos escenarios, su falta de datos históricos representa un alto nivel de incertidumbre.</w:t>
      </w:r>
      <w:r w:rsidR="00654CE8" w:rsidRPr="00654CE8">
        <w:rPr>
          <w:rFonts w:ascii="Arial" w:hAnsi="Arial" w:cs="Arial"/>
          <w:sz w:val="22"/>
          <w:szCs w:val="22"/>
        </w:rPr>
        <w:t xml:space="preserve"> Por otro lado, el modelo 797F</w:t>
      </w:r>
      <w:r w:rsidR="00654CE8">
        <w:rPr>
          <w:rFonts w:ascii="Arial" w:hAnsi="Arial" w:cs="Arial"/>
          <w:sz w:val="22"/>
          <w:szCs w:val="22"/>
        </w:rPr>
        <w:t xml:space="preserve">, </w:t>
      </w:r>
      <w:r w:rsidR="00654CE8" w:rsidRPr="00CB656E">
        <w:rPr>
          <w:rFonts w:ascii="Arial" w:hAnsi="Arial" w:cs="Arial"/>
          <w:sz w:val="22"/>
          <w:szCs w:val="22"/>
        </w:rPr>
        <w:t>fue descartado como opción competitiva incluso</w:t>
      </w:r>
      <w:r w:rsidR="00654CE8">
        <w:rPr>
          <w:rFonts w:ascii="Arial" w:hAnsi="Arial" w:cs="Arial"/>
          <w:sz w:val="22"/>
          <w:szCs w:val="22"/>
        </w:rPr>
        <w:t xml:space="preserve"> ante</w:t>
      </w:r>
      <w:r w:rsidR="00654CE8" w:rsidRPr="00CB656E">
        <w:rPr>
          <w:rFonts w:ascii="Arial" w:hAnsi="Arial" w:cs="Arial"/>
          <w:sz w:val="22"/>
          <w:szCs w:val="22"/>
        </w:rPr>
        <w:t xml:space="preserve"> bajo supuestos optimistas</w:t>
      </w:r>
    </w:p>
    <w:p w14:paraId="7F7D965E" w14:textId="73548168" w:rsidR="00654CE8" w:rsidRPr="009C6BF4" w:rsidRDefault="00CB656E" w:rsidP="009C6BF4">
      <w:pPr>
        <w:pStyle w:val="NormalWeb"/>
        <w:numPr>
          <w:ilvl w:val="0"/>
          <w:numId w:val="1"/>
        </w:numPr>
        <w:spacing w:before="240" w:beforeAutospacing="0" w:line="360" w:lineRule="auto"/>
        <w:ind w:left="284" w:hanging="284"/>
        <w:rPr>
          <w:rFonts w:ascii="Arial" w:hAnsi="Arial" w:cs="Arial"/>
          <w:sz w:val="22"/>
          <w:szCs w:val="22"/>
        </w:rPr>
      </w:pPr>
      <w:r w:rsidRPr="00CB656E">
        <w:rPr>
          <w:rStyle w:val="Textoennegrita"/>
          <w:rFonts w:ascii="Arial" w:hAnsi="Arial" w:cs="Arial"/>
          <w:sz w:val="22"/>
          <w:szCs w:val="22"/>
        </w:rPr>
        <w:t>CONCLUSIÓN:</w:t>
      </w:r>
      <w:r w:rsidR="00CA5861" w:rsidRPr="00CB656E">
        <w:rPr>
          <w:rFonts w:ascii="Arial" w:hAnsi="Arial" w:cs="Arial"/>
          <w:sz w:val="22"/>
          <w:szCs w:val="22"/>
        </w:rPr>
        <w:br/>
      </w:r>
      <w:r w:rsidR="00654CE8" w:rsidRPr="009C6BF4">
        <w:rPr>
          <w:rFonts w:ascii="Arial" w:hAnsi="Arial" w:cs="Arial"/>
          <w:sz w:val="22"/>
          <w:szCs w:val="22"/>
        </w:rPr>
        <w:t>La implementación de una metodología basada en TCO, representa una herramienta muy útil para la toma de decisiones en la gestión de flota minera</w:t>
      </w:r>
      <w:r w:rsidR="009C6BF4" w:rsidRPr="009C6BF4">
        <w:rPr>
          <w:rFonts w:ascii="Arial" w:hAnsi="Arial" w:cs="Arial"/>
          <w:sz w:val="22"/>
          <w:szCs w:val="22"/>
        </w:rPr>
        <w:t xml:space="preserve"> con menor riesgo técnico-financiero, permitiendo identificar</w:t>
      </w:r>
      <w:r w:rsidR="00654CE8" w:rsidRPr="009C6BF4">
        <w:rPr>
          <w:rFonts w:ascii="Arial" w:hAnsi="Arial" w:cs="Arial"/>
          <w:sz w:val="22"/>
          <w:szCs w:val="22"/>
        </w:rPr>
        <w:t xml:space="preserve"> el camión más óptimo </w:t>
      </w:r>
      <w:r w:rsidR="009C6BF4">
        <w:rPr>
          <w:rFonts w:ascii="Arial" w:hAnsi="Arial" w:cs="Arial"/>
          <w:sz w:val="22"/>
          <w:szCs w:val="22"/>
        </w:rPr>
        <w:t xml:space="preserve">y confiable. </w:t>
      </w:r>
      <w:r w:rsidR="009C6BF4" w:rsidRPr="009C6BF4">
        <w:rPr>
          <w:rFonts w:ascii="Arial" w:hAnsi="Arial" w:cs="Arial"/>
          <w:sz w:val="22"/>
          <w:szCs w:val="22"/>
        </w:rPr>
        <w:t xml:space="preserve">Se </w:t>
      </w:r>
      <w:r w:rsidR="009C6BF4">
        <w:rPr>
          <w:rFonts w:ascii="Arial" w:hAnsi="Arial" w:cs="Arial"/>
          <w:sz w:val="22"/>
          <w:szCs w:val="22"/>
        </w:rPr>
        <w:t>valid</w:t>
      </w:r>
      <w:r w:rsidR="009C6BF4" w:rsidRPr="009C6BF4">
        <w:rPr>
          <w:rFonts w:ascii="Arial" w:hAnsi="Arial" w:cs="Arial"/>
          <w:sz w:val="22"/>
          <w:szCs w:val="22"/>
        </w:rPr>
        <w:t xml:space="preserve">ó que los camiones de 320 toneladas, ofrecen una mejor relación costo-beneficio frente a </w:t>
      </w:r>
      <w:r w:rsidR="009C6BF4">
        <w:rPr>
          <w:rFonts w:ascii="Arial" w:hAnsi="Arial" w:cs="Arial"/>
          <w:sz w:val="22"/>
          <w:szCs w:val="22"/>
        </w:rPr>
        <w:t>los camiones de 400 toneladas</w:t>
      </w:r>
      <w:r w:rsidR="009C6BF4" w:rsidRPr="009C6BF4">
        <w:rPr>
          <w:rFonts w:ascii="Arial" w:hAnsi="Arial" w:cs="Arial"/>
          <w:sz w:val="22"/>
          <w:szCs w:val="22"/>
        </w:rPr>
        <w:t xml:space="preserve">. Estos hallazgos refuerzan la importancia de considerar variables técnicas, económicas y operativas en conjunto para una toma de decisiones más estratégica en la </w:t>
      </w:r>
      <w:r w:rsidR="009C6BF4">
        <w:rPr>
          <w:rFonts w:ascii="Arial" w:hAnsi="Arial" w:cs="Arial"/>
          <w:sz w:val="22"/>
          <w:szCs w:val="22"/>
        </w:rPr>
        <w:t>operación minera.</w:t>
      </w:r>
    </w:p>
    <w:p w14:paraId="02356017" w14:textId="77777777" w:rsidR="009C6BF4" w:rsidRDefault="009C6BF4" w:rsidP="00CB656E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168A8E00" w14:textId="77777777" w:rsidR="009C6BF4" w:rsidRDefault="009C6BF4" w:rsidP="00CB656E">
      <w:pPr>
        <w:pStyle w:val="NormalWeb"/>
        <w:spacing w:line="360" w:lineRule="auto"/>
        <w:rPr>
          <w:rFonts w:ascii="Arial" w:hAnsi="Arial" w:cs="Arial"/>
          <w:sz w:val="22"/>
          <w:szCs w:val="22"/>
        </w:rPr>
      </w:pPr>
    </w:p>
    <w:p w14:paraId="32EE1106" w14:textId="54B3F353" w:rsidR="00CB656E" w:rsidRDefault="00CB656E" w:rsidP="00CB656E">
      <w:pPr>
        <w:pStyle w:val="NormalWeb"/>
        <w:spacing w:line="360" w:lineRule="auto"/>
        <w:rPr>
          <w:rStyle w:val="Textoennegrita"/>
          <w:rFonts w:ascii="Arial" w:hAnsi="Arial" w:cs="Arial"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DATOS DEL AUTOR:</w:t>
      </w:r>
    </w:p>
    <w:p w14:paraId="649AD1CD" w14:textId="261A7C01" w:rsidR="00CB656E" w:rsidRPr="009C6BF4" w:rsidRDefault="00CB656E" w:rsidP="00CB656E">
      <w:pPr>
        <w:pStyle w:val="NormalWeb"/>
        <w:spacing w:line="360" w:lineRule="auto"/>
        <w:rPr>
          <w:rStyle w:val="Textoennegrita"/>
          <w:rFonts w:ascii="Arial" w:hAnsi="Arial" w:cs="Arial"/>
          <w:b w:val="0"/>
          <w:bCs w:val="0"/>
          <w:sz w:val="22"/>
          <w:szCs w:val="22"/>
        </w:rPr>
      </w:pPr>
      <w:r w:rsidRPr="009C6BF4">
        <w:rPr>
          <w:rStyle w:val="Textoennegrita"/>
          <w:rFonts w:ascii="Arial" w:hAnsi="Arial" w:cs="Arial"/>
          <w:sz w:val="22"/>
          <w:szCs w:val="22"/>
        </w:rPr>
        <w:t xml:space="preserve">NOMBRES COMPLETOS: </w:t>
      </w:r>
      <w:r w:rsidRPr="009C6BF4">
        <w:rPr>
          <w:rStyle w:val="Textoennegrita"/>
          <w:rFonts w:ascii="Arial" w:hAnsi="Arial" w:cs="Arial"/>
          <w:b w:val="0"/>
          <w:bCs w:val="0"/>
          <w:sz w:val="22"/>
          <w:szCs w:val="22"/>
        </w:rPr>
        <w:t>Khesly Kimberly Ames Ruiz</w:t>
      </w:r>
    </w:p>
    <w:p w14:paraId="0CB2C9CC" w14:textId="77777777" w:rsidR="002E1616" w:rsidRPr="003768AF" w:rsidRDefault="00CB656E" w:rsidP="00CB656E">
      <w:pPr>
        <w:pStyle w:val="NormalWeb"/>
        <w:spacing w:line="360" w:lineRule="auto"/>
        <w:rPr>
          <w:rStyle w:val="Textoennegrita"/>
          <w:rFonts w:ascii="Arial" w:hAnsi="Arial" w:cs="Arial"/>
          <w:sz w:val="22"/>
          <w:szCs w:val="22"/>
          <w:lang w:val="en-CA"/>
        </w:rPr>
      </w:pPr>
      <w:r w:rsidRPr="003768AF">
        <w:rPr>
          <w:rStyle w:val="Textoennegrita"/>
          <w:rFonts w:ascii="Arial" w:hAnsi="Arial" w:cs="Arial"/>
          <w:sz w:val="22"/>
          <w:szCs w:val="22"/>
          <w:lang w:val="en-CA"/>
        </w:rPr>
        <w:t>EMPRESA:</w:t>
      </w:r>
      <w:r w:rsidR="00345AA4" w:rsidRPr="003768AF">
        <w:rPr>
          <w:rStyle w:val="Textoennegrita"/>
          <w:rFonts w:ascii="Arial" w:hAnsi="Arial" w:cs="Arial"/>
          <w:sz w:val="22"/>
          <w:szCs w:val="22"/>
          <w:lang w:val="en-CA"/>
        </w:rPr>
        <w:t xml:space="preserve"> </w:t>
      </w:r>
    </w:p>
    <w:p w14:paraId="1C145EE7" w14:textId="77777777" w:rsidR="004A75F3" w:rsidRPr="003768AF" w:rsidRDefault="00345AA4" w:rsidP="00CB656E">
      <w:pPr>
        <w:pStyle w:val="NormalWeb"/>
        <w:spacing w:line="360" w:lineRule="auto"/>
        <w:rPr>
          <w:rStyle w:val="Textoennegrita"/>
          <w:rFonts w:ascii="Arial" w:hAnsi="Arial" w:cs="Arial"/>
          <w:b w:val="0"/>
          <w:bCs w:val="0"/>
          <w:sz w:val="22"/>
          <w:szCs w:val="22"/>
          <w:lang w:val="en-CA"/>
        </w:rPr>
      </w:pPr>
      <w:r w:rsidRPr="003768AF">
        <w:rPr>
          <w:rStyle w:val="Textoennegrita"/>
          <w:rFonts w:ascii="Arial" w:hAnsi="Arial" w:cs="Arial"/>
          <w:b w:val="0"/>
          <w:bCs w:val="0"/>
          <w:sz w:val="22"/>
          <w:szCs w:val="22"/>
          <w:lang w:val="en-CA"/>
        </w:rPr>
        <w:t>MS4M</w:t>
      </w:r>
    </w:p>
    <w:p w14:paraId="21123CBF" w14:textId="6D912565" w:rsidR="00DB7F94" w:rsidRPr="003768AF" w:rsidRDefault="00DB7F94" w:rsidP="00CB656E">
      <w:pPr>
        <w:pStyle w:val="NormalWeb"/>
        <w:spacing w:line="360" w:lineRule="auto"/>
        <w:rPr>
          <w:rStyle w:val="Textoennegrita"/>
          <w:rFonts w:ascii="Arial" w:hAnsi="Arial" w:cs="Arial"/>
          <w:b w:val="0"/>
          <w:bCs w:val="0"/>
          <w:sz w:val="22"/>
          <w:szCs w:val="22"/>
        </w:rPr>
      </w:pPr>
      <w:proofErr w:type="spellStart"/>
      <w:r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>University</w:t>
      </w:r>
      <w:proofErr w:type="spellEnd"/>
      <w:r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of British </w:t>
      </w:r>
      <w:r w:rsidR="003768AF"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Columbia, VC, </w:t>
      </w:r>
      <w:proofErr w:type="spellStart"/>
      <w:r w:rsidR="003768AF"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>Canada</w:t>
      </w:r>
      <w:proofErr w:type="spellEnd"/>
      <w:r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– </w:t>
      </w:r>
      <w:r w:rsidR="003768AF"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>Maestría de Ingeniería de</w:t>
      </w:r>
      <w:r w:rsid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Minas</w:t>
      </w:r>
      <w:r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</w:t>
      </w:r>
    </w:p>
    <w:p w14:paraId="3FC4FE02" w14:textId="0D18CDAE" w:rsidR="003768AF" w:rsidRPr="003768AF" w:rsidRDefault="00CB656E" w:rsidP="00CB656E">
      <w:pPr>
        <w:pStyle w:val="NormalWeb"/>
        <w:spacing w:line="360" w:lineRule="auto"/>
        <w:rPr>
          <w:rStyle w:val="Textoennegrita"/>
          <w:rFonts w:ascii="Arial" w:hAnsi="Arial" w:cs="Arial"/>
          <w:sz w:val="22"/>
          <w:szCs w:val="22"/>
        </w:rPr>
      </w:pPr>
      <w:r w:rsidRPr="003768AF">
        <w:rPr>
          <w:rStyle w:val="Textoennegrita"/>
          <w:rFonts w:ascii="Arial" w:hAnsi="Arial" w:cs="Arial"/>
          <w:sz w:val="22"/>
          <w:szCs w:val="22"/>
        </w:rPr>
        <w:t>CARGO:</w:t>
      </w:r>
      <w:r w:rsidR="00345AA4" w:rsidRPr="003768AF">
        <w:rPr>
          <w:rStyle w:val="Textoennegrita"/>
          <w:rFonts w:ascii="Arial" w:hAnsi="Arial" w:cs="Arial"/>
          <w:sz w:val="22"/>
          <w:szCs w:val="22"/>
        </w:rPr>
        <w:t xml:space="preserve"> </w:t>
      </w:r>
      <w:r w:rsidR="00345AA4"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>Supervisora de Optimización</w:t>
      </w:r>
      <w:r w:rsidR="004A75F3"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&amp; </w:t>
      </w:r>
      <w:r w:rsid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Estudiante de </w:t>
      </w:r>
      <w:r w:rsidR="003768AF" w:rsidRP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>Maestría de Ingeniería de</w:t>
      </w:r>
      <w:r w:rsid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Minas</w:t>
      </w:r>
    </w:p>
    <w:p w14:paraId="32E4963E" w14:textId="180CD7F1" w:rsidR="00CB656E" w:rsidRPr="003768AF" w:rsidRDefault="00CB656E" w:rsidP="00CB656E">
      <w:pPr>
        <w:pStyle w:val="NormalWeb"/>
        <w:spacing w:line="360" w:lineRule="auto"/>
        <w:rPr>
          <w:rStyle w:val="Textoennegrita"/>
          <w:rFonts w:ascii="Arial" w:hAnsi="Arial" w:cs="Arial"/>
          <w:b w:val="0"/>
          <w:bCs w:val="0"/>
          <w:sz w:val="22"/>
          <w:szCs w:val="22"/>
          <w:lang w:val="en-CA"/>
        </w:rPr>
      </w:pPr>
      <w:r w:rsidRPr="003768AF">
        <w:rPr>
          <w:rStyle w:val="Textoennegrita"/>
          <w:rFonts w:ascii="Arial" w:hAnsi="Arial" w:cs="Arial"/>
          <w:sz w:val="22"/>
          <w:szCs w:val="22"/>
          <w:lang w:val="en-CA"/>
        </w:rPr>
        <w:t>DIRECCION:</w:t>
      </w:r>
      <w:r w:rsidR="00345AA4" w:rsidRPr="003768AF">
        <w:rPr>
          <w:rStyle w:val="Textoennegrita"/>
          <w:rFonts w:ascii="Arial" w:hAnsi="Arial" w:cs="Arial"/>
          <w:sz w:val="22"/>
          <w:szCs w:val="22"/>
          <w:lang w:val="en-CA"/>
        </w:rPr>
        <w:t xml:space="preserve"> </w:t>
      </w:r>
      <w:r w:rsidR="00345AA4" w:rsidRPr="003768AF">
        <w:rPr>
          <w:rStyle w:val="Textoennegrita"/>
          <w:rFonts w:ascii="Arial" w:hAnsi="Arial" w:cs="Arial"/>
          <w:b w:val="0"/>
          <w:bCs w:val="0"/>
          <w:sz w:val="22"/>
          <w:szCs w:val="22"/>
          <w:lang w:val="en-CA"/>
        </w:rPr>
        <w:t>Av. Argentina 5148</w:t>
      </w:r>
    </w:p>
    <w:p w14:paraId="15790219" w14:textId="7E8038B8" w:rsidR="00CB656E" w:rsidRPr="003768AF" w:rsidRDefault="00CB656E" w:rsidP="00CB656E">
      <w:pPr>
        <w:pStyle w:val="NormalWeb"/>
        <w:spacing w:line="360" w:lineRule="auto"/>
        <w:rPr>
          <w:rStyle w:val="Textoennegrita"/>
          <w:rFonts w:ascii="Arial" w:hAnsi="Arial" w:cs="Arial"/>
          <w:sz w:val="22"/>
          <w:szCs w:val="22"/>
          <w:lang w:val="en-CA"/>
        </w:rPr>
      </w:pPr>
      <w:r w:rsidRPr="003768AF">
        <w:rPr>
          <w:rStyle w:val="Textoennegrita"/>
          <w:rFonts w:ascii="Arial" w:hAnsi="Arial" w:cs="Arial"/>
          <w:sz w:val="22"/>
          <w:szCs w:val="22"/>
          <w:lang w:val="en-CA"/>
        </w:rPr>
        <w:t xml:space="preserve">CELULAR: </w:t>
      </w:r>
      <w:r w:rsidR="00345AA4" w:rsidRPr="003768AF">
        <w:rPr>
          <w:rStyle w:val="Textoennegrita"/>
          <w:rFonts w:ascii="Arial" w:hAnsi="Arial" w:cs="Arial"/>
          <w:b w:val="0"/>
          <w:bCs w:val="0"/>
          <w:sz w:val="22"/>
          <w:szCs w:val="22"/>
          <w:lang w:val="en-CA"/>
        </w:rPr>
        <w:t>966769020</w:t>
      </w:r>
      <w:r w:rsidR="003768AF" w:rsidRPr="003768AF">
        <w:rPr>
          <w:rStyle w:val="Textoennegrita"/>
          <w:rFonts w:ascii="Arial" w:hAnsi="Arial" w:cs="Arial"/>
          <w:b w:val="0"/>
          <w:bCs w:val="0"/>
          <w:sz w:val="22"/>
          <w:szCs w:val="22"/>
          <w:lang w:val="en-CA"/>
        </w:rPr>
        <w:t xml:space="preserve"> / 912201714</w:t>
      </w:r>
    </w:p>
    <w:p w14:paraId="4B6C518B" w14:textId="2C426CA1" w:rsidR="00CB656E" w:rsidRPr="00CB656E" w:rsidRDefault="00CB656E" w:rsidP="00CB656E">
      <w:pPr>
        <w:pStyle w:val="NormalWeb"/>
        <w:spacing w:line="360" w:lineRule="auto"/>
        <w:rPr>
          <w:rStyle w:val="Textoennegrita"/>
          <w:rFonts w:ascii="Arial" w:hAnsi="Arial" w:cs="Arial"/>
          <w:sz w:val="22"/>
          <w:szCs w:val="22"/>
        </w:rPr>
      </w:pPr>
      <w:r w:rsidRPr="00CB656E">
        <w:rPr>
          <w:rStyle w:val="Textoennegrita"/>
          <w:rFonts w:ascii="Arial" w:hAnsi="Arial" w:cs="Arial"/>
          <w:sz w:val="22"/>
          <w:szCs w:val="22"/>
        </w:rPr>
        <w:t xml:space="preserve">CORREO CORPORATIVO: </w:t>
      </w:r>
      <w:r w:rsidR="00345AA4" w:rsidRPr="00345AA4">
        <w:rPr>
          <w:rStyle w:val="Textoennegrita"/>
          <w:rFonts w:ascii="Arial" w:hAnsi="Arial" w:cs="Arial"/>
          <w:b w:val="0"/>
          <w:bCs w:val="0"/>
          <w:sz w:val="22"/>
          <w:szCs w:val="22"/>
        </w:rPr>
        <w:t>khesly.ames@ms4m.com</w:t>
      </w:r>
      <w:r w:rsidRPr="00CB656E">
        <w:rPr>
          <w:rStyle w:val="Textoennegrita"/>
          <w:rFonts w:ascii="Arial" w:hAnsi="Arial" w:cs="Arial"/>
          <w:sz w:val="22"/>
          <w:szCs w:val="22"/>
        </w:rPr>
        <w:t xml:space="preserve">                                             </w:t>
      </w:r>
    </w:p>
    <w:p w14:paraId="473C6011" w14:textId="4A674662" w:rsidR="00CB656E" w:rsidRPr="00CB656E" w:rsidRDefault="00CB656E" w:rsidP="00CB656E">
      <w:pPr>
        <w:pStyle w:val="NormalWeb"/>
        <w:spacing w:line="360" w:lineRule="auto"/>
        <w:rPr>
          <w:rStyle w:val="Textoennegrita"/>
          <w:rFonts w:ascii="Arial" w:hAnsi="Arial" w:cs="Arial"/>
          <w:sz w:val="22"/>
          <w:szCs w:val="22"/>
        </w:rPr>
      </w:pPr>
      <w:r w:rsidRPr="00CB656E">
        <w:rPr>
          <w:rStyle w:val="Textoennegrita"/>
          <w:rFonts w:ascii="Arial" w:hAnsi="Arial" w:cs="Arial"/>
          <w:sz w:val="22"/>
          <w:szCs w:val="22"/>
        </w:rPr>
        <w:t>CORREO PERSONAL:</w:t>
      </w:r>
      <w:r w:rsidR="00345AA4">
        <w:rPr>
          <w:rStyle w:val="Textoennegrita"/>
          <w:rFonts w:ascii="Arial" w:hAnsi="Arial" w:cs="Arial"/>
          <w:sz w:val="22"/>
          <w:szCs w:val="22"/>
        </w:rPr>
        <w:t xml:space="preserve"> </w:t>
      </w:r>
      <w:r w:rsidR="00345AA4" w:rsidRPr="00345AA4">
        <w:rPr>
          <w:rStyle w:val="Textoennegrita"/>
          <w:rFonts w:ascii="Arial" w:hAnsi="Arial" w:cs="Arial"/>
          <w:b w:val="0"/>
          <w:bCs w:val="0"/>
          <w:sz w:val="22"/>
          <w:szCs w:val="22"/>
        </w:rPr>
        <w:t>khes.ames10@gmail.com</w:t>
      </w:r>
    </w:p>
    <w:p w14:paraId="082BC908" w14:textId="4EE7E925" w:rsidR="004A75F3" w:rsidRPr="003768AF" w:rsidRDefault="00CB656E" w:rsidP="00CB656E">
      <w:pPr>
        <w:pStyle w:val="NormalWeb"/>
        <w:spacing w:line="360" w:lineRule="auto"/>
        <w:rPr>
          <w:rStyle w:val="Textoennegrita"/>
          <w:rFonts w:ascii="Arial" w:hAnsi="Arial" w:cs="Arial"/>
          <w:sz w:val="22"/>
          <w:szCs w:val="22"/>
        </w:rPr>
      </w:pPr>
      <w:r w:rsidRPr="003768AF">
        <w:rPr>
          <w:rStyle w:val="Textoennegrita"/>
          <w:rFonts w:ascii="Arial" w:hAnsi="Arial" w:cs="Arial"/>
          <w:sz w:val="22"/>
          <w:szCs w:val="22"/>
        </w:rPr>
        <w:t>RESEÑA P</w:t>
      </w:r>
      <w:r w:rsidR="004A75F3" w:rsidRPr="003768AF">
        <w:rPr>
          <w:rStyle w:val="Textoennegrita"/>
          <w:rFonts w:ascii="Arial" w:hAnsi="Arial" w:cs="Arial"/>
          <w:sz w:val="22"/>
          <w:szCs w:val="22"/>
        </w:rPr>
        <w:t>ROFESIONAL</w:t>
      </w:r>
      <w:r w:rsidR="003768AF" w:rsidRPr="003768AF">
        <w:rPr>
          <w:rStyle w:val="Textoennegrita"/>
          <w:rFonts w:ascii="Arial" w:hAnsi="Arial" w:cs="Arial"/>
          <w:sz w:val="22"/>
          <w:szCs w:val="22"/>
        </w:rPr>
        <w:t>:</w:t>
      </w:r>
    </w:p>
    <w:p w14:paraId="09D89A31" w14:textId="2C758D68" w:rsidR="00904441" w:rsidRDefault="00904441" w:rsidP="00CB656E">
      <w:pPr>
        <w:pStyle w:val="NormalWeb"/>
        <w:spacing w:line="360" w:lineRule="auto"/>
        <w:rPr>
          <w:rStyle w:val="Textoennegrita"/>
          <w:rFonts w:ascii="Arial" w:hAnsi="Arial" w:cs="Arial"/>
          <w:b w:val="0"/>
          <w:bCs w:val="0"/>
          <w:sz w:val="22"/>
          <w:szCs w:val="22"/>
        </w:rPr>
      </w:pP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Ingen</w:t>
      </w:r>
      <w:r w:rsid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>ie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>r</w:t>
      </w:r>
      <w:r w:rsid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>a</w:t>
      </w:r>
      <w:r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de Minas con 4 años de experiencia minera </w:t>
      </w:r>
      <w:r w:rsidR="009B68A5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en tajo abierto en </w:t>
      </w:r>
      <w:r w:rsid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>perforación,</w:t>
      </w:r>
      <w:r w:rsidR="009B68A5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 voladura, productividad </w:t>
      </w:r>
      <w:r w:rsidR="001D2FF2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en </w:t>
      </w:r>
      <w:r w:rsidR="00CE0B16">
        <w:rPr>
          <w:rStyle w:val="Textoennegrita"/>
          <w:rFonts w:ascii="Arial" w:hAnsi="Arial" w:cs="Arial"/>
          <w:b w:val="0"/>
          <w:bCs w:val="0"/>
          <w:sz w:val="22"/>
          <w:szCs w:val="22"/>
        </w:rPr>
        <w:t>operacion</w:t>
      </w:r>
      <w:r w:rsidR="001D2FF2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es </w:t>
      </w:r>
      <w:r w:rsidR="003768AF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- </w:t>
      </w:r>
      <w:r w:rsidR="00CE0B16">
        <w:rPr>
          <w:rStyle w:val="Textoennegrita"/>
          <w:rFonts w:ascii="Arial" w:hAnsi="Arial" w:cs="Arial"/>
          <w:b w:val="0"/>
          <w:bCs w:val="0"/>
          <w:sz w:val="22"/>
          <w:szCs w:val="22"/>
        </w:rPr>
        <w:t>activos</w:t>
      </w:r>
      <w:r w:rsidR="001D2FF2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, </w:t>
      </w:r>
      <w:r w:rsidR="00DE6E89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y </w:t>
      </w:r>
      <w:r w:rsidR="00CE0B16">
        <w:rPr>
          <w:rStyle w:val="Textoennegrita"/>
          <w:rFonts w:ascii="Arial" w:hAnsi="Arial" w:cs="Arial"/>
          <w:b w:val="0"/>
          <w:bCs w:val="0"/>
          <w:sz w:val="22"/>
          <w:szCs w:val="22"/>
        </w:rPr>
        <w:t>costos</w:t>
      </w:r>
      <w:r w:rsidR="00DE6E89">
        <w:rPr>
          <w:rStyle w:val="Textoennegrita"/>
          <w:rFonts w:ascii="Arial" w:hAnsi="Arial" w:cs="Arial"/>
          <w:b w:val="0"/>
          <w:bCs w:val="0"/>
          <w:sz w:val="22"/>
          <w:szCs w:val="22"/>
        </w:rPr>
        <w:t xml:space="preserve">. </w:t>
      </w:r>
    </w:p>
    <w:sectPr w:rsidR="009044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279DF"/>
    <w:multiLevelType w:val="hybridMultilevel"/>
    <w:tmpl w:val="F3B02E1C"/>
    <w:lvl w:ilvl="0" w:tplc="FD2C172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861"/>
    <w:rsid w:val="001D2FF2"/>
    <w:rsid w:val="002E1616"/>
    <w:rsid w:val="00345AA4"/>
    <w:rsid w:val="003768AF"/>
    <w:rsid w:val="004A75F3"/>
    <w:rsid w:val="00613882"/>
    <w:rsid w:val="00654CE8"/>
    <w:rsid w:val="006A7181"/>
    <w:rsid w:val="00904441"/>
    <w:rsid w:val="009B68A5"/>
    <w:rsid w:val="009C6BF4"/>
    <w:rsid w:val="009D3A50"/>
    <w:rsid w:val="00A6478A"/>
    <w:rsid w:val="00CA5861"/>
    <w:rsid w:val="00CB656E"/>
    <w:rsid w:val="00CE0B16"/>
    <w:rsid w:val="00D84B23"/>
    <w:rsid w:val="00DB7F94"/>
    <w:rsid w:val="00DE6E89"/>
    <w:rsid w:val="00FA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3F14DB"/>
  <w15:chartTrackingRefBased/>
  <w15:docId w15:val="{EF28B66B-466B-4E0E-A3A2-162B144BE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58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CA58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8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3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790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Khesly Ames</dc:creator>
  <cp:keywords/>
  <dc:description/>
  <cp:lastModifiedBy>Khesly Ames</cp:lastModifiedBy>
  <cp:revision>3</cp:revision>
  <dcterms:created xsi:type="dcterms:W3CDTF">2025-05-11T03:59:00Z</dcterms:created>
  <dcterms:modified xsi:type="dcterms:W3CDTF">2025-05-12T01:42:00Z</dcterms:modified>
</cp:coreProperties>
</file>