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BAD0B" w14:textId="77777777" w:rsidR="00EC3AB9" w:rsidRPr="002E2927" w:rsidRDefault="00EC3AB9" w:rsidP="0043508E">
      <w:pPr>
        <w:spacing w:after="0" w:line="240" w:lineRule="auto"/>
      </w:pPr>
      <w:r>
        <w:rPr>
          <w:b/>
          <w:bCs/>
        </w:rPr>
        <w:t xml:space="preserve">Título: </w:t>
      </w:r>
      <w:r w:rsidRPr="002E2927">
        <w:t xml:space="preserve"> </w:t>
      </w:r>
      <w:r>
        <w:t>Pisemos el acelerador: Avances y retos</w:t>
      </w:r>
      <w:r w:rsidRPr="002E2927">
        <w:t xml:space="preserve"> de la permisología en exploración minera. </w:t>
      </w:r>
    </w:p>
    <w:p w14:paraId="6DBA480C" w14:textId="77777777" w:rsidR="00EC3AB9" w:rsidRPr="002E2927" w:rsidRDefault="00EC3AB9" w:rsidP="0043508E">
      <w:pPr>
        <w:spacing w:after="0" w:line="240" w:lineRule="auto"/>
      </w:pPr>
      <w:r>
        <w:rPr>
          <w:b/>
          <w:bCs/>
        </w:rPr>
        <w:t xml:space="preserve">Tema: </w:t>
      </w:r>
      <w:r w:rsidRPr="002E2927">
        <w:t>Per</w:t>
      </w:r>
      <w:r>
        <w:t>m</w:t>
      </w:r>
      <w:r w:rsidRPr="002E2927">
        <w:t>isología Ambiental</w:t>
      </w:r>
    </w:p>
    <w:p w14:paraId="1E6AF863" w14:textId="77777777" w:rsidR="00EC3AB9" w:rsidRDefault="00EC3AB9" w:rsidP="0043508E">
      <w:pPr>
        <w:spacing w:after="0" w:line="240" w:lineRule="auto"/>
        <w:rPr>
          <w:b/>
          <w:bCs/>
        </w:rPr>
      </w:pPr>
      <w:r>
        <w:rPr>
          <w:b/>
          <w:bCs/>
        </w:rPr>
        <w:t xml:space="preserve">Categoría: </w:t>
      </w:r>
      <w:r w:rsidRPr="002E2927">
        <w:t>ESG</w:t>
      </w:r>
    </w:p>
    <w:p w14:paraId="08C7A38B" w14:textId="7A89B848" w:rsidR="00EC3AB9" w:rsidRPr="0043508E" w:rsidRDefault="00EC3AB9" w:rsidP="0043508E">
      <w:pPr>
        <w:spacing w:after="0" w:line="240" w:lineRule="auto"/>
        <w:jc w:val="both"/>
        <w:rPr>
          <w:rFonts w:cs="Arial"/>
        </w:rPr>
      </w:pPr>
      <w:r>
        <w:rPr>
          <w:b/>
          <w:bCs/>
        </w:rPr>
        <w:t xml:space="preserve">Datos del autor: </w:t>
      </w:r>
      <w:r w:rsidRPr="002E2927">
        <w:t>Joseline Pe</w:t>
      </w:r>
      <w:r w:rsidRPr="0043508E">
        <w:t>rez Camara</w:t>
      </w:r>
      <w:r w:rsidR="0043508E" w:rsidRPr="0043508E">
        <w:t xml:space="preserve"> </w:t>
      </w:r>
      <w:hyperlink r:id="rId8">
        <w:r w:rsidR="0043508E" w:rsidRPr="0043508E">
          <w:rPr>
            <w:rFonts w:cs="Arial"/>
            <w:color w:val="0563C1"/>
            <w:u w:val="single"/>
          </w:rPr>
          <w:t>jperez@ehernandez.com.pe/</w:t>
        </w:r>
      </w:hyperlink>
      <w:r w:rsidR="0043508E" w:rsidRPr="0043508E">
        <w:rPr>
          <w:rFonts w:cs="Arial"/>
        </w:rPr>
        <w:t xml:space="preserve"> </w:t>
      </w:r>
      <w:hyperlink r:id="rId9">
        <w:r w:rsidR="0043508E" w:rsidRPr="0043508E">
          <w:rPr>
            <w:rFonts w:cs="Arial"/>
            <w:color w:val="0563C1"/>
            <w:u w:val="single"/>
          </w:rPr>
          <w:t>joseline.perezcamara@gmail.com/</w:t>
        </w:r>
      </w:hyperlink>
      <w:r w:rsidR="0043508E" w:rsidRPr="0043508E">
        <w:rPr>
          <w:rFonts w:cs="Arial"/>
        </w:rPr>
        <w:t>, 968011677.</w:t>
      </w:r>
    </w:p>
    <w:p w14:paraId="6DD9BA19" w14:textId="77777777" w:rsidR="00EC3AB9" w:rsidRDefault="00EC3AB9" w:rsidP="0043508E">
      <w:pPr>
        <w:spacing w:after="0" w:line="240" w:lineRule="auto"/>
        <w:jc w:val="both"/>
      </w:pPr>
      <w:r>
        <w:rPr>
          <w:b/>
          <w:bCs/>
        </w:rPr>
        <w:t xml:space="preserve">Palabras claves: </w:t>
      </w:r>
      <w:r w:rsidRPr="00E55EF3">
        <w:t>Exploración Minera, Instrumento de Gestión Ambiental, Consulta Previa</w:t>
      </w:r>
      <w:r>
        <w:t>.</w:t>
      </w:r>
    </w:p>
    <w:p w14:paraId="54C55089" w14:textId="77777777" w:rsidR="00EC3AB9" w:rsidRDefault="00EC3AB9" w:rsidP="00EC3AB9">
      <w:pPr>
        <w:spacing w:after="0"/>
        <w:jc w:val="both"/>
      </w:pPr>
    </w:p>
    <w:p w14:paraId="30AF7090" w14:textId="77777777" w:rsidR="00EC3AB9" w:rsidRDefault="00EC3AB9" w:rsidP="00EC3AB9">
      <w:pPr>
        <w:pStyle w:val="Prrafodelista"/>
        <w:numPr>
          <w:ilvl w:val="0"/>
          <w:numId w:val="2"/>
        </w:numPr>
        <w:spacing w:after="0" w:line="360" w:lineRule="auto"/>
        <w:jc w:val="both"/>
        <w:rPr>
          <w:b/>
          <w:bCs/>
        </w:rPr>
      </w:pPr>
      <w:r>
        <w:rPr>
          <w:b/>
          <w:bCs/>
        </w:rPr>
        <w:t>Contexto</w:t>
      </w:r>
    </w:p>
    <w:p w14:paraId="4EE216EC" w14:textId="21CA33D6" w:rsidR="00BA1376" w:rsidRDefault="00EC3AB9" w:rsidP="00F16E21">
      <w:pPr>
        <w:pStyle w:val="Prrafodelista"/>
        <w:spacing w:after="0" w:line="360" w:lineRule="auto"/>
        <w:ind w:left="360"/>
        <w:jc w:val="both"/>
      </w:pPr>
      <w:r w:rsidRPr="00EC3AB9">
        <w:t xml:space="preserve">En el 2022, el Perú captó el 4.1% del presupuesto mundial de exploraciones; sin embargo, en el 2023 </w:t>
      </w:r>
      <w:r>
        <w:t>el país</w:t>
      </w:r>
      <w:r w:rsidRPr="00EC3AB9">
        <w:t xml:space="preserve"> disminuyó </w:t>
      </w:r>
      <w:r>
        <w:t xml:space="preserve">su </w:t>
      </w:r>
      <w:r w:rsidRPr="00EC3AB9">
        <w:t>presencia</w:t>
      </w:r>
      <w:r>
        <w:t xml:space="preserve"> en un 7%</w:t>
      </w:r>
      <w:r>
        <w:rPr>
          <w:rStyle w:val="Refdenotaalpie"/>
        </w:rPr>
        <w:footnoteReference w:id="1"/>
      </w:r>
      <w:r>
        <w:t>. Es así que la inversión en exploraciones se da en un contexto de competencia mundial de inversiones. Las grandes empresas tienen proyectos en distintos países</w:t>
      </w:r>
      <w:r w:rsidR="00BA1376">
        <w:t xml:space="preserve">, por lo que, si bien es cierto Perú es un país geológicamente atractivo, los países compiten por presupuestos. Por lo anterior, es clave que, como país, se trabajen una estrategia para generar un entorno más atractivo. </w:t>
      </w:r>
    </w:p>
    <w:p w14:paraId="5FFED5C0" w14:textId="4F7BEDAB" w:rsidR="00BA1376" w:rsidRPr="00EC3AB9" w:rsidRDefault="00BA1376" w:rsidP="00EC3AB9">
      <w:pPr>
        <w:pStyle w:val="Prrafodelista"/>
        <w:spacing w:after="0" w:line="360" w:lineRule="auto"/>
        <w:ind w:left="360"/>
        <w:jc w:val="both"/>
      </w:pPr>
      <w:r>
        <w:t>Un aspecto relevante</w:t>
      </w:r>
      <w:r w:rsidR="00F64C8E">
        <w:t xml:space="preserve"> en la competitividad de nuestro país</w:t>
      </w:r>
      <w:r>
        <w:t xml:space="preserve"> es la permisología exigida para las exploraciones. Actualmente, para realizar actividades, los inversionistas pueden tener cronogramas hasta entre 20 y 22 meses para iniciar actividades cuando hay presencia de pueblos indígenas. </w:t>
      </w:r>
      <w:r w:rsidR="00F64C8E">
        <w:t>De esta forma, si bien es cierto el país enfrenta varias complejidades como los propios retos sociales, la permisología es un aspecto que depende exclusivamente del Gobierno Peruano (“GoP”). Por lo anterior, el presente trabajo busca realizar un análisis crítico de las medidas implementadas por el GoP y la identificación de oportunidades para optimizar este frente tan importante.</w:t>
      </w:r>
    </w:p>
    <w:p w14:paraId="14964FF0" w14:textId="77777777" w:rsidR="00EC3AB9" w:rsidRPr="00EC3AB9" w:rsidRDefault="00EC3AB9" w:rsidP="00EC3AB9">
      <w:pPr>
        <w:pStyle w:val="Prrafodelista"/>
        <w:spacing w:after="0" w:line="360" w:lineRule="auto"/>
        <w:ind w:left="360"/>
        <w:jc w:val="both"/>
      </w:pPr>
    </w:p>
    <w:p w14:paraId="5DFF21E3" w14:textId="77777777" w:rsidR="00EC3AB9" w:rsidRDefault="00EC3AB9" w:rsidP="00EC3AB9">
      <w:pPr>
        <w:pStyle w:val="Prrafodelista"/>
        <w:numPr>
          <w:ilvl w:val="0"/>
          <w:numId w:val="2"/>
        </w:numPr>
        <w:spacing w:after="0" w:line="360" w:lineRule="auto"/>
        <w:jc w:val="both"/>
        <w:rPr>
          <w:b/>
          <w:bCs/>
        </w:rPr>
      </w:pPr>
      <w:r>
        <w:rPr>
          <w:b/>
          <w:bCs/>
        </w:rPr>
        <w:t>Objetivos</w:t>
      </w:r>
    </w:p>
    <w:p w14:paraId="46ACCBE1" w14:textId="65336A7D" w:rsidR="005C29D0" w:rsidRDefault="00F64C8E" w:rsidP="00F16E21">
      <w:pPr>
        <w:spacing w:after="0" w:line="360" w:lineRule="auto"/>
        <w:ind w:left="360"/>
        <w:jc w:val="both"/>
      </w:pPr>
      <w:r w:rsidRPr="00102769">
        <w:t xml:space="preserve">El GoP ha trabajado en la implementación de </w:t>
      </w:r>
      <w:r w:rsidR="00102769" w:rsidRPr="00102769">
        <w:t>diversas medidas legislativas para la optimización de la permisología en exploración minera</w:t>
      </w:r>
      <w:r w:rsidR="00102769">
        <w:t xml:space="preserve">. Este trabajo se enfocará en las medidas emitidas desde noviembre del 2023 hasta la actualidad. Estas medidas han cubierto varias aristas </w:t>
      </w:r>
      <w:r w:rsidR="00535098">
        <w:t>dentro de la esfera ambiental, tales como la referida a los permisos arqueológicos, los Instrumentos de Gestión Ambiental (“IGA”) y línea base.</w:t>
      </w:r>
    </w:p>
    <w:p w14:paraId="3AFA0BE4" w14:textId="3DB4DF25" w:rsidR="00EC3AB9" w:rsidRDefault="00535098" w:rsidP="00535098">
      <w:pPr>
        <w:spacing w:after="0" w:line="360" w:lineRule="auto"/>
        <w:ind w:left="360"/>
        <w:jc w:val="both"/>
      </w:pPr>
      <w:r>
        <w:t xml:space="preserve">Este trabajo realizará un análisis crítico de estas medidas y cómo se han venido ejecutando en la práctica, permitiendo identificar sus principales problemáticas, así como oportunidades para su optimización que generen una mayor agilidad en la obtención de los permisos para la exploración minera sin disminuir los controles. </w:t>
      </w:r>
    </w:p>
    <w:p w14:paraId="089581E4" w14:textId="77777777" w:rsidR="00535098" w:rsidRPr="00102769" w:rsidRDefault="00535098" w:rsidP="00535098">
      <w:pPr>
        <w:spacing w:after="0" w:line="360" w:lineRule="auto"/>
        <w:ind w:left="360"/>
        <w:jc w:val="both"/>
      </w:pPr>
    </w:p>
    <w:p w14:paraId="25A709BD" w14:textId="77777777" w:rsidR="00EC3AB9" w:rsidRDefault="00EC3AB9" w:rsidP="00EC3AB9">
      <w:pPr>
        <w:pStyle w:val="Prrafodelista"/>
        <w:numPr>
          <w:ilvl w:val="0"/>
          <w:numId w:val="2"/>
        </w:numPr>
        <w:spacing w:after="0" w:line="360" w:lineRule="auto"/>
        <w:jc w:val="both"/>
        <w:rPr>
          <w:b/>
          <w:bCs/>
        </w:rPr>
      </w:pPr>
      <w:r>
        <w:rPr>
          <w:b/>
          <w:bCs/>
        </w:rPr>
        <w:t>Metodología</w:t>
      </w:r>
    </w:p>
    <w:p w14:paraId="4EDD380C" w14:textId="5B315D0A" w:rsidR="00535098" w:rsidRPr="00535098" w:rsidRDefault="00535098" w:rsidP="00535098">
      <w:pPr>
        <w:pStyle w:val="Prrafodelista"/>
        <w:spacing w:after="0" w:line="360" w:lineRule="auto"/>
        <w:ind w:left="360"/>
        <w:jc w:val="both"/>
      </w:pPr>
      <w:r w:rsidRPr="00535098">
        <w:t>La metodología está basada en una revisión de</w:t>
      </w:r>
      <w:r w:rsidR="00C30FD9">
        <w:t xml:space="preserve"> las medidas legislativas emitidas por el GoP, así como en una revisión de</w:t>
      </w:r>
      <w:r w:rsidRPr="00535098">
        <w:t xml:space="preserve"> casos</w:t>
      </w:r>
      <w:r w:rsidR="00C30FD9">
        <w:t xml:space="preserve"> reales (títulos habilitantes, certificaciones, entre otros) que permitan tener mediciones más precisas y objetivas de dichas medidas</w:t>
      </w:r>
      <w:r w:rsidRPr="00535098">
        <w:t>.</w:t>
      </w:r>
    </w:p>
    <w:p w14:paraId="4571D0E5" w14:textId="77777777" w:rsidR="00535098" w:rsidRPr="00535098" w:rsidRDefault="00535098" w:rsidP="00535098">
      <w:pPr>
        <w:pStyle w:val="Prrafodelista"/>
        <w:spacing w:after="0" w:line="360" w:lineRule="auto"/>
        <w:ind w:left="360"/>
        <w:jc w:val="both"/>
      </w:pPr>
    </w:p>
    <w:p w14:paraId="142D5E52" w14:textId="77777777" w:rsidR="00EC3AB9" w:rsidRDefault="00EC3AB9" w:rsidP="00EC3AB9">
      <w:pPr>
        <w:pStyle w:val="Prrafodelista"/>
        <w:numPr>
          <w:ilvl w:val="0"/>
          <w:numId w:val="2"/>
        </w:numPr>
        <w:spacing w:after="0" w:line="360" w:lineRule="auto"/>
        <w:jc w:val="both"/>
        <w:rPr>
          <w:b/>
          <w:bCs/>
        </w:rPr>
      </w:pPr>
      <w:r>
        <w:rPr>
          <w:b/>
          <w:bCs/>
        </w:rPr>
        <w:lastRenderedPageBreak/>
        <w:t>Resultados</w:t>
      </w:r>
    </w:p>
    <w:p w14:paraId="18FC0DC3" w14:textId="77777777" w:rsidR="00DE3DD1" w:rsidRDefault="00DE3DD1" w:rsidP="00DE3DD1">
      <w:pPr>
        <w:pStyle w:val="Prrafodelista"/>
        <w:numPr>
          <w:ilvl w:val="0"/>
          <w:numId w:val="4"/>
        </w:numPr>
        <w:spacing w:after="0" w:line="360" w:lineRule="auto"/>
        <w:jc w:val="both"/>
        <w:rPr>
          <w:b/>
          <w:bCs/>
        </w:rPr>
      </w:pPr>
      <w:r>
        <w:rPr>
          <w:b/>
          <w:bCs/>
        </w:rPr>
        <w:t>Integración de permisos para exploración minera:</w:t>
      </w:r>
    </w:p>
    <w:p w14:paraId="4356061F" w14:textId="3EA84220" w:rsidR="00DE3DD1" w:rsidRPr="00F16E21" w:rsidRDefault="00DE3DD1" w:rsidP="00F16E21">
      <w:pPr>
        <w:pStyle w:val="Prrafodelista"/>
        <w:spacing w:line="360" w:lineRule="auto"/>
        <w:ind w:left="360"/>
        <w:jc w:val="both"/>
        <w:rPr>
          <w:rFonts w:cs="Arial"/>
          <w:lang w:val="es-419"/>
        </w:rPr>
      </w:pPr>
      <w:r>
        <w:rPr>
          <w:rFonts w:cs="Arial"/>
          <w:lang w:val="es-419"/>
        </w:rPr>
        <w:t xml:space="preserve">En </w:t>
      </w:r>
      <w:r w:rsidR="00CA1AF8">
        <w:rPr>
          <w:rFonts w:cs="Arial"/>
          <w:lang w:val="es-419"/>
        </w:rPr>
        <w:t>noviembre del</w:t>
      </w:r>
      <w:r>
        <w:rPr>
          <w:rFonts w:cs="Arial"/>
          <w:lang w:val="es-419"/>
        </w:rPr>
        <w:t xml:space="preserve"> 2023</w:t>
      </w:r>
      <w:r w:rsidRPr="008131CB">
        <w:rPr>
          <w:rFonts w:cs="Arial"/>
          <w:lang w:val="es-419"/>
        </w:rPr>
        <w:t xml:space="preserve"> se </w:t>
      </w:r>
      <w:r w:rsidR="00CA1AF8">
        <w:rPr>
          <w:rFonts w:cs="Arial"/>
          <w:lang w:val="es-419"/>
        </w:rPr>
        <w:t>aprobó una modificación a</w:t>
      </w:r>
      <w:r w:rsidRPr="008131CB">
        <w:rPr>
          <w:rFonts w:cs="Arial"/>
          <w:lang w:val="es-419"/>
        </w:rPr>
        <w:t>l Reglamento de Protección Ambiental para las Actividades de Exploración Minera</w:t>
      </w:r>
      <w:r w:rsidR="00CA1AF8">
        <w:rPr>
          <w:rStyle w:val="Refdenotaalpie"/>
          <w:rFonts w:cs="Arial"/>
          <w:lang w:val="es-419"/>
        </w:rPr>
        <w:footnoteReference w:id="2"/>
      </w:r>
      <w:r w:rsidRPr="008131CB">
        <w:rPr>
          <w:rFonts w:cs="Arial"/>
          <w:lang w:val="es-419"/>
        </w:rPr>
        <w:t xml:space="preserve">.  El objetivo de </w:t>
      </w:r>
      <w:r>
        <w:rPr>
          <w:rFonts w:cs="Arial"/>
          <w:lang w:val="es-419"/>
        </w:rPr>
        <w:t>dicha modificación fue</w:t>
      </w:r>
      <w:r w:rsidRPr="008131CB">
        <w:rPr>
          <w:rFonts w:cs="Arial"/>
          <w:lang w:val="es-419"/>
        </w:rPr>
        <w:t xml:space="preserve"> reducir los plazos para la obtención de los permisos de los proyectos de exploración minera.</w:t>
      </w:r>
    </w:p>
    <w:p w14:paraId="41F14176" w14:textId="15A84A40" w:rsidR="00CA1AF8" w:rsidRPr="00F16E21" w:rsidRDefault="00DE3DD1" w:rsidP="00F16E21">
      <w:pPr>
        <w:pStyle w:val="Prrafodelista"/>
        <w:spacing w:line="360" w:lineRule="auto"/>
        <w:ind w:left="360"/>
        <w:jc w:val="both"/>
        <w:rPr>
          <w:rFonts w:cs="Arial"/>
          <w:lang w:val="es-419"/>
        </w:rPr>
      </w:pPr>
      <w:r>
        <w:rPr>
          <w:rFonts w:cs="Arial"/>
          <w:lang w:val="es-419"/>
        </w:rPr>
        <w:t xml:space="preserve">Como parte de estos cambios, se </w:t>
      </w:r>
      <w:r w:rsidRPr="008131CB">
        <w:rPr>
          <w:rFonts w:cs="Arial"/>
          <w:lang w:val="es-419"/>
        </w:rPr>
        <w:t>disp</w:t>
      </w:r>
      <w:r>
        <w:rPr>
          <w:rFonts w:cs="Arial"/>
          <w:lang w:val="es-419"/>
        </w:rPr>
        <w:t>uso</w:t>
      </w:r>
      <w:r w:rsidRPr="008131CB">
        <w:rPr>
          <w:rFonts w:cs="Arial"/>
          <w:lang w:val="es-419"/>
        </w:rPr>
        <w:t xml:space="preserve"> que los titulares mineros podrán tramitar, de manera simultánea a la evaluación de su </w:t>
      </w:r>
      <w:r>
        <w:rPr>
          <w:rFonts w:cs="Arial"/>
          <w:lang w:val="es-419"/>
        </w:rPr>
        <w:t>IGA</w:t>
      </w:r>
      <w:r w:rsidRPr="008131CB">
        <w:rPr>
          <w:rFonts w:cs="Arial"/>
          <w:lang w:val="es-419"/>
        </w:rPr>
        <w:t xml:space="preserve"> y sus modificaciones, </w:t>
      </w:r>
      <w:r w:rsidR="00CA1AF8">
        <w:rPr>
          <w:rFonts w:cs="Arial"/>
          <w:lang w:val="es-419"/>
        </w:rPr>
        <w:t>diferentes</w:t>
      </w:r>
      <w:r w:rsidRPr="008131CB">
        <w:rPr>
          <w:rFonts w:cs="Arial"/>
          <w:lang w:val="es-419"/>
        </w:rPr>
        <w:t xml:space="preserve"> permisos a cargo de la A</w:t>
      </w:r>
      <w:r>
        <w:rPr>
          <w:rFonts w:cs="Arial"/>
          <w:lang w:val="es-419"/>
        </w:rPr>
        <w:t>utoridad Nacional del Agua (ANA)</w:t>
      </w:r>
      <w:r w:rsidR="00CA1AF8">
        <w:rPr>
          <w:rFonts w:cs="Arial"/>
          <w:lang w:val="es-419"/>
        </w:rPr>
        <w:t xml:space="preserve"> tales como la a</w:t>
      </w:r>
      <w:r w:rsidRPr="00743843">
        <w:rPr>
          <w:rFonts w:cs="Arial"/>
          <w:lang w:val="es-419"/>
        </w:rPr>
        <w:t>utorización de uso de agua</w:t>
      </w:r>
      <w:r w:rsidR="00CA1AF8">
        <w:rPr>
          <w:rFonts w:cs="Arial"/>
          <w:lang w:val="es-419"/>
        </w:rPr>
        <w:t xml:space="preserve"> o la a</w:t>
      </w:r>
      <w:r w:rsidRPr="00743843">
        <w:rPr>
          <w:rFonts w:cs="Arial"/>
          <w:lang w:val="es-419"/>
        </w:rPr>
        <w:t>utorización de ejecución de obras en los bienes naturales asociados al agua.</w:t>
      </w:r>
      <w:r w:rsidR="00CA1AF8">
        <w:rPr>
          <w:rFonts w:cs="Arial"/>
          <w:lang w:val="es-419"/>
        </w:rPr>
        <w:t xml:space="preserve"> Estos dos títulos habilitantes son evaluados por las autoridades desconcentradas del agua.</w:t>
      </w:r>
      <w:r w:rsidRPr="00743843">
        <w:rPr>
          <w:rFonts w:cs="Arial"/>
          <w:lang w:val="es-419"/>
        </w:rPr>
        <w:t> </w:t>
      </w:r>
    </w:p>
    <w:p w14:paraId="614B31BE" w14:textId="78C805E9" w:rsidR="00CA1AF8" w:rsidRPr="00743843" w:rsidRDefault="00CA1AF8" w:rsidP="00CA1AF8">
      <w:pPr>
        <w:pStyle w:val="Prrafodelista"/>
        <w:spacing w:line="360" w:lineRule="auto"/>
        <w:ind w:left="360"/>
        <w:jc w:val="both"/>
        <w:rPr>
          <w:rFonts w:cs="Arial"/>
        </w:rPr>
      </w:pPr>
      <w:r>
        <w:rPr>
          <w:rFonts w:cs="Arial"/>
          <w:lang w:val="es-419"/>
        </w:rPr>
        <w:t>Ahora bien, esta nueva figura tiene una clara naturaleza positiva de mejora regulatoria; sin embargo, el utilizar esta herramienta involucra a un nuevo grupo evaluador que ahora se encuentra en una entidad desconcentrada del agua. Es así que uno de los primeros casos que utilizó esta herramienta obtuvo la aprobación del IGA en un plazo de 12 meses</w:t>
      </w:r>
      <w:r w:rsidR="0043508E">
        <w:rPr>
          <w:rFonts w:cs="Arial"/>
          <w:lang w:val="es-419"/>
        </w:rPr>
        <w:t>, pese a que el promedio de evaluación era de 7 meses, generando más bien un efecto adverso a una agilidad en la permisología</w:t>
      </w:r>
      <w:r w:rsidR="005C29D0">
        <w:rPr>
          <w:rFonts w:cs="Arial"/>
          <w:lang w:val="es-419"/>
        </w:rPr>
        <w:t>, un retraso de alrededor del 40%</w:t>
      </w:r>
      <w:r w:rsidR="0043508E">
        <w:rPr>
          <w:rFonts w:cs="Arial"/>
          <w:lang w:val="es-419"/>
        </w:rPr>
        <w:t>. Uno de l</w:t>
      </w:r>
      <w:r w:rsidR="005C29D0">
        <w:rPr>
          <w:rFonts w:cs="Arial"/>
          <w:lang w:val="es-419"/>
        </w:rPr>
        <w:t>o</w:t>
      </w:r>
      <w:r w:rsidR="0043508E">
        <w:rPr>
          <w:rFonts w:cs="Arial"/>
          <w:lang w:val="es-419"/>
        </w:rPr>
        <w:t>s principales retos fue el sistema de comunicación entre los diversos evaluadores, por lo que se requiere que haya una forma electrónica y más inmediata para remitir la información.</w:t>
      </w:r>
    </w:p>
    <w:p w14:paraId="60A5BB4A" w14:textId="77777777" w:rsidR="00DE3DD1" w:rsidRDefault="00DE3DD1" w:rsidP="00DE3DD1">
      <w:pPr>
        <w:pStyle w:val="Prrafodelista"/>
        <w:spacing w:after="0" w:line="360" w:lineRule="auto"/>
        <w:jc w:val="both"/>
        <w:rPr>
          <w:b/>
          <w:bCs/>
        </w:rPr>
      </w:pPr>
    </w:p>
    <w:p w14:paraId="7DC60908" w14:textId="66A36DBE" w:rsidR="00C30FD9" w:rsidRDefault="00DE3DD1" w:rsidP="00F16D9D">
      <w:pPr>
        <w:pStyle w:val="Prrafodelista"/>
        <w:numPr>
          <w:ilvl w:val="0"/>
          <w:numId w:val="4"/>
        </w:numPr>
        <w:spacing w:after="0" w:line="360" w:lineRule="auto"/>
        <w:jc w:val="both"/>
        <w:rPr>
          <w:b/>
          <w:bCs/>
        </w:rPr>
      </w:pPr>
      <w:r>
        <w:rPr>
          <w:b/>
          <w:bCs/>
        </w:rPr>
        <w:t>Ficha Técnica Ambiental (“FTA”) de menor complejidad:</w:t>
      </w:r>
    </w:p>
    <w:p w14:paraId="752BC487" w14:textId="685AE499" w:rsidR="0043508E" w:rsidRDefault="0043508E" w:rsidP="005C29D0">
      <w:pPr>
        <w:spacing w:after="0" w:line="360" w:lineRule="auto"/>
        <w:ind w:left="360"/>
        <w:jc w:val="both"/>
      </w:pPr>
      <w:r w:rsidRPr="0043508E">
        <w:t>En junio del 2024 se creó una nueva clasificación de FTA</w:t>
      </w:r>
      <w:r>
        <w:t>, aprobando dos tipos</w:t>
      </w:r>
      <w:r>
        <w:rPr>
          <w:rStyle w:val="Refdenotaalpie"/>
        </w:rPr>
        <w:footnoteReference w:id="3"/>
      </w:r>
      <w:r>
        <w:t>:</w:t>
      </w:r>
    </w:p>
    <w:p w14:paraId="0425277C" w14:textId="77777777" w:rsidR="0043508E" w:rsidRPr="00116A58" w:rsidRDefault="0043508E" w:rsidP="005C29D0">
      <w:pPr>
        <w:pStyle w:val="Prrafodelista"/>
        <w:numPr>
          <w:ilvl w:val="0"/>
          <w:numId w:val="6"/>
        </w:numPr>
        <w:spacing w:line="360" w:lineRule="auto"/>
        <w:ind w:left="1287"/>
        <w:jc w:val="both"/>
        <w:rPr>
          <w:rFonts w:cs="Arial"/>
        </w:rPr>
      </w:pPr>
      <w:r w:rsidRPr="00116A58">
        <w:rPr>
          <w:rFonts w:cs="Arial"/>
        </w:rPr>
        <w:t>Para Proyectos de Exploración Minera No Sujetos al S</w:t>
      </w:r>
      <w:r>
        <w:rPr>
          <w:rFonts w:cs="Arial"/>
        </w:rPr>
        <w:t>istema de Evaluación de Impacto Ambiental (S</w:t>
      </w:r>
      <w:r w:rsidRPr="00116A58">
        <w:rPr>
          <w:rFonts w:cs="Arial"/>
        </w:rPr>
        <w:t>EIA</w:t>
      </w:r>
      <w:r>
        <w:rPr>
          <w:rFonts w:cs="Arial"/>
        </w:rPr>
        <w:t>)</w:t>
      </w:r>
      <w:r w:rsidRPr="00116A58">
        <w:rPr>
          <w:rFonts w:cs="Arial"/>
        </w:rPr>
        <w:t xml:space="preserve">; y </w:t>
      </w:r>
    </w:p>
    <w:p w14:paraId="6347004A" w14:textId="5DC54D1E" w:rsidR="0043508E" w:rsidRPr="00F16E21" w:rsidRDefault="0043508E" w:rsidP="00F16E21">
      <w:pPr>
        <w:pStyle w:val="Prrafodelista"/>
        <w:numPr>
          <w:ilvl w:val="0"/>
          <w:numId w:val="6"/>
        </w:numPr>
        <w:spacing w:line="360" w:lineRule="auto"/>
        <w:ind w:left="1287"/>
        <w:jc w:val="both"/>
        <w:rPr>
          <w:rFonts w:cs="Arial"/>
        </w:rPr>
      </w:pPr>
      <w:r w:rsidRPr="00116A58">
        <w:rPr>
          <w:rFonts w:cs="Arial"/>
        </w:rPr>
        <w:t>Para Proyectos de Exploración Minera de Menor Complejidad.</w:t>
      </w:r>
    </w:p>
    <w:p w14:paraId="58CE3209" w14:textId="588E54EB" w:rsidR="005C29D0" w:rsidRPr="00F16E21" w:rsidRDefault="005C29D0" w:rsidP="00F16E21">
      <w:pPr>
        <w:pStyle w:val="Prrafodelista"/>
        <w:spacing w:line="360" w:lineRule="auto"/>
        <w:ind w:left="360"/>
        <w:jc w:val="both"/>
        <w:rPr>
          <w:rFonts w:cs="Arial"/>
        </w:rPr>
      </w:pPr>
      <w:r>
        <w:rPr>
          <w:rFonts w:cs="Arial"/>
        </w:rPr>
        <w:t>La FTA de menor complejidad aplica para proyectos con menos o igual de 10 plataformas, con menos o igual de 5 hectáreas para disturbar entre otras condiciones. Esta mejora consistió en una mayor simplicidad y exigiendo menor complejidad para el expediente técnico.</w:t>
      </w:r>
    </w:p>
    <w:p w14:paraId="359C71AC" w14:textId="4577FE12" w:rsidR="0043508E" w:rsidRDefault="005C29D0" w:rsidP="005C29D0">
      <w:pPr>
        <w:pStyle w:val="Prrafodelista"/>
        <w:spacing w:line="360" w:lineRule="auto"/>
        <w:ind w:left="360"/>
        <w:jc w:val="both"/>
        <w:rPr>
          <w:rFonts w:cs="Arial"/>
        </w:rPr>
      </w:pPr>
      <w:r>
        <w:rPr>
          <w:rFonts w:cs="Arial"/>
        </w:rPr>
        <w:t>Esta es una mejora importante tanto en costos para elaboración de expedientes de proyectos de baja complejidad y plazos para la elaboración de los mismos. Sin embargo, la FTA continúa teniendo la limitación de no aplicar para áreas con pueblos indígenas, que es la principal limitante</w:t>
      </w:r>
      <w:r>
        <w:rPr>
          <w:rStyle w:val="Refdenotaalpie"/>
          <w:rFonts w:cs="Arial"/>
        </w:rPr>
        <w:footnoteReference w:id="4"/>
      </w:r>
      <w:r w:rsidR="002C0FFF">
        <w:rPr>
          <w:rFonts w:cs="Arial"/>
        </w:rPr>
        <w:t>, y continúa teniendo un 23% de FTAs que nos aprobados</w:t>
      </w:r>
      <w:r w:rsidR="002C0FFF">
        <w:rPr>
          <w:rStyle w:val="Refdenotaalpie"/>
          <w:rFonts w:cs="Arial"/>
        </w:rPr>
        <w:footnoteReference w:id="5"/>
      </w:r>
      <w:r w:rsidR="002C0FFF">
        <w:rPr>
          <w:rFonts w:cs="Arial"/>
        </w:rPr>
        <w:t>, generando una alta tasa.</w:t>
      </w:r>
      <w:r>
        <w:rPr>
          <w:rFonts w:cs="Arial"/>
        </w:rPr>
        <w:t xml:space="preserve">  </w:t>
      </w:r>
    </w:p>
    <w:p w14:paraId="58202E53" w14:textId="77777777" w:rsidR="005C29D0" w:rsidRPr="005C29D0" w:rsidRDefault="005C29D0" w:rsidP="005C29D0">
      <w:pPr>
        <w:pStyle w:val="Prrafodelista"/>
        <w:spacing w:line="360" w:lineRule="auto"/>
        <w:ind w:left="360"/>
        <w:jc w:val="both"/>
        <w:rPr>
          <w:rFonts w:cs="Arial"/>
        </w:rPr>
      </w:pPr>
    </w:p>
    <w:p w14:paraId="14E7182F" w14:textId="4E61F036" w:rsidR="00DE3DD1" w:rsidRDefault="00DE3DD1" w:rsidP="00F16D9D">
      <w:pPr>
        <w:pStyle w:val="Prrafodelista"/>
        <w:numPr>
          <w:ilvl w:val="0"/>
          <w:numId w:val="4"/>
        </w:numPr>
        <w:spacing w:after="0" w:line="360" w:lineRule="auto"/>
        <w:jc w:val="both"/>
        <w:rPr>
          <w:b/>
          <w:bCs/>
        </w:rPr>
      </w:pPr>
      <w:r>
        <w:rPr>
          <w:b/>
          <w:bCs/>
        </w:rPr>
        <w:t>Diagnóstico Arqueológico Superficial:</w:t>
      </w:r>
    </w:p>
    <w:p w14:paraId="1ABE7F68" w14:textId="218AC7F5" w:rsidR="00DE3DD1" w:rsidRPr="00F16E21" w:rsidRDefault="00DE3DD1" w:rsidP="00F16E21">
      <w:pPr>
        <w:pStyle w:val="Prrafodelista"/>
        <w:spacing w:line="360" w:lineRule="auto"/>
        <w:ind w:left="360"/>
        <w:jc w:val="both"/>
        <w:rPr>
          <w:rFonts w:eastAsia="Arial" w:cs="Arial"/>
        </w:rPr>
      </w:pPr>
      <w:r>
        <w:rPr>
          <w:rFonts w:eastAsia="Arial" w:cs="Arial"/>
        </w:rPr>
        <w:lastRenderedPageBreak/>
        <w:t xml:space="preserve">En setiembre del 2024 se publicó el </w:t>
      </w:r>
      <w:r w:rsidRPr="0F0649B2">
        <w:rPr>
          <w:rFonts w:eastAsia="Arial" w:cs="Arial"/>
        </w:rPr>
        <w:t>D</w:t>
      </w:r>
      <w:r w:rsidRPr="003C3E98">
        <w:rPr>
          <w:rFonts w:eastAsia="Arial" w:cs="Arial"/>
        </w:rPr>
        <w:t xml:space="preserve">ecreto Legislativo No. 1680 </w:t>
      </w:r>
      <w:r>
        <w:rPr>
          <w:rFonts w:eastAsia="Arial" w:cs="Arial"/>
        </w:rPr>
        <w:t xml:space="preserve">creando </w:t>
      </w:r>
      <w:r>
        <w:rPr>
          <w:rFonts w:eastAsia="Arial" w:cs="Arial"/>
        </w:rPr>
        <w:t>la figura</w:t>
      </w:r>
      <w:r w:rsidRPr="003C3E98">
        <w:rPr>
          <w:rFonts w:eastAsia="Arial" w:cs="Arial"/>
        </w:rPr>
        <w:t xml:space="preserve"> </w:t>
      </w:r>
      <w:r>
        <w:rPr>
          <w:rFonts w:eastAsia="Arial" w:cs="Arial"/>
        </w:rPr>
        <w:t>d</w:t>
      </w:r>
      <w:r w:rsidRPr="003C3E98">
        <w:rPr>
          <w:rFonts w:eastAsia="Arial" w:cs="Arial"/>
        </w:rPr>
        <w:t>el Diagnóstico Arqueológico de Superficie</w:t>
      </w:r>
      <w:r>
        <w:rPr>
          <w:rFonts w:eastAsia="Arial" w:cs="Arial"/>
        </w:rPr>
        <w:t xml:space="preserve"> (DAS). El objetivo es que este </w:t>
      </w:r>
      <w:r w:rsidRPr="003C3E98">
        <w:rPr>
          <w:rFonts w:eastAsia="Arial" w:cs="Arial"/>
        </w:rPr>
        <w:t xml:space="preserve">Diagnóstico </w:t>
      </w:r>
      <w:r>
        <w:rPr>
          <w:rFonts w:eastAsia="Arial" w:cs="Arial"/>
        </w:rPr>
        <w:t>sea</w:t>
      </w:r>
      <w:r w:rsidRPr="003C3E98">
        <w:rPr>
          <w:rFonts w:eastAsia="Arial" w:cs="Arial"/>
        </w:rPr>
        <w:t xml:space="preserve"> una medida alternativa al Certificado de Inexistencia de Restos Arqueológicos en Superficie (“CIRA”) en los procedimientos o trámites que se desarrollen ante el Ministerio de Cultura u otras entidades públicas.</w:t>
      </w:r>
    </w:p>
    <w:p w14:paraId="787B2151" w14:textId="489DCC29" w:rsidR="00DE3DD1" w:rsidRDefault="00DE3DD1" w:rsidP="0043508E">
      <w:pPr>
        <w:pStyle w:val="Prrafodelista"/>
        <w:spacing w:after="0" w:line="360" w:lineRule="auto"/>
        <w:ind w:left="360"/>
        <w:jc w:val="both"/>
        <w:rPr>
          <w:rFonts w:eastAsia="Arial" w:cs="Arial"/>
        </w:rPr>
      </w:pPr>
      <w:r w:rsidRPr="00DE3DD1">
        <w:rPr>
          <w:rFonts w:eastAsia="Arial" w:cs="Arial"/>
        </w:rPr>
        <w:t>El DAS es un documento privado que contiene el análisis arqueológico integral de un área determinada</w:t>
      </w:r>
      <w:r>
        <w:rPr>
          <w:rFonts w:eastAsia="Arial" w:cs="Arial"/>
        </w:rPr>
        <w:t xml:space="preserve">, y a diferencia del CIRA, el DAS no requiere una evaluación por parte del Ministerio de Cultura, pues basta solo con cumplir con algunas formalidades. Esta medida es una optimización que claramente permite una mayor agilidad en los proyectos que se ubican sobre áreas que no tienen evidencias arqueológicas. </w:t>
      </w:r>
    </w:p>
    <w:p w14:paraId="6F9B007C" w14:textId="77777777" w:rsidR="00DE3DD1" w:rsidRPr="00DE3DD1" w:rsidRDefault="00DE3DD1" w:rsidP="00DE3DD1">
      <w:pPr>
        <w:pStyle w:val="Prrafodelista"/>
        <w:spacing w:after="0" w:line="360" w:lineRule="auto"/>
        <w:jc w:val="both"/>
        <w:rPr>
          <w:b/>
          <w:bCs/>
        </w:rPr>
      </w:pPr>
    </w:p>
    <w:p w14:paraId="7C346793" w14:textId="173C2074" w:rsidR="00DE3DD1" w:rsidRDefault="00DE3DD1" w:rsidP="00F16D9D">
      <w:pPr>
        <w:pStyle w:val="Prrafodelista"/>
        <w:numPr>
          <w:ilvl w:val="0"/>
          <w:numId w:val="4"/>
        </w:numPr>
        <w:spacing w:after="0" w:line="360" w:lineRule="auto"/>
        <w:jc w:val="both"/>
        <w:rPr>
          <w:b/>
          <w:bCs/>
        </w:rPr>
      </w:pPr>
      <w:r>
        <w:rPr>
          <w:b/>
          <w:bCs/>
        </w:rPr>
        <w:t>Consulta Previa en exploración minera</w:t>
      </w:r>
    </w:p>
    <w:p w14:paraId="6EC8B746" w14:textId="46F13FE7" w:rsidR="00DE3DD1" w:rsidRDefault="00F16E21" w:rsidP="00F16E21">
      <w:pPr>
        <w:spacing w:after="0" w:line="360" w:lineRule="auto"/>
        <w:ind w:left="360"/>
        <w:jc w:val="both"/>
      </w:pPr>
      <w:r w:rsidRPr="00F16E21">
        <w:t>Actualmente el principal reto de la permisología de la exploración minera son los procesos de consulta previa, esto genera que un cronograma de FTA de 3-4 meses pueda alcanzar cronogramas de hasta 20-22 meses</w:t>
      </w:r>
      <w:r>
        <w:t xml:space="preserve"> o inclusive hasta 3 años</w:t>
      </w:r>
      <w:r w:rsidRPr="00F16E21">
        <w:t>.</w:t>
      </w:r>
      <w:r>
        <w:t xml:space="preserve"> Es así que este debería ser uno de los principales enfoques que debe asumir el MINEM. Actualmente existe un caso de exploración minera que se encontraba sobre territorios de un pueblo indígena; sin embargo, las actividades se encontraban alejados de las áreas poblados, lugares de culto, puntos de relevancia, generando que el MINEM determinará que no hay una afectación de derechos colectivos. Sin embargo, aún en estos supuestos, el plazo puede tomar entre 6 y 7 meses.</w:t>
      </w:r>
    </w:p>
    <w:p w14:paraId="60C5365F" w14:textId="3074596E" w:rsidR="00F16E21" w:rsidRDefault="00F16E21" w:rsidP="00F16E21">
      <w:pPr>
        <w:spacing w:after="0" w:line="360" w:lineRule="auto"/>
        <w:ind w:left="360"/>
        <w:jc w:val="both"/>
      </w:pPr>
      <w:r>
        <w:t>De esta forma y en base a la propia casuística, el MINEM debería emitir lineamientos para determinar cuando no hay una afectación de derechos colectivos que primero brinde certidumbre a los inversionistas y segundo mejore los plazos de evaluación sin que se generen extensiones innecesarias.</w:t>
      </w:r>
    </w:p>
    <w:p w14:paraId="27FBE696" w14:textId="77777777" w:rsidR="00F16E21" w:rsidRPr="00F16E21" w:rsidRDefault="00F16E21" w:rsidP="00F16E21">
      <w:pPr>
        <w:spacing w:after="0" w:line="360" w:lineRule="auto"/>
        <w:ind w:left="360"/>
        <w:jc w:val="both"/>
      </w:pPr>
    </w:p>
    <w:p w14:paraId="35ABAA67" w14:textId="0BB8FE1D" w:rsidR="00C30FD9" w:rsidRDefault="00EC3AB9" w:rsidP="00EC3AB9">
      <w:pPr>
        <w:pStyle w:val="Prrafodelista"/>
        <w:numPr>
          <w:ilvl w:val="0"/>
          <w:numId w:val="2"/>
        </w:numPr>
        <w:spacing w:after="0" w:line="360" w:lineRule="auto"/>
        <w:jc w:val="both"/>
        <w:rPr>
          <w:b/>
          <w:bCs/>
        </w:rPr>
      </w:pPr>
      <w:r>
        <w:rPr>
          <w:b/>
          <w:bCs/>
        </w:rPr>
        <w:t>Conclusiones</w:t>
      </w:r>
    </w:p>
    <w:p w14:paraId="11F726F1" w14:textId="6425C86F" w:rsidR="00F16D9D" w:rsidRDefault="00C30FD9" w:rsidP="00F16E21">
      <w:pPr>
        <w:spacing w:after="0" w:line="360" w:lineRule="auto"/>
        <w:ind w:left="360"/>
        <w:jc w:val="both"/>
      </w:pPr>
      <w:r w:rsidRPr="00C30FD9">
        <w:t xml:space="preserve">El GoP </w:t>
      </w:r>
      <w:r>
        <w:t>tiene identificado la problemática de la permisología para la ejecución de las exploraciones mineras y en este contexto, ha venido emitiendo disposiciones</w:t>
      </w:r>
      <w:r w:rsidRPr="00C30FD9">
        <w:t xml:space="preserve"> </w:t>
      </w:r>
      <w:r w:rsidR="00F16D9D">
        <w:t>con este objetivo, que en muchos aspectos han implicado mejoras en los cronogramas y en la disminución de la carga administrativa de los titulares mineros.</w:t>
      </w:r>
    </w:p>
    <w:p w14:paraId="37DD9B68" w14:textId="2EE43DCE" w:rsidR="00F16D9D" w:rsidRDefault="00F16D9D" w:rsidP="00C30FD9">
      <w:pPr>
        <w:spacing w:after="0" w:line="360" w:lineRule="auto"/>
        <w:ind w:left="360"/>
        <w:jc w:val="both"/>
      </w:pPr>
      <w:r>
        <w:t>Sin embargo, es necesario que estas medidas sean analizadas para medir sus efectos y poder continuando en la identificación de medidas para mejorar la permisología, optimizando los tiempos para la ejecución de esta actividad clave para el sector.</w:t>
      </w:r>
    </w:p>
    <w:p w14:paraId="5B91CF94" w14:textId="77777777" w:rsidR="00C30FD9" w:rsidRPr="00C30FD9" w:rsidRDefault="00C30FD9" w:rsidP="00C30FD9">
      <w:pPr>
        <w:spacing w:after="0" w:line="360" w:lineRule="auto"/>
        <w:ind w:left="360"/>
        <w:jc w:val="both"/>
      </w:pPr>
    </w:p>
    <w:p w14:paraId="7BEC3F30" w14:textId="77777777" w:rsidR="00EC3AB9" w:rsidRPr="009E4857" w:rsidRDefault="00EC3AB9" w:rsidP="00EC3AB9">
      <w:pPr>
        <w:widowControl w:val="0"/>
        <w:autoSpaceDE w:val="0"/>
        <w:autoSpaceDN w:val="0"/>
        <w:adjustRightInd w:val="0"/>
        <w:spacing w:line="360" w:lineRule="auto"/>
        <w:jc w:val="both"/>
        <w:rPr>
          <w:rFonts w:cs="Arial"/>
        </w:rPr>
      </w:pPr>
      <w:r w:rsidRPr="009E4857">
        <w:rPr>
          <w:rFonts w:cs="Arial"/>
          <w:b/>
        </w:rPr>
        <w:t>Joseline Johana Pérez Cámara</w:t>
      </w:r>
      <w:r w:rsidRPr="009E4857">
        <w:rPr>
          <w:rFonts w:cs="Arial"/>
        </w:rPr>
        <w:t xml:space="preserve"> </w:t>
      </w:r>
    </w:p>
    <w:p w14:paraId="29852088" w14:textId="659E1BCA" w:rsidR="00EC3AB9" w:rsidRPr="005C29D0" w:rsidRDefault="00EC3AB9" w:rsidP="005C29D0">
      <w:pPr>
        <w:widowControl w:val="0"/>
        <w:autoSpaceDE w:val="0"/>
        <w:autoSpaceDN w:val="0"/>
        <w:adjustRightInd w:val="0"/>
        <w:spacing w:line="240" w:lineRule="auto"/>
        <w:jc w:val="both"/>
        <w:rPr>
          <w:rFonts w:cs="Arial"/>
          <w:bCs/>
        </w:rPr>
      </w:pPr>
      <w:r w:rsidRPr="009E4857">
        <w:rPr>
          <w:rFonts w:cs="Arial"/>
        </w:rPr>
        <w:t>Asociada Senior en Hernandez &amp; Cía. Abogados</w:t>
      </w:r>
      <w:r w:rsidR="00535098">
        <w:rPr>
          <w:rFonts w:cs="Arial"/>
        </w:rPr>
        <w:t xml:space="preserve"> y Asociada Profesional de Women in Mining - WIM</w:t>
      </w:r>
      <w:r w:rsidRPr="009E4857">
        <w:rPr>
          <w:rFonts w:cs="Arial"/>
        </w:rPr>
        <w:t xml:space="preserve">. Abogada por la Pontificia Universidad Católica del Perú, con estudios de especialización en recursos naturales de la misma casa de estudios, MBA de la Universidad Politécnica de Madrid, con más de </w:t>
      </w:r>
      <w:r>
        <w:rPr>
          <w:rFonts w:cs="Arial"/>
        </w:rPr>
        <w:t>10</w:t>
      </w:r>
      <w:r w:rsidRPr="009E4857">
        <w:rPr>
          <w:rFonts w:cs="Arial"/>
        </w:rPr>
        <w:t xml:space="preserve"> </w:t>
      </w:r>
      <w:r w:rsidRPr="009E4857">
        <w:rPr>
          <w:rFonts w:cs="Arial"/>
        </w:rPr>
        <w:lastRenderedPageBreak/>
        <w:t>años de experiencia en asesoría regulatoria para el desarrollo de proyectos mineros en el país.</w:t>
      </w:r>
      <w:r>
        <w:rPr>
          <w:rFonts w:cs="Arial"/>
        </w:rPr>
        <w:t xml:space="preserve"> </w:t>
      </w:r>
      <w:r w:rsidRPr="00E61AC3">
        <w:t>Reconocida por importantes rankeadores como Chambers and Partners y Legal 500, y nominada al premio Diversity &amp; Inclusion: Future Leader por Chambers and Partners (2023)</w:t>
      </w:r>
      <w:r>
        <w:t>.</w:t>
      </w:r>
    </w:p>
    <w:sectPr w:rsidR="00EC3AB9" w:rsidRPr="005C29D0" w:rsidSect="005C29D0">
      <w:headerReference w:type="default" r:id="rId10"/>
      <w:pgSz w:w="11906" w:h="16838"/>
      <w:pgMar w:top="1417" w:right="1016" w:bottom="900" w:left="990" w:header="708" w:footer="1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C429B" w14:textId="77777777" w:rsidR="00EC3AB9" w:rsidRDefault="00EC3AB9" w:rsidP="00EC3AB9">
      <w:pPr>
        <w:spacing w:after="0" w:line="240" w:lineRule="auto"/>
      </w:pPr>
      <w:r>
        <w:separator/>
      </w:r>
    </w:p>
  </w:endnote>
  <w:endnote w:type="continuationSeparator" w:id="0">
    <w:p w14:paraId="24620357" w14:textId="77777777" w:rsidR="00EC3AB9" w:rsidRDefault="00EC3AB9" w:rsidP="00EC3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30D29" w14:textId="77777777" w:rsidR="00EC3AB9" w:rsidRDefault="00EC3AB9" w:rsidP="00EC3AB9">
      <w:pPr>
        <w:spacing w:after="0" w:line="240" w:lineRule="auto"/>
      </w:pPr>
      <w:r>
        <w:separator/>
      </w:r>
    </w:p>
  </w:footnote>
  <w:footnote w:type="continuationSeparator" w:id="0">
    <w:p w14:paraId="2EC24F82" w14:textId="77777777" w:rsidR="00EC3AB9" w:rsidRDefault="00EC3AB9" w:rsidP="00EC3AB9">
      <w:pPr>
        <w:spacing w:after="0" w:line="240" w:lineRule="auto"/>
      </w:pPr>
      <w:r>
        <w:continuationSeparator/>
      </w:r>
    </w:p>
  </w:footnote>
  <w:footnote w:id="1">
    <w:p w14:paraId="4285BE87" w14:textId="37CACD71" w:rsidR="00EC3AB9" w:rsidRDefault="00EC3AB9">
      <w:pPr>
        <w:pStyle w:val="Textonotapie"/>
      </w:pPr>
      <w:r>
        <w:rPr>
          <w:rStyle w:val="Refdenotaalpie"/>
        </w:rPr>
        <w:footnoteRef/>
      </w:r>
      <w:r>
        <w:t xml:space="preserve"> Anuario Minero 2023 y Anuario Minero 2024.</w:t>
      </w:r>
    </w:p>
  </w:footnote>
  <w:footnote w:id="2">
    <w:p w14:paraId="14F04946" w14:textId="73FF6E75" w:rsidR="00CA1AF8" w:rsidRDefault="00CA1AF8">
      <w:pPr>
        <w:pStyle w:val="Textonotapie"/>
      </w:pPr>
      <w:r>
        <w:rPr>
          <w:rStyle w:val="Refdenotaalpie"/>
        </w:rPr>
        <w:footnoteRef/>
      </w:r>
      <w:r>
        <w:t xml:space="preserve"> </w:t>
      </w:r>
      <w:r w:rsidRPr="008131CB">
        <w:rPr>
          <w:rFonts w:cs="Arial"/>
          <w:lang w:val="es-419"/>
        </w:rPr>
        <w:t>Decreto Supremo No. 028-2023-EM</w:t>
      </w:r>
      <w:r>
        <w:rPr>
          <w:rFonts w:cs="Arial"/>
          <w:lang w:val="es-419"/>
        </w:rPr>
        <w:t>.</w:t>
      </w:r>
    </w:p>
  </w:footnote>
  <w:footnote w:id="3">
    <w:p w14:paraId="0200B9FF" w14:textId="2D5A2156" w:rsidR="0043508E" w:rsidRDefault="0043508E">
      <w:pPr>
        <w:pStyle w:val="Textonotapie"/>
      </w:pPr>
      <w:r>
        <w:rPr>
          <w:rStyle w:val="Refdenotaalpie"/>
        </w:rPr>
        <w:footnoteRef/>
      </w:r>
      <w:r>
        <w:t xml:space="preserve"> </w:t>
      </w:r>
      <w:r w:rsidRPr="00116A58">
        <w:rPr>
          <w:rFonts w:cs="Arial"/>
        </w:rPr>
        <w:t>Resolución Ministerial No. 237-2024-MINEM/DM</w:t>
      </w:r>
      <w:r>
        <w:rPr>
          <w:rFonts w:cs="Arial"/>
        </w:rPr>
        <w:t>.</w:t>
      </w:r>
    </w:p>
  </w:footnote>
  <w:footnote w:id="4">
    <w:p w14:paraId="1F4A5527" w14:textId="5F5F6C1A" w:rsidR="005C29D0" w:rsidRDefault="005C29D0">
      <w:pPr>
        <w:pStyle w:val="Textonotapie"/>
      </w:pPr>
      <w:r>
        <w:rPr>
          <w:rStyle w:val="Refdenotaalpie"/>
        </w:rPr>
        <w:footnoteRef/>
      </w:r>
      <w:r>
        <w:t xml:space="preserve"> </w:t>
      </w:r>
      <w:r>
        <w:rPr>
          <w:rFonts w:cs="Arial"/>
        </w:rPr>
        <w:t>Lineamientos y criterios de aplicación de la Ficha Técnica Ambiental (FTA)</w:t>
      </w:r>
      <w:r>
        <w:rPr>
          <w:rFonts w:cs="Arial"/>
        </w:rPr>
        <w:t>.</w:t>
      </w:r>
    </w:p>
  </w:footnote>
  <w:footnote w:id="5">
    <w:p w14:paraId="275AD334" w14:textId="4F019213" w:rsidR="002C0FFF" w:rsidRDefault="002C0FFF">
      <w:pPr>
        <w:pStyle w:val="Textonotapie"/>
      </w:pPr>
      <w:r>
        <w:rPr>
          <w:rStyle w:val="Refdenotaalpie"/>
        </w:rPr>
        <w:footnoteRef/>
      </w:r>
      <w:r>
        <w:t xml:space="preserve"> Revisión de casos del 2017 al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11B74" w14:textId="77777777" w:rsidR="0043508E" w:rsidRPr="00CB43A4" w:rsidRDefault="0043508E" w:rsidP="0043508E">
    <w:pPr>
      <w:spacing w:after="0" w:line="240" w:lineRule="auto"/>
      <w:jc w:val="center"/>
      <w:rPr>
        <w:b/>
        <w:bCs/>
      </w:rPr>
    </w:pPr>
    <w:r w:rsidRPr="00CB43A4">
      <w:rPr>
        <w:b/>
        <w:bCs/>
      </w:rPr>
      <w:t>PERUMIN 37Convención Minera</w:t>
    </w:r>
  </w:p>
  <w:p w14:paraId="6907170A" w14:textId="77777777" w:rsidR="0043508E" w:rsidRPr="00CB43A4" w:rsidRDefault="0043508E" w:rsidP="0043508E">
    <w:pPr>
      <w:spacing w:after="0"/>
      <w:jc w:val="center"/>
      <w:rPr>
        <w:b/>
        <w:bCs/>
      </w:rPr>
    </w:pPr>
    <w:r w:rsidRPr="00CB43A4">
      <w:rPr>
        <w:b/>
        <w:bCs/>
      </w:rPr>
      <w:t>FORO DE TECNOLOGÍA, INNOVACIÓN Y SOSTENIBILIDAD</w:t>
    </w:r>
  </w:p>
  <w:p w14:paraId="4A4DA746" w14:textId="77777777" w:rsidR="0043508E" w:rsidRDefault="0043508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71B43"/>
    <w:multiLevelType w:val="hybridMultilevel"/>
    <w:tmpl w:val="A5D21102"/>
    <w:lvl w:ilvl="0" w:tplc="CCD0E318">
      <w:start w:val="1"/>
      <w:numFmt w:val="lowerRoman"/>
      <w:lvlText w:val="%1)"/>
      <w:lvlJc w:val="left"/>
      <w:pPr>
        <w:ind w:left="1080" w:hanging="72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1B2458EC"/>
    <w:multiLevelType w:val="hybridMultilevel"/>
    <w:tmpl w:val="9F306304"/>
    <w:lvl w:ilvl="0" w:tplc="280A000F">
      <w:start w:val="1"/>
      <w:numFmt w:val="decimal"/>
      <w:lvlText w:val="%1."/>
      <w:lvlJc w:val="left"/>
      <w:pPr>
        <w:ind w:left="1080" w:hanging="720"/>
      </w:pPr>
      <w:rPr>
        <w:rFonts w:hint="default"/>
      </w:rPr>
    </w:lvl>
    <w:lvl w:ilvl="1" w:tplc="FFFFFFFF">
      <w:start w:val="1"/>
      <w:numFmt w:val="decimal"/>
      <w:lvlText w:val="%2."/>
      <w:lvlJc w:val="left"/>
      <w:pPr>
        <w:ind w:left="1560" w:hanging="48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A422B30"/>
    <w:multiLevelType w:val="hybridMultilevel"/>
    <w:tmpl w:val="C8085F30"/>
    <w:lvl w:ilvl="0" w:tplc="280A000F">
      <w:start w:val="1"/>
      <w:numFmt w:val="decimal"/>
      <w:lvlText w:val="%1."/>
      <w:lvlJc w:val="left"/>
      <w:pPr>
        <w:ind w:left="360" w:hanging="360"/>
      </w:pPr>
      <w:rPr>
        <w:rFonts w:hint="default"/>
        <w:b w:val="0"/>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4D4B016C"/>
    <w:multiLevelType w:val="hybridMultilevel"/>
    <w:tmpl w:val="B9429016"/>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4E391D0C"/>
    <w:multiLevelType w:val="hybridMultilevel"/>
    <w:tmpl w:val="FE884B6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94C11E0"/>
    <w:multiLevelType w:val="hybridMultilevel"/>
    <w:tmpl w:val="511E750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926810466">
    <w:abstractNumId w:val="4"/>
  </w:num>
  <w:num w:numId="2" w16cid:durableId="196504658">
    <w:abstractNumId w:val="2"/>
  </w:num>
  <w:num w:numId="3" w16cid:durableId="1447191529">
    <w:abstractNumId w:val="5"/>
  </w:num>
  <w:num w:numId="4" w16cid:durableId="1856186706">
    <w:abstractNumId w:val="3"/>
  </w:num>
  <w:num w:numId="5" w16cid:durableId="433522593">
    <w:abstractNumId w:val="1"/>
  </w:num>
  <w:num w:numId="6" w16cid:durableId="17878908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AB9"/>
    <w:rsid w:val="00102769"/>
    <w:rsid w:val="00187861"/>
    <w:rsid w:val="002C0FFF"/>
    <w:rsid w:val="0043508E"/>
    <w:rsid w:val="00535098"/>
    <w:rsid w:val="005C29D0"/>
    <w:rsid w:val="00946BF9"/>
    <w:rsid w:val="00BA1376"/>
    <w:rsid w:val="00C30FD9"/>
    <w:rsid w:val="00CA1AF8"/>
    <w:rsid w:val="00DE3DD1"/>
    <w:rsid w:val="00EC3AB9"/>
    <w:rsid w:val="00F16D9D"/>
    <w:rsid w:val="00F16E21"/>
    <w:rsid w:val="00F64C8E"/>
    <w:rsid w:val="00FB369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F49B8"/>
  <w15:chartTrackingRefBased/>
  <w15:docId w15:val="{8FC32463-922C-4444-8D03-3CE450858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AB9"/>
  </w:style>
  <w:style w:type="paragraph" w:styleId="Ttulo1">
    <w:name w:val="heading 1"/>
    <w:basedOn w:val="Normal"/>
    <w:next w:val="Normal"/>
    <w:link w:val="Ttulo1Car"/>
    <w:uiPriority w:val="9"/>
    <w:qFormat/>
    <w:rsid w:val="00EC3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3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3A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3A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EC3AB9"/>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EC3A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EC3AB9"/>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EC3AB9"/>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EC3AB9"/>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3A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3A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3AB9"/>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3AB9"/>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EC3AB9"/>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EC3AB9"/>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EC3AB9"/>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EC3AB9"/>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EC3AB9"/>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EC3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3A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3A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3AB9"/>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EC3AB9"/>
    <w:pPr>
      <w:spacing w:before="160"/>
      <w:jc w:val="center"/>
    </w:pPr>
    <w:rPr>
      <w:i/>
      <w:iCs/>
      <w:color w:val="404040" w:themeColor="text1" w:themeTint="BF"/>
    </w:rPr>
  </w:style>
  <w:style w:type="character" w:customStyle="1" w:styleId="CitaCar">
    <w:name w:val="Cita Car"/>
    <w:basedOn w:val="Fuentedeprrafopredeter"/>
    <w:link w:val="Cita"/>
    <w:uiPriority w:val="29"/>
    <w:rsid w:val="00EC3AB9"/>
    <w:rPr>
      <w:i/>
      <w:iCs/>
      <w:color w:val="404040" w:themeColor="text1" w:themeTint="BF"/>
    </w:rPr>
  </w:style>
  <w:style w:type="paragraph" w:styleId="Prrafodelista">
    <w:name w:val="List Paragraph"/>
    <w:basedOn w:val="Normal"/>
    <w:uiPriority w:val="34"/>
    <w:qFormat/>
    <w:rsid w:val="00EC3AB9"/>
    <w:pPr>
      <w:ind w:left="720"/>
      <w:contextualSpacing/>
    </w:pPr>
  </w:style>
  <w:style w:type="character" w:styleId="nfasisintenso">
    <w:name w:val="Intense Emphasis"/>
    <w:basedOn w:val="Fuentedeprrafopredeter"/>
    <w:uiPriority w:val="21"/>
    <w:qFormat/>
    <w:rsid w:val="00EC3AB9"/>
    <w:rPr>
      <w:i/>
      <w:iCs/>
      <w:color w:val="0F4761" w:themeColor="accent1" w:themeShade="BF"/>
    </w:rPr>
  </w:style>
  <w:style w:type="paragraph" w:styleId="Citadestacada">
    <w:name w:val="Intense Quote"/>
    <w:basedOn w:val="Normal"/>
    <w:next w:val="Normal"/>
    <w:link w:val="CitadestacadaCar"/>
    <w:uiPriority w:val="30"/>
    <w:qFormat/>
    <w:rsid w:val="00EC3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3AB9"/>
    <w:rPr>
      <w:i/>
      <w:iCs/>
      <w:color w:val="0F4761" w:themeColor="accent1" w:themeShade="BF"/>
    </w:rPr>
  </w:style>
  <w:style w:type="character" w:styleId="Referenciaintensa">
    <w:name w:val="Intense Reference"/>
    <w:basedOn w:val="Fuentedeprrafopredeter"/>
    <w:uiPriority w:val="32"/>
    <w:qFormat/>
    <w:rsid w:val="00EC3AB9"/>
    <w:rPr>
      <w:b/>
      <w:bCs/>
      <w:smallCaps/>
      <w:color w:val="0F4761" w:themeColor="accent1" w:themeShade="BF"/>
      <w:spacing w:val="5"/>
    </w:rPr>
  </w:style>
  <w:style w:type="paragraph" w:styleId="Textonotapie">
    <w:name w:val="footnote text"/>
    <w:basedOn w:val="Normal"/>
    <w:link w:val="TextonotapieCar"/>
    <w:uiPriority w:val="99"/>
    <w:semiHidden/>
    <w:unhideWhenUsed/>
    <w:rsid w:val="00EC3AB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C3AB9"/>
    <w:rPr>
      <w:sz w:val="20"/>
      <w:szCs w:val="20"/>
    </w:rPr>
  </w:style>
  <w:style w:type="character" w:styleId="Refdenotaalpie">
    <w:name w:val="footnote reference"/>
    <w:basedOn w:val="Fuentedeprrafopredeter"/>
    <w:uiPriority w:val="99"/>
    <w:semiHidden/>
    <w:unhideWhenUsed/>
    <w:rsid w:val="00EC3AB9"/>
    <w:rPr>
      <w:vertAlign w:val="superscript"/>
    </w:rPr>
  </w:style>
  <w:style w:type="paragraph" w:styleId="Encabezado">
    <w:name w:val="header"/>
    <w:basedOn w:val="Normal"/>
    <w:link w:val="EncabezadoCar"/>
    <w:uiPriority w:val="99"/>
    <w:unhideWhenUsed/>
    <w:rsid w:val="0043508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3508E"/>
  </w:style>
  <w:style w:type="paragraph" w:styleId="Piedepgina">
    <w:name w:val="footer"/>
    <w:basedOn w:val="Normal"/>
    <w:link w:val="PiedepginaCar"/>
    <w:uiPriority w:val="99"/>
    <w:unhideWhenUsed/>
    <w:rsid w:val="0043508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35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about:blan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4E9AC0-A73D-4451-B30F-64E329E2E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4</Pages>
  <Words>1239</Words>
  <Characters>6820</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2</cp:revision>
  <dcterms:created xsi:type="dcterms:W3CDTF">2025-05-13T02:49:00Z</dcterms:created>
  <dcterms:modified xsi:type="dcterms:W3CDTF">2025-05-13T04:49:00Z</dcterms:modified>
</cp:coreProperties>
</file>