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69A5" w14:textId="5F6D55BA" w:rsidR="0039785B" w:rsidRDefault="0039785B" w:rsidP="00EF07D2">
      <w:pPr>
        <w:pStyle w:val="Textoindependiente"/>
        <w:spacing w:before="13" w:line="360" w:lineRule="auto"/>
        <w:ind w:left="20"/>
        <w:jc w:val="both"/>
        <w:rPr>
          <w:rFonts w:ascii="Arial" w:hAnsi="Arial" w:cs="Arial"/>
          <w:bCs/>
          <w:spacing w:val="-12"/>
        </w:rPr>
      </w:pPr>
      <w:r w:rsidRPr="00EF07D2">
        <w:rPr>
          <w:rFonts w:ascii="Arial" w:hAnsi="Arial" w:cs="Arial"/>
          <w:b/>
        </w:rPr>
        <w:t>Título:</w:t>
      </w:r>
      <w:r w:rsidRPr="00EF07D2">
        <w:rPr>
          <w:rFonts w:ascii="Arial" w:hAnsi="Arial" w:cs="Arial"/>
          <w:b/>
          <w:spacing w:val="-12"/>
        </w:rPr>
        <w:t xml:space="preserve"> </w:t>
      </w:r>
      <w:r w:rsidR="000B614E" w:rsidRPr="00EF07D2">
        <w:rPr>
          <w:rFonts w:ascii="Arial" w:hAnsi="Arial" w:cs="Arial"/>
          <w:bCs/>
          <w:spacing w:val="-12"/>
        </w:rPr>
        <w:t>Reaprovechamiento Sostenible y Segur</w:t>
      </w:r>
      <w:r w:rsidR="00CE051E">
        <w:rPr>
          <w:rFonts w:ascii="Arial" w:hAnsi="Arial" w:cs="Arial"/>
          <w:bCs/>
          <w:spacing w:val="-12"/>
        </w:rPr>
        <w:t>o</w:t>
      </w:r>
      <w:r w:rsidR="000B614E" w:rsidRPr="00EF07D2">
        <w:rPr>
          <w:rFonts w:ascii="Arial" w:hAnsi="Arial" w:cs="Arial"/>
          <w:bCs/>
          <w:spacing w:val="-12"/>
        </w:rPr>
        <w:t xml:space="preserve"> de Pasivos Ambientales en Cerro Lindo: Optimización de Recursos y Reducción de Costos al Final de la Vida de la Mina</w:t>
      </w:r>
    </w:p>
    <w:p w14:paraId="1DC83167" w14:textId="77777777" w:rsidR="00976966" w:rsidRDefault="00976966" w:rsidP="00EF07D2">
      <w:pPr>
        <w:pStyle w:val="Textoindependiente"/>
        <w:spacing w:before="13" w:line="360" w:lineRule="auto"/>
        <w:ind w:left="20"/>
        <w:jc w:val="both"/>
        <w:rPr>
          <w:rFonts w:ascii="Arial" w:hAnsi="Arial" w:cs="Arial"/>
          <w:bCs/>
          <w:spacing w:val="-12"/>
        </w:rPr>
      </w:pPr>
    </w:p>
    <w:p w14:paraId="2652B2F0" w14:textId="4ED7FB67" w:rsidR="0039785B" w:rsidRDefault="0039785B" w:rsidP="00EF07D2">
      <w:pPr>
        <w:pStyle w:val="Textoindependiente"/>
        <w:spacing w:line="360" w:lineRule="auto"/>
        <w:jc w:val="both"/>
        <w:rPr>
          <w:rFonts w:ascii="Arial" w:hAnsi="Arial" w:cs="Arial"/>
          <w:bCs/>
          <w:spacing w:val="-10"/>
        </w:rPr>
      </w:pPr>
      <w:r w:rsidRPr="00EF07D2">
        <w:rPr>
          <w:rFonts w:ascii="Arial" w:hAnsi="Arial" w:cs="Arial"/>
          <w:b/>
        </w:rPr>
        <w:t>Tema:</w:t>
      </w:r>
      <w:r w:rsidRPr="00EF07D2">
        <w:rPr>
          <w:rFonts w:ascii="Arial" w:hAnsi="Arial" w:cs="Arial"/>
          <w:b/>
          <w:spacing w:val="-10"/>
        </w:rPr>
        <w:t xml:space="preserve"> </w:t>
      </w:r>
      <w:r w:rsidR="00706EFE">
        <w:rPr>
          <w:rFonts w:ascii="Arial" w:hAnsi="Arial" w:cs="Arial"/>
          <w:bCs/>
          <w:spacing w:val="-10"/>
        </w:rPr>
        <w:t>ESG</w:t>
      </w:r>
    </w:p>
    <w:p w14:paraId="1CBB7E1E" w14:textId="77777777" w:rsidR="00976966" w:rsidRDefault="00976966" w:rsidP="00EF07D2">
      <w:pPr>
        <w:pStyle w:val="Textoindependiente"/>
        <w:spacing w:line="360" w:lineRule="auto"/>
        <w:jc w:val="both"/>
        <w:rPr>
          <w:rFonts w:ascii="Arial" w:hAnsi="Arial" w:cs="Arial"/>
          <w:bCs/>
          <w:spacing w:val="-10"/>
        </w:rPr>
      </w:pPr>
    </w:p>
    <w:p w14:paraId="2F628BBF" w14:textId="5B51AA93" w:rsidR="000B614E" w:rsidRDefault="0039785B" w:rsidP="00EF07D2">
      <w:pPr>
        <w:spacing w:line="360" w:lineRule="auto"/>
        <w:ind w:left="2"/>
        <w:jc w:val="both"/>
        <w:rPr>
          <w:rFonts w:ascii="Arial" w:hAnsi="Arial" w:cs="Arial"/>
          <w:bCs/>
          <w:spacing w:val="-6"/>
          <w:lang w:val="es-PE"/>
        </w:rPr>
      </w:pPr>
      <w:r w:rsidRPr="00EF07D2">
        <w:rPr>
          <w:rFonts w:ascii="Arial" w:hAnsi="Arial" w:cs="Arial"/>
          <w:b/>
        </w:rPr>
        <w:t>Categoría:</w:t>
      </w:r>
      <w:r w:rsidRPr="00EF07D2">
        <w:rPr>
          <w:rFonts w:ascii="Arial" w:hAnsi="Arial" w:cs="Arial"/>
          <w:b/>
          <w:spacing w:val="-6"/>
        </w:rPr>
        <w:t xml:space="preserve"> </w:t>
      </w:r>
      <w:r w:rsidR="000B614E" w:rsidRPr="00EF07D2">
        <w:rPr>
          <w:rFonts w:ascii="Arial" w:hAnsi="Arial" w:cs="Arial"/>
          <w:b/>
          <w:spacing w:val="-6"/>
        </w:rPr>
        <w:t xml:space="preserve"> </w:t>
      </w:r>
      <w:r w:rsidR="000B614E" w:rsidRPr="000B614E">
        <w:rPr>
          <w:rFonts w:ascii="Arial" w:hAnsi="Arial" w:cs="Arial"/>
          <w:bCs/>
          <w:spacing w:val="-6"/>
          <w:lang w:val="es-PE"/>
        </w:rPr>
        <w:t xml:space="preserve">Operaciones Mineras y Gestión Activos </w:t>
      </w:r>
    </w:p>
    <w:p w14:paraId="63D99BCB" w14:textId="77777777" w:rsidR="00976966" w:rsidRDefault="00976966" w:rsidP="00EF07D2">
      <w:pPr>
        <w:spacing w:line="360" w:lineRule="auto"/>
        <w:ind w:left="2"/>
        <w:jc w:val="both"/>
        <w:rPr>
          <w:rFonts w:ascii="Arial" w:hAnsi="Arial" w:cs="Arial"/>
          <w:bCs/>
          <w:spacing w:val="-6"/>
          <w:lang w:val="es-PE"/>
        </w:rPr>
      </w:pPr>
    </w:p>
    <w:p w14:paraId="686B8375" w14:textId="129634D6" w:rsidR="0039785B" w:rsidRDefault="0039785B" w:rsidP="00EF07D2">
      <w:pPr>
        <w:pStyle w:val="Textoindependiente"/>
        <w:spacing w:line="360" w:lineRule="auto"/>
        <w:ind w:right="133"/>
        <w:jc w:val="both"/>
        <w:rPr>
          <w:rFonts w:ascii="Arial" w:hAnsi="Arial" w:cs="Arial"/>
          <w:bCs/>
        </w:rPr>
      </w:pPr>
      <w:r w:rsidRPr="00EF07D2">
        <w:rPr>
          <w:rFonts w:ascii="Arial" w:hAnsi="Arial" w:cs="Arial"/>
          <w:b/>
        </w:rPr>
        <w:t xml:space="preserve">Datos del autor: </w:t>
      </w:r>
    </w:p>
    <w:p w14:paraId="58558E99" w14:textId="77777777" w:rsidR="00976966" w:rsidRDefault="00976966" w:rsidP="00976966">
      <w:pPr>
        <w:pStyle w:val="Textoindependiente"/>
        <w:numPr>
          <w:ilvl w:val="0"/>
          <w:numId w:val="1"/>
        </w:numPr>
        <w:spacing w:line="360" w:lineRule="auto"/>
        <w:ind w:right="133"/>
        <w:jc w:val="both"/>
        <w:rPr>
          <w:rFonts w:ascii="Arial" w:hAnsi="Arial" w:cs="Arial"/>
          <w:bCs/>
        </w:rPr>
      </w:pPr>
      <w:r>
        <w:rPr>
          <w:rFonts w:ascii="Arial" w:hAnsi="Arial" w:cs="Arial"/>
          <w:bCs/>
        </w:rPr>
        <w:t>Gianncarlo Zamora Rivera</w:t>
      </w:r>
      <w:r w:rsidRPr="006B72F3">
        <w:rPr>
          <w:rFonts w:ascii="Arial" w:hAnsi="Arial" w:cs="Arial"/>
          <w:bCs/>
        </w:rPr>
        <w:t xml:space="preserve">, NEXA RESOURCES, </w:t>
      </w:r>
      <w:r>
        <w:rPr>
          <w:rFonts w:ascii="Arial" w:hAnsi="Arial" w:cs="Arial"/>
          <w:bCs/>
        </w:rPr>
        <w:t xml:space="preserve">Geólogo Senior de Modelamiento, </w:t>
      </w:r>
      <w:hyperlink r:id="rId7" w:history="1">
        <w:r w:rsidRPr="00B040AC">
          <w:rPr>
            <w:rStyle w:val="Hipervnculo"/>
            <w:rFonts w:ascii="Arial" w:hAnsi="Arial" w:cs="Arial"/>
            <w:bCs/>
          </w:rPr>
          <w:t>gianncarlo.zamora@nexaresources.com</w:t>
        </w:r>
      </w:hyperlink>
      <w:r>
        <w:rPr>
          <w:rFonts w:ascii="Arial" w:hAnsi="Arial" w:cs="Arial"/>
          <w:bCs/>
        </w:rPr>
        <w:t>, 950156386</w:t>
      </w:r>
    </w:p>
    <w:p w14:paraId="4E3A4D54" w14:textId="77777777" w:rsidR="00976966" w:rsidRPr="004F7DC4" w:rsidRDefault="00976966" w:rsidP="00976966">
      <w:pPr>
        <w:pStyle w:val="Textoindependiente"/>
        <w:spacing w:line="360" w:lineRule="auto"/>
        <w:ind w:left="362" w:right="133"/>
        <w:jc w:val="both"/>
        <w:rPr>
          <w:rFonts w:ascii="Arial" w:hAnsi="Arial" w:cs="Arial"/>
          <w:b/>
        </w:rPr>
      </w:pPr>
      <w:r w:rsidRPr="004F7DC4">
        <w:rPr>
          <w:rFonts w:ascii="Arial" w:hAnsi="Arial" w:cs="Arial"/>
          <w:b/>
        </w:rPr>
        <w:t>Coautores</w:t>
      </w:r>
    </w:p>
    <w:p w14:paraId="7CFA702F" w14:textId="77777777" w:rsidR="00976966" w:rsidRPr="006B72F3" w:rsidRDefault="00976966" w:rsidP="00976966">
      <w:pPr>
        <w:pStyle w:val="Textoindependiente"/>
        <w:numPr>
          <w:ilvl w:val="0"/>
          <w:numId w:val="1"/>
        </w:numPr>
        <w:spacing w:line="360" w:lineRule="auto"/>
        <w:ind w:right="133"/>
        <w:jc w:val="both"/>
        <w:rPr>
          <w:rFonts w:ascii="Arial" w:hAnsi="Arial" w:cs="Arial"/>
          <w:bCs/>
          <w:color w:val="FF0000"/>
        </w:rPr>
      </w:pPr>
      <w:r w:rsidRPr="006B72F3">
        <w:rPr>
          <w:rFonts w:ascii="Arial" w:hAnsi="Arial" w:cs="Arial"/>
          <w:bCs/>
        </w:rPr>
        <w:t xml:space="preserve">Jhonatan López Alvarez, NEXA RESOURCES, </w:t>
      </w:r>
      <w:proofErr w:type="gramStart"/>
      <w:r w:rsidRPr="006B72F3">
        <w:rPr>
          <w:rFonts w:ascii="Arial" w:hAnsi="Arial" w:cs="Arial"/>
          <w:bCs/>
        </w:rPr>
        <w:t>Jefe</w:t>
      </w:r>
      <w:proofErr w:type="gramEnd"/>
      <w:r w:rsidRPr="006B72F3">
        <w:rPr>
          <w:rFonts w:ascii="Arial" w:hAnsi="Arial" w:cs="Arial"/>
          <w:bCs/>
        </w:rPr>
        <w:t xml:space="preserve"> de Geología, </w:t>
      </w:r>
      <w:hyperlink r:id="rId8" w:history="1">
        <w:r w:rsidRPr="006B72F3">
          <w:rPr>
            <w:rStyle w:val="Hipervnculo"/>
            <w:rFonts w:ascii="Arial" w:hAnsi="Arial" w:cs="Arial"/>
            <w:bCs/>
          </w:rPr>
          <w:t>jhonatan.lopez@nexaresources.com</w:t>
        </w:r>
      </w:hyperlink>
      <w:r w:rsidRPr="006B72F3">
        <w:rPr>
          <w:rFonts w:ascii="Arial" w:hAnsi="Arial" w:cs="Arial"/>
          <w:bCs/>
        </w:rPr>
        <w:t xml:space="preserve">, </w:t>
      </w:r>
      <w:hyperlink r:id="rId9" w:history="1">
        <w:r w:rsidRPr="006B72F3">
          <w:rPr>
            <w:rStyle w:val="Hipervnculo"/>
            <w:rFonts w:ascii="Arial" w:hAnsi="Arial" w:cs="Arial"/>
            <w:bCs/>
          </w:rPr>
          <w:t>jhonloalv@gmail.com</w:t>
        </w:r>
      </w:hyperlink>
      <w:r w:rsidRPr="006B72F3">
        <w:rPr>
          <w:rFonts w:ascii="Arial" w:hAnsi="Arial" w:cs="Arial"/>
          <w:bCs/>
        </w:rPr>
        <w:t>, 964336628</w:t>
      </w:r>
    </w:p>
    <w:p w14:paraId="014D795E" w14:textId="77777777" w:rsidR="00976966" w:rsidRPr="006B60AF" w:rsidRDefault="00976966" w:rsidP="00976966">
      <w:pPr>
        <w:pStyle w:val="Textoindependiente"/>
        <w:numPr>
          <w:ilvl w:val="0"/>
          <w:numId w:val="1"/>
        </w:numPr>
        <w:spacing w:line="360" w:lineRule="auto"/>
        <w:ind w:right="133"/>
        <w:jc w:val="both"/>
        <w:rPr>
          <w:rFonts w:ascii="Arial" w:hAnsi="Arial" w:cs="Arial"/>
          <w:bCs/>
          <w:lang w:val="pt-BR"/>
        </w:rPr>
      </w:pPr>
      <w:r w:rsidRPr="006B60AF">
        <w:rPr>
          <w:rFonts w:ascii="Arial" w:hAnsi="Arial" w:cs="Arial"/>
          <w:bCs/>
          <w:lang w:val="pt-BR"/>
        </w:rPr>
        <w:t xml:space="preserve">Jorge Quispe </w:t>
      </w:r>
      <w:proofErr w:type="spellStart"/>
      <w:r w:rsidRPr="006B60AF">
        <w:rPr>
          <w:rFonts w:ascii="Arial" w:hAnsi="Arial" w:cs="Arial"/>
          <w:bCs/>
          <w:lang w:val="pt-BR"/>
        </w:rPr>
        <w:t>Cangana</w:t>
      </w:r>
      <w:proofErr w:type="spellEnd"/>
      <w:r w:rsidRPr="006B60AF">
        <w:rPr>
          <w:rFonts w:ascii="Arial" w:hAnsi="Arial" w:cs="Arial"/>
          <w:bCs/>
          <w:lang w:val="pt-BR"/>
        </w:rPr>
        <w:t xml:space="preserve">, NEXA RESOURCES, Gerente de </w:t>
      </w:r>
      <w:proofErr w:type="spellStart"/>
      <w:r w:rsidRPr="006B60AF">
        <w:rPr>
          <w:rFonts w:ascii="Arial" w:hAnsi="Arial" w:cs="Arial"/>
          <w:bCs/>
          <w:lang w:val="pt-BR"/>
        </w:rPr>
        <w:t>Geología</w:t>
      </w:r>
      <w:proofErr w:type="spellEnd"/>
      <w:r w:rsidRPr="006B60AF">
        <w:rPr>
          <w:rFonts w:ascii="Arial" w:hAnsi="Arial" w:cs="Arial"/>
          <w:bCs/>
          <w:lang w:val="pt-BR"/>
        </w:rPr>
        <w:t xml:space="preserve">, </w:t>
      </w:r>
      <w:hyperlink r:id="rId10" w:history="1">
        <w:r w:rsidRPr="006B60AF">
          <w:rPr>
            <w:rStyle w:val="Hipervnculo"/>
            <w:rFonts w:ascii="Arial" w:hAnsi="Arial" w:cs="Arial"/>
            <w:bCs/>
            <w:lang w:val="pt-BR"/>
          </w:rPr>
          <w:t>Jorge.quispe@nexaresources.com</w:t>
        </w:r>
      </w:hyperlink>
      <w:r w:rsidRPr="006B60AF">
        <w:rPr>
          <w:rFonts w:ascii="Arial" w:hAnsi="Arial" w:cs="Arial"/>
          <w:bCs/>
          <w:lang w:val="pt-BR"/>
        </w:rPr>
        <w:t>, 956359099</w:t>
      </w:r>
    </w:p>
    <w:p w14:paraId="62D58AF5" w14:textId="77777777" w:rsidR="00976966" w:rsidRDefault="0039785B" w:rsidP="00976966">
      <w:pPr>
        <w:pStyle w:val="Textoindependiente"/>
        <w:spacing w:before="161" w:line="360" w:lineRule="auto"/>
        <w:ind w:right="137"/>
        <w:jc w:val="both"/>
        <w:rPr>
          <w:rFonts w:ascii="Arial" w:hAnsi="Arial" w:cs="Arial"/>
          <w:bCs/>
          <w:lang w:val="es-PE"/>
        </w:rPr>
      </w:pPr>
      <w:r w:rsidRPr="00EF07D2">
        <w:rPr>
          <w:rFonts w:ascii="Arial" w:hAnsi="Arial" w:cs="Arial"/>
          <w:b/>
        </w:rPr>
        <w:t xml:space="preserve">Palabras claves: </w:t>
      </w:r>
      <w:r w:rsidR="00A03A9E" w:rsidRPr="00EF07D2">
        <w:rPr>
          <w:rFonts w:ascii="Arial" w:hAnsi="Arial" w:cs="Arial"/>
          <w:b/>
        </w:rPr>
        <w:t xml:space="preserve"> </w:t>
      </w:r>
      <w:r w:rsidR="00A03A9E" w:rsidRPr="00EF07D2">
        <w:rPr>
          <w:rFonts w:ascii="Arial" w:hAnsi="Arial" w:cs="Arial"/>
          <w:bCs/>
          <w:lang w:val="es-PE"/>
        </w:rPr>
        <w:t xml:space="preserve">Reaprovechamiento, </w:t>
      </w:r>
      <w:r w:rsidR="00A03A9E" w:rsidRPr="00A03A9E">
        <w:rPr>
          <w:rFonts w:ascii="Arial" w:hAnsi="Arial" w:cs="Arial"/>
          <w:bCs/>
          <w:lang w:val="es-PE"/>
        </w:rPr>
        <w:t>Pasivos Ambientales</w:t>
      </w:r>
      <w:r w:rsidR="00A03A9E" w:rsidRPr="00EF07D2">
        <w:rPr>
          <w:rFonts w:ascii="Arial" w:hAnsi="Arial" w:cs="Arial"/>
          <w:bCs/>
          <w:lang w:val="es-PE"/>
        </w:rPr>
        <w:t xml:space="preserve">, </w:t>
      </w:r>
      <w:r w:rsidR="00A03A9E" w:rsidRPr="00A03A9E">
        <w:rPr>
          <w:rFonts w:ascii="Arial" w:hAnsi="Arial" w:cs="Arial"/>
          <w:bCs/>
          <w:lang w:val="es-PE"/>
        </w:rPr>
        <w:t>Cerro Lindo</w:t>
      </w:r>
      <w:r w:rsidR="00A03A9E" w:rsidRPr="00EF07D2">
        <w:rPr>
          <w:rFonts w:ascii="Arial" w:hAnsi="Arial" w:cs="Arial"/>
          <w:bCs/>
          <w:lang w:val="es-PE"/>
        </w:rPr>
        <w:t xml:space="preserve">, </w:t>
      </w:r>
      <w:proofErr w:type="spellStart"/>
      <w:r w:rsidR="00A03A9E" w:rsidRPr="00EF07D2">
        <w:rPr>
          <w:rFonts w:ascii="Arial" w:hAnsi="Arial" w:cs="Arial"/>
          <w:bCs/>
          <w:lang w:val="es-PE"/>
        </w:rPr>
        <w:t>Geometalurgia</w:t>
      </w:r>
      <w:proofErr w:type="spellEnd"/>
      <w:r w:rsidR="00A03A9E" w:rsidRPr="00EF07D2">
        <w:rPr>
          <w:rFonts w:ascii="Arial" w:hAnsi="Arial" w:cs="Arial"/>
          <w:bCs/>
          <w:lang w:val="es-PE"/>
        </w:rPr>
        <w:t xml:space="preserve">, </w:t>
      </w:r>
      <w:r w:rsidR="00A03A9E" w:rsidRPr="00A03A9E">
        <w:rPr>
          <w:rFonts w:ascii="Arial" w:hAnsi="Arial" w:cs="Arial"/>
          <w:bCs/>
          <w:lang w:val="es-PE"/>
        </w:rPr>
        <w:t>Higiene Industrial</w:t>
      </w:r>
      <w:r w:rsidR="00A03A9E" w:rsidRPr="00EF07D2">
        <w:rPr>
          <w:rFonts w:ascii="Arial" w:hAnsi="Arial" w:cs="Arial"/>
          <w:bCs/>
          <w:lang w:val="es-PE"/>
        </w:rPr>
        <w:t xml:space="preserve">, </w:t>
      </w:r>
      <w:r w:rsidR="00A03A9E" w:rsidRPr="00A03A9E">
        <w:rPr>
          <w:rFonts w:ascii="Arial" w:hAnsi="Arial" w:cs="Arial"/>
          <w:bCs/>
          <w:lang w:val="es-PE"/>
        </w:rPr>
        <w:t>Valoración Económica</w:t>
      </w:r>
      <w:r w:rsidR="00A03A9E" w:rsidRPr="00EF07D2">
        <w:rPr>
          <w:rFonts w:ascii="Arial" w:hAnsi="Arial" w:cs="Arial"/>
          <w:bCs/>
          <w:lang w:val="es-PE"/>
        </w:rPr>
        <w:t>.</w:t>
      </w:r>
    </w:p>
    <w:p w14:paraId="12F85DD0" w14:textId="7D6690FF" w:rsidR="0039785B" w:rsidRPr="00EF07D2" w:rsidRDefault="0039785B" w:rsidP="00976966">
      <w:pPr>
        <w:pStyle w:val="Textoindependiente"/>
        <w:spacing w:before="161" w:line="360" w:lineRule="auto"/>
        <w:ind w:right="137"/>
        <w:jc w:val="both"/>
        <w:rPr>
          <w:rFonts w:ascii="Arial" w:hAnsi="Arial" w:cs="Arial"/>
          <w:b/>
        </w:rPr>
      </w:pPr>
      <w:r w:rsidRPr="00EF07D2">
        <w:rPr>
          <w:rFonts w:ascii="Arial" w:hAnsi="Arial" w:cs="Arial"/>
          <w:b/>
        </w:rPr>
        <w:t>Resumen</w:t>
      </w:r>
    </w:p>
    <w:p w14:paraId="2B9172F8" w14:textId="77777777" w:rsidR="00A03A9E" w:rsidRPr="00A03A9E" w:rsidRDefault="00A03A9E" w:rsidP="00EF07D2">
      <w:pPr>
        <w:spacing w:line="360" w:lineRule="auto"/>
        <w:jc w:val="both"/>
        <w:rPr>
          <w:rFonts w:ascii="Arial" w:hAnsi="Arial" w:cs="Arial"/>
          <w:b/>
          <w:bCs/>
        </w:rPr>
      </w:pPr>
      <w:r w:rsidRPr="00A03A9E">
        <w:rPr>
          <w:rFonts w:ascii="Arial" w:hAnsi="Arial" w:cs="Arial"/>
          <w:b/>
          <w:bCs/>
        </w:rPr>
        <w:t>1. Contexto y Alcance del Proyecto</w:t>
      </w:r>
    </w:p>
    <w:p w14:paraId="0A5E7BB4" w14:textId="4E220ACD" w:rsidR="00A03A9E" w:rsidRPr="00A03A9E" w:rsidRDefault="00A03A9E" w:rsidP="00EF07D2">
      <w:pPr>
        <w:spacing w:line="360" w:lineRule="auto"/>
        <w:jc w:val="both"/>
        <w:rPr>
          <w:rFonts w:ascii="Arial" w:hAnsi="Arial" w:cs="Arial"/>
        </w:rPr>
      </w:pPr>
      <w:r w:rsidRPr="00A03A9E">
        <w:rPr>
          <w:rFonts w:ascii="Arial" w:hAnsi="Arial" w:cs="Arial"/>
        </w:rPr>
        <w:t xml:space="preserve">El proyecto de reaprovechamiento de la Cancha 100 se enfoca en la recuperación del material almacenado como desmonte en las primeras fases de explotación minera en Cerro Lindo. Este desmonte fue generado cuando las leyes de mineral eran más altas que las actuales, lo que hizo que el material no se valorara económicamente en su momento. Sin embargo, al analizar la historia de la explotación, se ha identificado que </w:t>
      </w:r>
      <w:r w:rsidR="00EF07D2" w:rsidRPr="00A03A9E">
        <w:rPr>
          <w:rFonts w:ascii="Arial" w:hAnsi="Arial" w:cs="Arial"/>
        </w:rPr>
        <w:t xml:space="preserve">las leyes de cabeza del desmonte de ese entonces </w:t>
      </w:r>
      <w:r w:rsidR="00EF07D2" w:rsidRPr="00EF07D2">
        <w:rPr>
          <w:rFonts w:ascii="Arial" w:hAnsi="Arial" w:cs="Arial"/>
        </w:rPr>
        <w:t>ahora podrían generar valor,</w:t>
      </w:r>
      <w:r w:rsidRPr="00A03A9E">
        <w:rPr>
          <w:rFonts w:ascii="Arial" w:hAnsi="Arial" w:cs="Arial"/>
        </w:rPr>
        <w:t xml:space="preserve"> lo que permite su reaprovechamiento.</w:t>
      </w:r>
    </w:p>
    <w:p w14:paraId="049916C9" w14:textId="77777777" w:rsidR="00A03A9E" w:rsidRPr="00A03A9E" w:rsidRDefault="00A03A9E" w:rsidP="00EF07D2">
      <w:pPr>
        <w:spacing w:line="360" w:lineRule="auto"/>
        <w:jc w:val="both"/>
        <w:rPr>
          <w:rFonts w:ascii="Arial" w:hAnsi="Arial" w:cs="Arial"/>
        </w:rPr>
      </w:pPr>
      <w:r w:rsidRPr="00A03A9E">
        <w:rPr>
          <w:rFonts w:ascii="Arial" w:hAnsi="Arial" w:cs="Arial"/>
        </w:rPr>
        <w:t>Además de obtener un beneficio económico, este proyecto tiene un enfoque ambiental crucial, ya que la Cancha 100 representa un pasivo ambiental significativo. Mantener este material almacenado al final de la vida útil de la mina generaría un costo elevado para su manejo y disposición. El proyecto busca no solo maximizar el valor económico del material recuperado, sino también mitigar el impacto ambiental asociado a su mantenimiento.</w:t>
      </w:r>
    </w:p>
    <w:p w14:paraId="000BBCF1" w14:textId="77777777" w:rsidR="00A03A9E" w:rsidRPr="00A03A9E" w:rsidRDefault="00A03A9E" w:rsidP="00EF07D2">
      <w:pPr>
        <w:spacing w:line="360" w:lineRule="auto"/>
        <w:jc w:val="both"/>
        <w:rPr>
          <w:rFonts w:ascii="Arial" w:hAnsi="Arial" w:cs="Arial"/>
        </w:rPr>
      </w:pPr>
    </w:p>
    <w:p w14:paraId="5D5C2B90" w14:textId="77777777" w:rsidR="00A03A9E" w:rsidRPr="00A03A9E" w:rsidRDefault="00A03A9E" w:rsidP="00EF07D2">
      <w:pPr>
        <w:spacing w:line="360" w:lineRule="auto"/>
        <w:jc w:val="both"/>
        <w:rPr>
          <w:rFonts w:ascii="Arial" w:hAnsi="Arial" w:cs="Arial"/>
          <w:b/>
          <w:bCs/>
        </w:rPr>
      </w:pPr>
      <w:r w:rsidRPr="00A03A9E">
        <w:rPr>
          <w:rFonts w:ascii="Arial" w:hAnsi="Arial" w:cs="Arial"/>
          <w:b/>
          <w:bCs/>
        </w:rPr>
        <w:t>2. Objetivos del Proyecto</w:t>
      </w:r>
    </w:p>
    <w:p w14:paraId="012ACECD" w14:textId="77777777" w:rsidR="00A03A9E" w:rsidRPr="00A03A9E" w:rsidRDefault="00A03A9E" w:rsidP="00EF07D2">
      <w:pPr>
        <w:spacing w:line="360" w:lineRule="auto"/>
        <w:jc w:val="both"/>
        <w:rPr>
          <w:rFonts w:ascii="Arial" w:hAnsi="Arial" w:cs="Arial"/>
        </w:rPr>
      </w:pPr>
      <w:r w:rsidRPr="00A03A9E">
        <w:rPr>
          <w:rFonts w:ascii="Arial" w:hAnsi="Arial" w:cs="Arial"/>
        </w:rPr>
        <w:t xml:space="preserve">El principal objetivo es recuperar y valorizar el material almacenado en la Cancha 100, lo que permitirá no solo obtener un beneficio económico, sino también gestionar el pasivo </w:t>
      </w:r>
      <w:r w:rsidRPr="00A03A9E">
        <w:rPr>
          <w:rFonts w:ascii="Arial" w:hAnsi="Arial" w:cs="Arial"/>
        </w:rPr>
        <w:lastRenderedPageBreak/>
        <w:t>ambiental de manera efectiva. Este proyecto busca reducir el costo de mantenimiento del desmonte y aprovechar el material con valor económico, lo que contribuye a mejorar la rentabilidad operativa de la mina. Además, el proyecto tiene un impacto positivo al eliminar un pasivo ambiental que, de no ser gestionado, podría generar costos adicionales al final de la vida útil de la mina.</w:t>
      </w:r>
    </w:p>
    <w:p w14:paraId="624C3489" w14:textId="77777777" w:rsidR="00A03A9E" w:rsidRPr="00A03A9E" w:rsidRDefault="00A03A9E" w:rsidP="00EF07D2">
      <w:pPr>
        <w:spacing w:line="360" w:lineRule="auto"/>
        <w:jc w:val="both"/>
        <w:rPr>
          <w:rFonts w:ascii="Arial" w:hAnsi="Arial" w:cs="Arial"/>
        </w:rPr>
      </w:pPr>
    </w:p>
    <w:p w14:paraId="2088501A" w14:textId="77777777" w:rsidR="00A03A9E" w:rsidRPr="00A03A9E" w:rsidRDefault="00A03A9E" w:rsidP="00EF07D2">
      <w:pPr>
        <w:spacing w:line="360" w:lineRule="auto"/>
        <w:jc w:val="both"/>
        <w:rPr>
          <w:rFonts w:ascii="Arial" w:hAnsi="Arial" w:cs="Arial"/>
          <w:b/>
          <w:bCs/>
        </w:rPr>
      </w:pPr>
      <w:r w:rsidRPr="00A03A9E">
        <w:rPr>
          <w:rFonts w:ascii="Arial" w:hAnsi="Arial" w:cs="Arial"/>
          <w:b/>
          <w:bCs/>
        </w:rPr>
        <w:t>3. Metodología</w:t>
      </w:r>
    </w:p>
    <w:p w14:paraId="47D51544" w14:textId="77777777" w:rsidR="00A03A9E" w:rsidRPr="00A03A9E" w:rsidRDefault="00A03A9E" w:rsidP="00EF07D2">
      <w:pPr>
        <w:spacing w:line="360" w:lineRule="auto"/>
        <w:jc w:val="both"/>
        <w:rPr>
          <w:rFonts w:ascii="Arial" w:hAnsi="Arial" w:cs="Arial"/>
        </w:rPr>
      </w:pPr>
      <w:r w:rsidRPr="00A03A9E">
        <w:rPr>
          <w:rFonts w:ascii="Arial" w:hAnsi="Arial" w:cs="Arial"/>
        </w:rPr>
        <w:t xml:space="preserve">La metodología empleada comenzó con la perforación de dos sondajes RC con el fin de caracterizar </w:t>
      </w:r>
      <w:proofErr w:type="spellStart"/>
      <w:r w:rsidRPr="00A03A9E">
        <w:rPr>
          <w:rFonts w:ascii="Arial" w:hAnsi="Arial" w:cs="Arial"/>
        </w:rPr>
        <w:t>geometálurgicamente</w:t>
      </w:r>
      <w:proofErr w:type="spellEnd"/>
      <w:r w:rsidRPr="00A03A9E">
        <w:rPr>
          <w:rFonts w:ascii="Arial" w:hAnsi="Arial" w:cs="Arial"/>
        </w:rPr>
        <w:t xml:space="preserve"> el material depositado en la Cancha 100. Sin embargo, debido a la presencia de gases sulfurosos en la zona, las perforaciones fueron suspendidas, ya que representaban un riesgo significativo para el personal. Ante esta situación, se intentó realizar calicatas en una plataforma de 5 metros, pero los gases nuevamente impidieron la culminación del trabajo.</w:t>
      </w:r>
    </w:p>
    <w:p w14:paraId="3DA89DBE" w14:textId="77777777" w:rsidR="00A03A9E" w:rsidRPr="00A03A9E" w:rsidRDefault="00A03A9E" w:rsidP="00EF07D2">
      <w:pPr>
        <w:spacing w:line="360" w:lineRule="auto"/>
        <w:jc w:val="both"/>
        <w:rPr>
          <w:rFonts w:ascii="Arial" w:hAnsi="Arial" w:cs="Arial"/>
        </w:rPr>
      </w:pPr>
      <w:r w:rsidRPr="00A03A9E">
        <w:rPr>
          <w:rFonts w:ascii="Arial" w:hAnsi="Arial" w:cs="Arial"/>
        </w:rPr>
        <w:t>Para abordar este desafío, actualmente se están buscando soluciones para neutralizar los gases y garantizar la seguridad de los trabajadores. Se están llevando a cabo reuniones con especialistas en higiene industrial, sumando experiencias de otras operaciones similares, con el objetivo de implementar medidas efectivas de control de gases en la zona.</w:t>
      </w:r>
    </w:p>
    <w:p w14:paraId="08B844CA" w14:textId="77777777" w:rsidR="00A03A9E" w:rsidRPr="00A03A9E" w:rsidRDefault="00A03A9E" w:rsidP="00EF07D2">
      <w:pPr>
        <w:spacing w:line="360" w:lineRule="auto"/>
        <w:jc w:val="both"/>
        <w:rPr>
          <w:rFonts w:ascii="Arial" w:hAnsi="Arial" w:cs="Arial"/>
        </w:rPr>
      </w:pPr>
    </w:p>
    <w:p w14:paraId="2033A6CB" w14:textId="77777777" w:rsidR="00A03A9E" w:rsidRPr="00A03A9E" w:rsidRDefault="00A03A9E" w:rsidP="00EF07D2">
      <w:pPr>
        <w:spacing w:line="360" w:lineRule="auto"/>
        <w:jc w:val="both"/>
        <w:rPr>
          <w:rFonts w:ascii="Arial" w:hAnsi="Arial" w:cs="Arial"/>
          <w:b/>
          <w:bCs/>
        </w:rPr>
      </w:pPr>
      <w:r w:rsidRPr="00A03A9E">
        <w:rPr>
          <w:rFonts w:ascii="Arial" w:hAnsi="Arial" w:cs="Arial"/>
          <w:b/>
          <w:bCs/>
        </w:rPr>
        <w:t>4. Resultados Alcanzados</w:t>
      </w:r>
    </w:p>
    <w:p w14:paraId="24E23077" w14:textId="77777777" w:rsidR="00A03A9E" w:rsidRPr="00A03A9E" w:rsidRDefault="00A03A9E" w:rsidP="00EF07D2">
      <w:pPr>
        <w:spacing w:line="360" w:lineRule="auto"/>
        <w:jc w:val="both"/>
        <w:rPr>
          <w:rFonts w:ascii="Arial" w:hAnsi="Arial" w:cs="Arial"/>
        </w:rPr>
      </w:pPr>
      <w:r w:rsidRPr="00A03A9E">
        <w:rPr>
          <w:rFonts w:ascii="Arial" w:hAnsi="Arial" w:cs="Arial"/>
        </w:rPr>
        <w:t xml:space="preserve">A pesar de las interrupciones causadas por los gases sulfurosos, se ha logrado realizar una valorización preliminar del costo de reaprovechamiento del pasivo ambiental. El costo de producción se ha estimado en 23 USD/t, considerando principalmente el costo de la línea amarilla y el tratamiento en planta. Este costo es fundamental para evaluar la viabilidad económica del proyecto y comprender los beneficios que se pueden obtener no solo desde una perspectiva económica, sino también desde la gestión ambiental. La estimación indica que el 35% del material depositado en la Cancha 100 es </w:t>
      </w:r>
      <w:proofErr w:type="spellStart"/>
      <w:r w:rsidRPr="00A03A9E">
        <w:rPr>
          <w:rFonts w:ascii="Arial" w:hAnsi="Arial" w:cs="Arial"/>
        </w:rPr>
        <w:t>reaprovechable</w:t>
      </w:r>
      <w:proofErr w:type="spellEnd"/>
      <w:r w:rsidRPr="00A03A9E">
        <w:rPr>
          <w:rFonts w:ascii="Arial" w:hAnsi="Arial" w:cs="Arial"/>
        </w:rPr>
        <w:t>, lo que representa una oportunidad significativa para la recuperación de valor en el proyecto.</w:t>
      </w:r>
    </w:p>
    <w:p w14:paraId="106A759B" w14:textId="77777777" w:rsidR="00EF07D2" w:rsidRDefault="00EF07D2" w:rsidP="00EF07D2">
      <w:pPr>
        <w:spacing w:line="360" w:lineRule="auto"/>
        <w:jc w:val="both"/>
        <w:rPr>
          <w:rFonts w:ascii="Arial" w:hAnsi="Arial" w:cs="Arial"/>
          <w:b/>
          <w:bCs/>
        </w:rPr>
      </w:pPr>
    </w:p>
    <w:p w14:paraId="45ACCD6B" w14:textId="73F81C81" w:rsidR="00A03A9E" w:rsidRPr="00A03A9E" w:rsidRDefault="00A03A9E" w:rsidP="00EF07D2">
      <w:pPr>
        <w:spacing w:line="360" w:lineRule="auto"/>
        <w:jc w:val="both"/>
        <w:rPr>
          <w:rFonts w:ascii="Arial" w:hAnsi="Arial" w:cs="Arial"/>
          <w:b/>
          <w:bCs/>
        </w:rPr>
      </w:pPr>
      <w:r w:rsidRPr="00A03A9E">
        <w:rPr>
          <w:rFonts w:ascii="Arial" w:hAnsi="Arial" w:cs="Arial"/>
          <w:b/>
          <w:bCs/>
        </w:rPr>
        <w:t>5. Conclusiones y Recomendaciones</w:t>
      </w:r>
    </w:p>
    <w:p w14:paraId="7A0CDD37" w14:textId="5F2E6EC8" w:rsidR="00A03A9E" w:rsidRPr="00A03A9E" w:rsidRDefault="00A03A9E" w:rsidP="00EF07D2">
      <w:pPr>
        <w:spacing w:line="360" w:lineRule="auto"/>
        <w:jc w:val="both"/>
        <w:rPr>
          <w:rFonts w:ascii="Arial" w:hAnsi="Arial" w:cs="Arial"/>
        </w:rPr>
      </w:pPr>
      <w:r w:rsidRPr="00A03A9E">
        <w:rPr>
          <w:rFonts w:ascii="Arial" w:hAnsi="Arial" w:cs="Arial"/>
        </w:rPr>
        <w:t>El reaprovechamiento de la Cancha 100 representa una oportunidad clave tanto económica como ambiental. La valorización del desmonte ofrece una fuente de ingresos al aprovechar material. Además, la gestión de este pasivo ambiental reducirá significativamente los costos asociados al mantenimiento del desmonte al final de la vida útil de la mina.</w:t>
      </w:r>
    </w:p>
    <w:p w14:paraId="48D49135" w14:textId="77777777" w:rsidR="00976966" w:rsidRDefault="00A03A9E" w:rsidP="00976966">
      <w:pPr>
        <w:spacing w:line="360" w:lineRule="auto"/>
        <w:jc w:val="both"/>
        <w:rPr>
          <w:rFonts w:ascii="Arial" w:hAnsi="Arial" w:cs="Arial"/>
        </w:rPr>
      </w:pPr>
      <w:r w:rsidRPr="00EF07D2">
        <w:rPr>
          <w:rFonts w:ascii="Arial" w:hAnsi="Arial" w:cs="Arial"/>
        </w:rPr>
        <w:lastRenderedPageBreak/>
        <w:t>Es crucial que se continúen los esfuerzos para neutralizar los gases sulfurosos presentes en la zona. Se recomienda seguir colaborando con especialistas en higiene industrial y aplicar soluciones efectivas para asegurar la viabilidad del proyecto, cuya explotación está programada para comenzar en junio de 2025. Este avance no solo contribuirá a la mejora de la rentabilidad operativa, sino que también permitirá cumplir con los estándares ambientales, garantizando un manejo responsable de los pasivos generados.</w:t>
      </w:r>
    </w:p>
    <w:p w14:paraId="2E8B09C6" w14:textId="24BB8470" w:rsidR="0039785B" w:rsidRDefault="0039785B" w:rsidP="00976966">
      <w:pPr>
        <w:spacing w:line="360" w:lineRule="auto"/>
        <w:jc w:val="both"/>
        <w:rPr>
          <w:rFonts w:ascii="Arial" w:hAnsi="Arial" w:cs="Arial"/>
          <w:b/>
        </w:rPr>
      </w:pPr>
      <w:r w:rsidRPr="00EF07D2">
        <w:rPr>
          <w:rFonts w:ascii="Arial" w:hAnsi="Arial" w:cs="Arial"/>
          <w:b/>
        </w:rPr>
        <w:t>Reseña profesional del autor</w:t>
      </w:r>
      <w:r w:rsidR="00A03A9E" w:rsidRPr="00EF07D2">
        <w:rPr>
          <w:rFonts w:ascii="Arial" w:hAnsi="Arial" w:cs="Arial"/>
          <w:b/>
        </w:rPr>
        <w:t xml:space="preserve"> </w:t>
      </w:r>
    </w:p>
    <w:p w14:paraId="530865D7" w14:textId="77777777" w:rsidR="00976966" w:rsidRDefault="00A03A9E" w:rsidP="00976966">
      <w:pPr>
        <w:spacing w:line="360" w:lineRule="auto"/>
        <w:rPr>
          <w:rFonts w:ascii="Arial" w:hAnsi="Arial" w:cs="Arial"/>
          <w:b/>
          <w:bCs/>
          <w:lang w:val="es-PE"/>
        </w:rPr>
      </w:pPr>
      <w:r w:rsidRPr="00A03A9E">
        <w:rPr>
          <w:rFonts w:ascii="Arial" w:hAnsi="Arial" w:cs="Arial"/>
          <w:b/>
          <w:bCs/>
          <w:lang w:val="es-PE"/>
        </w:rPr>
        <w:t>Gianncarlo Zamora Rivera</w:t>
      </w:r>
    </w:p>
    <w:p w14:paraId="0D48E725" w14:textId="40375966" w:rsidR="00A03A9E" w:rsidRPr="00A03A9E" w:rsidRDefault="00976966" w:rsidP="00976966">
      <w:pPr>
        <w:spacing w:line="360" w:lineRule="auto"/>
        <w:jc w:val="both"/>
        <w:rPr>
          <w:rFonts w:ascii="Arial" w:hAnsi="Arial" w:cs="Arial"/>
          <w:lang w:val="es-PE"/>
        </w:rPr>
      </w:pPr>
      <w:r>
        <w:rPr>
          <w:rFonts w:ascii="Arial" w:hAnsi="Arial" w:cs="Arial"/>
        </w:rPr>
        <w:t>G</w:t>
      </w:r>
      <w:r w:rsidRPr="00DC136E">
        <w:rPr>
          <w:rFonts w:ascii="Arial" w:hAnsi="Arial" w:cs="Arial"/>
        </w:rPr>
        <w:t xml:space="preserve">eólogo senior con sólida experiencia en modelamiento geológico </w:t>
      </w:r>
      <w:r w:rsidR="000D2C29">
        <w:rPr>
          <w:rFonts w:ascii="Arial" w:hAnsi="Arial" w:cs="Arial"/>
        </w:rPr>
        <w:t>3D</w:t>
      </w:r>
      <w:r w:rsidRPr="00DC136E">
        <w:rPr>
          <w:rFonts w:ascii="Arial" w:hAnsi="Arial" w:cs="Arial"/>
        </w:rPr>
        <w:t xml:space="preserve">, geoestadística y gestión de bases de datos </w:t>
      </w:r>
      <w:proofErr w:type="spellStart"/>
      <w:r w:rsidRPr="00DC136E">
        <w:rPr>
          <w:rFonts w:ascii="Arial" w:hAnsi="Arial" w:cs="Arial"/>
        </w:rPr>
        <w:t>geocientíficos</w:t>
      </w:r>
      <w:proofErr w:type="spellEnd"/>
      <w:r w:rsidRPr="00DC136E">
        <w:rPr>
          <w:rFonts w:ascii="Arial" w:hAnsi="Arial" w:cs="Arial"/>
        </w:rPr>
        <w:t xml:space="preserve">. Actualmente ocupa el cargo de </w:t>
      </w:r>
      <w:r w:rsidRPr="00DC136E">
        <w:rPr>
          <w:rFonts w:ascii="Arial" w:hAnsi="Arial" w:cs="Arial"/>
          <w:b/>
          <w:bCs/>
        </w:rPr>
        <w:t>Geólogo Senior de Modelamiento en la mina Cerro Lindo</w:t>
      </w:r>
      <w:r w:rsidRPr="00DC136E">
        <w:rPr>
          <w:rFonts w:ascii="Arial" w:hAnsi="Arial" w:cs="Arial"/>
        </w:rPr>
        <w:t xml:space="preserve">, donde lidera la construcción y actualización de modelos geológicos y </w:t>
      </w:r>
      <w:proofErr w:type="spellStart"/>
      <w:r w:rsidRPr="00DC136E">
        <w:rPr>
          <w:rFonts w:ascii="Arial" w:hAnsi="Arial" w:cs="Arial"/>
        </w:rPr>
        <w:t>geometalúrgicos</w:t>
      </w:r>
      <w:proofErr w:type="spellEnd"/>
      <w:r w:rsidRPr="00DC136E">
        <w:rPr>
          <w:rFonts w:ascii="Arial" w:hAnsi="Arial" w:cs="Arial"/>
        </w:rPr>
        <w:t xml:space="preserve"> que sustentan la planificación minera y el control de leyes. Su trabajo ha sido esencial en la implementación de técnicas avanzadas de modelamiento, como la integración de dominios estructurales, litológicos y mineralógicos, permitiendo una representación más precisa del yacimiento. Destaca por su enfoque analítico, dominio de software especializado y capacidad para colaborar eficazmente con equipos multidisciplinarios orientados a la mejora</w:t>
      </w:r>
      <w:r w:rsidR="000D2C29">
        <w:rPr>
          <w:rFonts w:ascii="Arial" w:hAnsi="Arial" w:cs="Arial"/>
        </w:rPr>
        <w:t>.</w:t>
      </w:r>
    </w:p>
    <w:p w14:paraId="2FD8932F" w14:textId="28452077" w:rsidR="00976966" w:rsidRDefault="00976966" w:rsidP="00976966">
      <w:pPr>
        <w:pStyle w:val="Textoindependiente"/>
        <w:spacing w:before="31" w:line="360" w:lineRule="auto"/>
        <w:ind w:left="0"/>
        <w:jc w:val="both"/>
        <w:rPr>
          <w:rFonts w:ascii="Arial" w:hAnsi="Arial" w:cs="Arial"/>
          <w:b/>
        </w:rPr>
      </w:pPr>
      <w:r w:rsidRPr="00CE54EA">
        <w:rPr>
          <w:rFonts w:ascii="Arial" w:hAnsi="Arial" w:cs="Arial"/>
          <w:b/>
          <w:bCs/>
        </w:rPr>
        <w:t>Jhonatan López Álvarez</w:t>
      </w:r>
    </w:p>
    <w:p w14:paraId="311D54F4" w14:textId="03A6D1CB" w:rsidR="00976966" w:rsidRPr="006B72F3" w:rsidRDefault="00976966" w:rsidP="00976966">
      <w:pPr>
        <w:pStyle w:val="Textoindependiente"/>
        <w:spacing w:before="31" w:line="360" w:lineRule="auto"/>
        <w:ind w:left="0"/>
        <w:jc w:val="both"/>
        <w:rPr>
          <w:rFonts w:ascii="Arial" w:hAnsi="Arial" w:cs="Arial"/>
          <w:b/>
        </w:rPr>
      </w:pPr>
      <w:r>
        <w:rPr>
          <w:rFonts w:ascii="Arial" w:hAnsi="Arial" w:cs="Arial"/>
          <w:bCs/>
        </w:rPr>
        <w:t>E</w:t>
      </w:r>
      <w:r w:rsidRPr="00CE54EA">
        <w:rPr>
          <w:rFonts w:ascii="Arial" w:hAnsi="Arial" w:cs="Arial"/>
          <w:bCs/>
        </w:rPr>
        <w:t xml:space="preserve">s geólogo con sólida trayectoria en el sector minero, especializado en geología de mina, control de leyes y modelamiento </w:t>
      </w:r>
      <w:proofErr w:type="spellStart"/>
      <w:r w:rsidRPr="00CE54EA">
        <w:rPr>
          <w:rFonts w:ascii="Arial" w:hAnsi="Arial" w:cs="Arial"/>
          <w:bCs/>
        </w:rPr>
        <w:t>geometalúrgico</w:t>
      </w:r>
      <w:proofErr w:type="spellEnd"/>
      <w:r w:rsidRPr="00CE54EA">
        <w:rPr>
          <w:rFonts w:ascii="Arial" w:hAnsi="Arial" w:cs="Arial"/>
          <w:bCs/>
        </w:rPr>
        <w:t xml:space="preserve">. Actualmente se desempeña como </w:t>
      </w:r>
      <w:proofErr w:type="gramStart"/>
      <w:r w:rsidRPr="00DC136E">
        <w:rPr>
          <w:rFonts w:ascii="Arial" w:hAnsi="Arial" w:cs="Arial"/>
          <w:b/>
        </w:rPr>
        <w:t>Jefe</w:t>
      </w:r>
      <w:proofErr w:type="gramEnd"/>
      <w:r w:rsidRPr="00DC136E">
        <w:rPr>
          <w:rFonts w:ascii="Arial" w:hAnsi="Arial" w:cs="Arial"/>
          <w:b/>
        </w:rPr>
        <w:t xml:space="preserve"> de Geología Mina en la unidad Cerro Lindo</w:t>
      </w:r>
      <w:r w:rsidRPr="00CE54EA">
        <w:rPr>
          <w:rFonts w:ascii="Arial" w:hAnsi="Arial" w:cs="Arial"/>
          <w:bCs/>
        </w:rPr>
        <w:t xml:space="preserve">, una de las operaciones subterráneas más importantes del Perú. Cuenta con una amplia experiencia en la caracterización geológica de depósitos polimetálicos, gestión de datos </w:t>
      </w:r>
      <w:proofErr w:type="spellStart"/>
      <w:r w:rsidRPr="00CE54EA">
        <w:rPr>
          <w:rFonts w:ascii="Arial" w:hAnsi="Arial" w:cs="Arial"/>
          <w:bCs/>
        </w:rPr>
        <w:t>geocientíficos</w:t>
      </w:r>
      <w:proofErr w:type="spellEnd"/>
      <w:r w:rsidRPr="00CE54EA">
        <w:rPr>
          <w:rFonts w:ascii="Arial" w:hAnsi="Arial" w:cs="Arial"/>
          <w:bCs/>
        </w:rPr>
        <w:t xml:space="preserve"> y liderazgo de equipos técnicos multidisciplinarios. </w:t>
      </w:r>
    </w:p>
    <w:p w14:paraId="5555FBBE" w14:textId="77777777" w:rsidR="00976966" w:rsidRDefault="00976966" w:rsidP="00976966">
      <w:pPr>
        <w:spacing w:line="360" w:lineRule="auto"/>
        <w:jc w:val="both"/>
        <w:rPr>
          <w:rFonts w:ascii="Arial" w:hAnsi="Arial" w:cs="Arial"/>
        </w:rPr>
      </w:pPr>
      <w:r w:rsidRPr="00DC136E">
        <w:rPr>
          <w:rFonts w:ascii="Arial" w:hAnsi="Arial" w:cs="Arial"/>
          <w:b/>
          <w:bCs/>
        </w:rPr>
        <w:t xml:space="preserve">Jorge Quispe </w:t>
      </w:r>
      <w:proofErr w:type="spellStart"/>
      <w:r w:rsidRPr="00DC136E">
        <w:rPr>
          <w:rFonts w:ascii="Arial" w:hAnsi="Arial" w:cs="Arial"/>
          <w:b/>
          <w:bCs/>
        </w:rPr>
        <w:t>Cangana</w:t>
      </w:r>
      <w:proofErr w:type="spellEnd"/>
      <w:r w:rsidRPr="00DC136E">
        <w:rPr>
          <w:rFonts w:ascii="Arial" w:hAnsi="Arial" w:cs="Arial"/>
        </w:rPr>
        <w:t xml:space="preserve"> </w:t>
      </w:r>
    </w:p>
    <w:p w14:paraId="0C09F863" w14:textId="1DD373E6" w:rsidR="00B60FEA" w:rsidRPr="00EF07D2" w:rsidRDefault="00976966" w:rsidP="00EF07D2">
      <w:pPr>
        <w:spacing w:line="360" w:lineRule="auto"/>
        <w:jc w:val="both"/>
        <w:rPr>
          <w:rFonts w:ascii="Arial" w:hAnsi="Arial" w:cs="Arial"/>
        </w:rPr>
      </w:pPr>
      <w:r>
        <w:rPr>
          <w:rFonts w:ascii="Arial" w:hAnsi="Arial" w:cs="Arial"/>
        </w:rPr>
        <w:t>E</w:t>
      </w:r>
      <w:r w:rsidRPr="00DC136E">
        <w:rPr>
          <w:rFonts w:ascii="Arial" w:hAnsi="Arial" w:cs="Arial"/>
        </w:rPr>
        <w:t xml:space="preserve">s geólogo con más de 20 años de experiencia en la industria minera, especializado en exploración, geología estructural, modelamiento geológico y gestión estratégica de recursos minerales. Actualmente se desempeña como </w:t>
      </w:r>
      <w:r w:rsidRPr="00DC136E">
        <w:rPr>
          <w:rFonts w:ascii="Arial" w:hAnsi="Arial" w:cs="Arial"/>
          <w:b/>
          <w:bCs/>
        </w:rPr>
        <w:t>Gerente de Geología en la unidad minera Cerro Lindo</w:t>
      </w:r>
      <w:r w:rsidRPr="00DC136E">
        <w:rPr>
          <w:rFonts w:ascii="Arial" w:hAnsi="Arial" w:cs="Arial"/>
        </w:rPr>
        <w:t xml:space="preserve">, donde lidera la planificación y ejecución de los programas geológicos, desde la exploración hasta el soporte operativo. Su enfoque técnico y estratégico ha sido clave en la optimización de modelos geológicos de yacimientos polimetálicos complejos, así como en la integración de variables </w:t>
      </w:r>
      <w:proofErr w:type="spellStart"/>
      <w:r w:rsidRPr="00DC136E">
        <w:rPr>
          <w:rFonts w:ascii="Arial" w:hAnsi="Arial" w:cs="Arial"/>
        </w:rPr>
        <w:t>geometalúrgicas</w:t>
      </w:r>
      <w:proofErr w:type="spellEnd"/>
      <w:r w:rsidRPr="00DC136E">
        <w:rPr>
          <w:rFonts w:ascii="Arial" w:hAnsi="Arial" w:cs="Arial"/>
        </w:rPr>
        <w:t xml:space="preserve"> para fortalecer la toma de decisiones. Su trayectoria incluye roles de liderazgo en diversas operaciones mineras del Perú, con un enfoque constante en la innovación tecnológica, el desarrollo de talento técnico y la mejora continua de procesos</w:t>
      </w:r>
      <w:r>
        <w:rPr>
          <w:rFonts w:ascii="Arial" w:hAnsi="Arial" w:cs="Arial"/>
        </w:rPr>
        <w:t>.</w:t>
      </w:r>
    </w:p>
    <w:sectPr w:rsidR="00B60FEA" w:rsidRPr="00EF07D2" w:rsidSect="00EF07D2">
      <w:headerReference w:type="default" r:id="rId11"/>
      <w:pgSz w:w="11910" w:h="16840"/>
      <w:pgMar w:top="1700" w:right="1559" w:bottom="1418" w:left="1700"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814B" w14:textId="77777777" w:rsidR="00092286" w:rsidRDefault="00092286" w:rsidP="0039785B">
      <w:r>
        <w:separator/>
      </w:r>
    </w:p>
  </w:endnote>
  <w:endnote w:type="continuationSeparator" w:id="0">
    <w:p w14:paraId="25B588A6" w14:textId="77777777" w:rsidR="00092286" w:rsidRDefault="00092286" w:rsidP="00397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205E" w14:textId="77777777" w:rsidR="00092286" w:rsidRDefault="00092286" w:rsidP="0039785B">
      <w:r>
        <w:separator/>
      </w:r>
    </w:p>
  </w:footnote>
  <w:footnote w:type="continuationSeparator" w:id="0">
    <w:p w14:paraId="0E71FA3A" w14:textId="77777777" w:rsidR="00092286" w:rsidRDefault="00092286" w:rsidP="00397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5B5D" w14:textId="6C733689" w:rsidR="00C35B39" w:rsidRDefault="0039785B">
    <w:pPr>
      <w:pStyle w:val="Textoindependiente"/>
      <w:spacing w:line="14" w:lineRule="auto"/>
      <w:ind w:left="0"/>
      <w:rPr>
        <w:sz w:val="20"/>
      </w:rPr>
    </w:pPr>
    <w:r>
      <w:rPr>
        <w:noProof/>
        <w14:ligatures w14:val="standardContextual"/>
      </w:rPr>
      <w:drawing>
        <wp:inline distT="0" distB="0" distL="0" distR="0" wp14:anchorId="1B0013EB" wp14:editId="562B0109">
          <wp:extent cx="5957179" cy="734060"/>
          <wp:effectExtent l="0" t="0" r="5715" b="8890"/>
          <wp:docPr id="1862463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2456" name=""/>
                  <pic:cNvPicPr/>
                </pic:nvPicPr>
                <pic:blipFill>
                  <a:blip r:embed="rId1"/>
                  <a:stretch>
                    <a:fillRect/>
                  </a:stretch>
                </pic:blipFill>
                <pic:spPr>
                  <a:xfrm>
                    <a:off x="0" y="0"/>
                    <a:ext cx="5959068" cy="7342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4F49"/>
    <w:multiLevelType w:val="hybridMultilevel"/>
    <w:tmpl w:val="B852C29A"/>
    <w:lvl w:ilvl="0" w:tplc="B01CC07E">
      <w:start w:val="1"/>
      <w:numFmt w:val="bullet"/>
      <w:lvlText w:val=""/>
      <w:lvlJc w:val="left"/>
      <w:pPr>
        <w:ind w:left="722" w:hanging="360"/>
      </w:pPr>
      <w:rPr>
        <w:rFonts w:ascii="Symbol" w:hAnsi="Symbol" w:hint="default"/>
        <w:color w:val="000000" w:themeColor="text1"/>
      </w:rPr>
    </w:lvl>
    <w:lvl w:ilvl="1" w:tplc="280A0003" w:tentative="1">
      <w:start w:val="1"/>
      <w:numFmt w:val="bullet"/>
      <w:lvlText w:val="o"/>
      <w:lvlJc w:val="left"/>
      <w:pPr>
        <w:ind w:left="1442" w:hanging="360"/>
      </w:pPr>
      <w:rPr>
        <w:rFonts w:ascii="Courier New" w:hAnsi="Courier New" w:cs="Courier New" w:hint="default"/>
      </w:rPr>
    </w:lvl>
    <w:lvl w:ilvl="2" w:tplc="280A0005" w:tentative="1">
      <w:start w:val="1"/>
      <w:numFmt w:val="bullet"/>
      <w:lvlText w:val=""/>
      <w:lvlJc w:val="left"/>
      <w:pPr>
        <w:ind w:left="2162" w:hanging="360"/>
      </w:pPr>
      <w:rPr>
        <w:rFonts w:ascii="Wingdings" w:hAnsi="Wingdings" w:hint="default"/>
      </w:rPr>
    </w:lvl>
    <w:lvl w:ilvl="3" w:tplc="280A0001" w:tentative="1">
      <w:start w:val="1"/>
      <w:numFmt w:val="bullet"/>
      <w:lvlText w:val=""/>
      <w:lvlJc w:val="left"/>
      <w:pPr>
        <w:ind w:left="2882" w:hanging="360"/>
      </w:pPr>
      <w:rPr>
        <w:rFonts w:ascii="Symbol" w:hAnsi="Symbol" w:hint="default"/>
      </w:rPr>
    </w:lvl>
    <w:lvl w:ilvl="4" w:tplc="280A0003" w:tentative="1">
      <w:start w:val="1"/>
      <w:numFmt w:val="bullet"/>
      <w:lvlText w:val="o"/>
      <w:lvlJc w:val="left"/>
      <w:pPr>
        <w:ind w:left="3602" w:hanging="360"/>
      </w:pPr>
      <w:rPr>
        <w:rFonts w:ascii="Courier New" w:hAnsi="Courier New" w:cs="Courier New" w:hint="default"/>
      </w:rPr>
    </w:lvl>
    <w:lvl w:ilvl="5" w:tplc="280A0005" w:tentative="1">
      <w:start w:val="1"/>
      <w:numFmt w:val="bullet"/>
      <w:lvlText w:val=""/>
      <w:lvlJc w:val="left"/>
      <w:pPr>
        <w:ind w:left="4322" w:hanging="360"/>
      </w:pPr>
      <w:rPr>
        <w:rFonts w:ascii="Wingdings" w:hAnsi="Wingdings" w:hint="default"/>
      </w:rPr>
    </w:lvl>
    <w:lvl w:ilvl="6" w:tplc="280A0001" w:tentative="1">
      <w:start w:val="1"/>
      <w:numFmt w:val="bullet"/>
      <w:lvlText w:val=""/>
      <w:lvlJc w:val="left"/>
      <w:pPr>
        <w:ind w:left="5042" w:hanging="360"/>
      </w:pPr>
      <w:rPr>
        <w:rFonts w:ascii="Symbol" w:hAnsi="Symbol" w:hint="default"/>
      </w:rPr>
    </w:lvl>
    <w:lvl w:ilvl="7" w:tplc="280A0003" w:tentative="1">
      <w:start w:val="1"/>
      <w:numFmt w:val="bullet"/>
      <w:lvlText w:val="o"/>
      <w:lvlJc w:val="left"/>
      <w:pPr>
        <w:ind w:left="5762" w:hanging="360"/>
      </w:pPr>
      <w:rPr>
        <w:rFonts w:ascii="Courier New" w:hAnsi="Courier New" w:cs="Courier New" w:hint="default"/>
      </w:rPr>
    </w:lvl>
    <w:lvl w:ilvl="8" w:tplc="280A0005" w:tentative="1">
      <w:start w:val="1"/>
      <w:numFmt w:val="bullet"/>
      <w:lvlText w:val=""/>
      <w:lvlJc w:val="left"/>
      <w:pPr>
        <w:ind w:left="6482" w:hanging="360"/>
      </w:pPr>
      <w:rPr>
        <w:rFonts w:ascii="Wingdings" w:hAnsi="Wingdings" w:hint="default"/>
      </w:rPr>
    </w:lvl>
  </w:abstractNum>
  <w:num w:numId="1" w16cid:durableId="157970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5B"/>
    <w:rsid w:val="00092286"/>
    <w:rsid w:val="000B614E"/>
    <w:rsid w:val="000D2C29"/>
    <w:rsid w:val="0039785B"/>
    <w:rsid w:val="004A6013"/>
    <w:rsid w:val="00706EFE"/>
    <w:rsid w:val="00976966"/>
    <w:rsid w:val="00A03A9E"/>
    <w:rsid w:val="00B55F56"/>
    <w:rsid w:val="00B60FEA"/>
    <w:rsid w:val="00C35B39"/>
    <w:rsid w:val="00C43153"/>
    <w:rsid w:val="00CE051E"/>
    <w:rsid w:val="00DC5E6B"/>
    <w:rsid w:val="00EF07D2"/>
    <w:rsid w:val="00F271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A92D"/>
  <w15:chartTrackingRefBased/>
  <w15:docId w15:val="{6353B2AE-ED76-4C7C-99A9-7FB93480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85B"/>
    <w:pPr>
      <w:widowControl w:val="0"/>
      <w:autoSpaceDE w:val="0"/>
      <w:autoSpaceDN w:val="0"/>
      <w:spacing w:after="0" w:line="240" w:lineRule="auto"/>
    </w:pPr>
    <w:rPr>
      <w:rFonts w:ascii="Arial MT" w:eastAsia="Arial MT" w:hAnsi="Arial MT" w:cs="Arial MT"/>
      <w:kern w:val="0"/>
      <w:lang w:val="es-ES"/>
      <w14:ligatures w14:val="none"/>
    </w:rPr>
  </w:style>
  <w:style w:type="paragraph" w:styleId="Ttulo1">
    <w:name w:val="heading 1"/>
    <w:basedOn w:val="Normal"/>
    <w:next w:val="Normal"/>
    <w:link w:val="Ttulo1Car"/>
    <w:uiPriority w:val="9"/>
    <w:qFormat/>
    <w:rsid w:val="0039785B"/>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14:ligatures w14:val="standardContextual"/>
    </w:rPr>
  </w:style>
  <w:style w:type="paragraph" w:styleId="Ttulo2">
    <w:name w:val="heading 2"/>
    <w:basedOn w:val="Normal"/>
    <w:next w:val="Normal"/>
    <w:link w:val="Ttulo2Car"/>
    <w:uiPriority w:val="9"/>
    <w:semiHidden/>
    <w:unhideWhenUsed/>
    <w:qFormat/>
    <w:rsid w:val="0039785B"/>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14:ligatures w14:val="standardContextual"/>
    </w:rPr>
  </w:style>
  <w:style w:type="paragraph" w:styleId="Ttulo3">
    <w:name w:val="heading 3"/>
    <w:basedOn w:val="Normal"/>
    <w:next w:val="Normal"/>
    <w:link w:val="Ttulo3Car"/>
    <w:uiPriority w:val="9"/>
    <w:semiHidden/>
    <w:unhideWhenUsed/>
    <w:qFormat/>
    <w:rsid w:val="0039785B"/>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14:ligatures w14:val="standardContextual"/>
    </w:rPr>
  </w:style>
  <w:style w:type="paragraph" w:styleId="Ttulo4">
    <w:name w:val="heading 4"/>
    <w:basedOn w:val="Normal"/>
    <w:next w:val="Normal"/>
    <w:link w:val="Ttulo4Car"/>
    <w:uiPriority w:val="9"/>
    <w:semiHidden/>
    <w:unhideWhenUsed/>
    <w:qFormat/>
    <w:rsid w:val="0039785B"/>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s-PE"/>
      <w14:ligatures w14:val="standardContextual"/>
    </w:rPr>
  </w:style>
  <w:style w:type="paragraph" w:styleId="Ttulo5">
    <w:name w:val="heading 5"/>
    <w:basedOn w:val="Normal"/>
    <w:next w:val="Normal"/>
    <w:link w:val="Ttulo5Car"/>
    <w:uiPriority w:val="9"/>
    <w:semiHidden/>
    <w:unhideWhenUsed/>
    <w:qFormat/>
    <w:rsid w:val="0039785B"/>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s-PE"/>
      <w14:ligatures w14:val="standardContextual"/>
    </w:rPr>
  </w:style>
  <w:style w:type="paragraph" w:styleId="Ttulo6">
    <w:name w:val="heading 6"/>
    <w:basedOn w:val="Normal"/>
    <w:next w:val="Normal"/>
    <w:link w:val="Ttulo6Car"/>
    <w:uiPriority w:val="9"/>
    <w:semiHidden/>
    <w:unhideWhenUsed/>
    <w:qFormat/>
    <w:rsid w:val="0039785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s-PE"/>
      <w14:ligatures w14:val="standardContextual"/>
    </w:rPr>
  </w:style>
  <w:style w:type="paragraph" w:styleId="Ttulo7">
    <w:name w:val="heading 7"/>
    <w:basedOn w:val="Normal"/>
    <w:next w:val="Normal"/>
    <w:link w:val="Ttulo7Car"/>
    <w:uiPriority w:val="9"/>
    <w:semiHidden/>
    <w:unhideWhenUsed/>
    <w:qFormat/>
    <w:rsid w:val="0039785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s-PE"/>
      <w14:ligatures w14:val="standardContextual"/>
    </w:rPr>
  </w:style>
  <w:style w:type="paragraph" w:styleId="Ttulo8">
    <w:name w:val="heading 8"/>
    <w:basedOn w:val="Normal"/>
    <w:next w:val="Normal"/>
    <w:link w:val="Ttulo8Car"/>
    <w:uiPriority w:val="9"/>
    <w:semiHidden/>
    <w:unhideWhenUsed/>
    <w:qFormat/>
    <w:rsid w:val="0039785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s-PE"/>
      <w14:ligatures w14:val="standardContextual"/>
    </w:rPr>
  </w:style>
  <w:style w:type="paragraph" w:styleId="Ttulo9">
    <w:name w:val="heading 9"/>
    <w:basedOn w:val="Normal"/>
    <w:next w:val="Normal"/>
    <w:link w:val="Ttulo9Car"/>
    <w:uiPriority w:val="9"/>
    <w:semiHidden/>
    <w:unhideWhenUsed/>
    <w:qFormat/>
    <w:rsid w:val="0039785B"/>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s-P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8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78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78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78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78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78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8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8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85B"/>
    <w:rPr>
      <w:rFonts w:eastAsiaTheme="majorEastAsia" w:cstheme="majorBidi"/>
      <w:color w:val="272727" w:themeColor="text1" w:themeTint="D8"/>
    </w:rPr>
  </w:style>
  <w:style w:type="paragraph" w:styleId="Ttulo">
    <w:name w:val="Title"/>
    <w:basedOn w:val="Normal"/>
    <w:next w:val="Normal"/>
    <w:link w:val="TtuloCar"/>
    <w:uiPriority w:val="10"/>
    <w:qFormat/>
    <w:rsid w:val="0039785B"/>
    <w:pPr>
      <w:widowControl/>
      <w:autoSpaceDE/>
      <w:autoSpaceDN/>
      <w:spacing w:after="80"/>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3978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85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3978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85B"/>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s-PE"/>
      <w14:ligatures w14:val="standardContextual"/>
    </w:rPr>
  </w:style>
  <w:style w:type="character" w:customStyle="1" w:styleId="CitaCar">
    <w:name w:val="Cita Car"/>
    <w:basedOn w:val="Fuentedeprrafopredeter"/>
    <w:link w:val="Cita"/>
    <w:uiPriority w:val="29"/>
    <w:rsid w:val="0039785B"/>
    <w:rPr>
      <w:i/>
      <w:iCs/>
      <w:color w:val="404040" w:themeColor="text1" w:themeTint="BF"/>
    </w:rPr>
  </w:style>
  <w:style w:type="paragraph" w:styleId="Prrafodelista">
    <w:name w:val="List Paragraph"/>
    <w:basedOn w:val="Normal"/>
    <w:uiPriority w:val="34"/>
    <w:qFormat/>
    <w:rsid w:val="0039785B"/>
    <w:pPr>
      <w:widowControl/>
      <w:autoSpaceDE/>
      <w:autoSpaceDN/>
      <w:spacing w:after="160" w:line="259" w:lineRule="auto"/>
      <w:ind w:left="720"/>
      <w:contextualSpacing/>
    </w:pPr>
    <w:rPr>
      <w:rFonts w:asciiTheme="minorHAnsi" w:eastAsiaTheme="minorHAnsi" w:hAnsiTheme="minorHAnsi" w:cstheme="minorBidi"/>
      <w:kern w:val="2"/>
      <w:lang w:val="es-PE"/>
      <w14:ligatures w14:val="standardContextual"/>
    </w:rPr>
  </w:style>
  <w:style w:type="character" w:styleId="nfasisintenso">
    <w:name w:val="Intense Emphasis"/>
    <w:basedOn w:val="Fuentedeprrafopredeter"/>
    <w:uiPriority w:val="21"/>
    <w:qFormat/>
    <w:rsid w:val="0039785B"/>
    <w:rPr>
      <w:i/>
      <w:iCs/>
      <w:color w:val="0F4761" w:themeColor="accent1" w:themeShade="BF"/>
    </w:rPr>
  </w:style>
  <w:style w:type="paragraph" w:styleId="Citadestacada">
    <w:name w:val="Intense Quote"/>
    <w:basedOn w:val="Normal"/>
    <w:next w:val="Normal"/>
    <w:link w:val="CitadestacadaCar"/>
    <w:uiPriority w:val="30"/>
    <w:qFormat/>
    <w:rsid w:val="0039785B"/>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s-PE"/>
      <w14:ligatures w14:val="standardContextual"/>
    </w:rPr>
  </w:style>
  <w:style w:type="character" w:customStyle="1" w:styleId="CitadestacadaCar">
    <w:name w:val="Cita destacada Car"/>
    <w:basedOn w:val="Fuentedeprrafopredeter"/>
    <w:link w:val="Citadestacada"/>
    <w:uiPriority w:val="30"/>
    <w:rsid w:val="0039785B"/>
    <w:rPr>
      <w:i/>
      <w:iCs/>
      <w:color w:val="0F4761" w:themeColor="accent1" w:themeShade="BF"/>
    </w:rPr>
  </w:style>
  <w:style w:type="character" w:styleId="Referenciaintensa">
    <w:name w:val="Intense Reference"/>
    <w:basedOn w:val="Fuentedeprrafopredeter"/>
    <w:uiPriority w:val="32"/>
    <w:qFormat/>
    <w:rsid w:val="0039785B"/>
    <w:rPr>
      <w:b/>
      <w:bCs/>
      <w:smallCaps/>
      <w:color w:val="0F4761" w:themeColor="accent1" w:themeShade="BF"/>
      <w:spacing w:val="5"/>
    </w:rPr>
  </w:style>
  <w:style w:type="paragraph" w:styleId="Textoindependiente">
    <w:name w:val="Body Text"/>
    <w:basedOn w:val="Normal"/>
    <w:link w:val="TextoindependienteCar"/>
    <w:uiPriority w:val="1"/>
    <w:qFormat/>
    <w:rsid w:val="0039785B"/>
    <w:pPr>
      <w:ind w:left="2"/>
    </w:pPr>
  </w:style>
  <w:style w:type="character" w:customStyle="1" w:styleId="TextoindependienteCar">
    <w:name w:val="Texto independiente Car"/>
    <w:basedOn w:val="Fuentedeprrafopredeter"/>
    <w:link w:val="Textoindependiente"/>
    <w:uiPriority w:val="1"/>
    <w:rsid w:val="0039785B"/>
    <w:rPr>
      <w:rFonts w:ascii="Arial MT" w:eastAsia="Arial MT" w:hAnsi="Arial MT" w:cs="Arial MT"/>
      <w:kern w:val="0"/>
      <w:lang w:val="es-ES"/>
      <w14:ligatures w14:val="none"/>
    </w:rPr>
  </w:style>
  <w:style w:type="paragraph" w:styleId="Encabezado">
    <w:name w:val="header"/>
    <w:basedOn w:val="Normal"/>
    <w:link w:val="EncabezadoCar"/>
    <w:uiPriority w:val="99"/>
    <w:unhideWhenUsed/>
    <w:rsid w:val="0039785B"/>
    <w:pPr>
      <w:tabs>
        <w:tab w:val="center" w:pos="4252"/>
        <w:tab w:val="right" w:pos="8504"/>
      </w:tabs>
    </w:pPr>
  </w:style>
  <w:style w:type="character" w:customStyle="1" w:styleId="EncabezadoCar">
    <w:name w:val="Encabezado Car"/>
    <w:basedOn w:val="Fuentedeprrafopredeter"/>
    <w:link w:val="Encabezado"/>
    <w:uiPriority w:val="99"/>
    <w:rsid w:val="0039785B"/>
    <w:rPr>
      <w:rFonts w:ascii="Arial MT" w:eastAsia="Arial MT" w:hAnsi="Arial MT" w:cs="Arial MT"/>
      <w:kern w:val="0"/>
      <w:lang w:val="es-ES"/>
      <w14:ligatures w14:val="none"/>
    </w:rPr>
  </w:style>
  <w:style w:type="paragraph" w:styleId="Piedepgina">
    <w:name w:val="footer"/>
    <w:basedOn w:val="Normal"/>
    <w:link w:val="PiedepginaCar"/>
    <w:uiPriority w:val="99"/>
    <w:unhideWhenUsed/>
    <w:rsid w:val="0039785B"/>
    <w:pPr>
      <w:tabs>
        <w:tab w:val="center" w:pos="4252"/>
        <w:tab w:val="right" w:pos="8504"/>
      </w:tabs>
    </w:pPr>
  </w:style>
  <w:style w:type="character" w:customStyle="1" w:styleId="PiedepginaCar">
    <w:name w:val="Pie de página Car"/>
    <w:basedOn w:val="Fuentedeprrafopredeter"/>
    <w:link w:val="Piedepgina"/>
    <w:uiPriority w:val="99"/>
    <w:rsid w:val="0039785B"/>
    <w:rPr>
      <w:rFonts w:ascii="Arial MT" w:eastAsia="Arial MT" w:hAnsi="Arial MT" w:cs="Arial MT"/>
      <w:kern w:val="0"/>
      <w:lang w:val="es-ES"/>
      <w14:ligatures w14:val="none"/>
    </w:rPr>
  </w:style>
  <w:style w:type="character" w:styleId="Hipervnculo">
    <w:name w:val="Hyperlink"/>
    <w:basedOn w:val="Fuentedeprrafopredeter"/>
    <w:uiPriority w:val="99"/>
    <w:unhideWhenUsed/>
    <w:rsid w:val="009769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9402">
      <w:bodyDiv w:val="1"/>
      <w:marLeft w:val="0"/>
      <w:marRight w:val="0"/>
      <w:marTop w:val="0"/>
      <w:marBottom w:val="0"/>
      <w:divBdr>
        <w:top w:val="none" w:sz="0" w:space="0" w:color="auto"/>
        <w:left w:val="none" w:sz="0" w:space="0" w:color="auto"/>
        <w:bottom w:val="none" w:sz="0" w:space="0" w:color="auto"/>
        <w:right w:val="none" w:sz="0" w:space="0" w:color="auto"/>
      </w:divBdr>
    </w:div>
    <w:div w:id="555242497">
      <w:bodyDiv w:val="1"/>
      <w:marLeft w:val="0"/>
      <w:marRight w:val="0"/>
      <w:marTop w:val="0"/>
      <w:marBottom w:val="0"/>
      <w:divBdr>
        <w:top w:val="none" w:sz="0" w:space="0" w:color="auto"/>
        <w:left w:val="none" w:sz="0" w:space="0" w:color="auto"/>
        <w:bottom w:val="none" w:sz="0" w:space="0" w:color="auto"/>
        <w:right w:val="none" w:sz="0" w:space="0" w:color="auto"/>
      </w:divBdr>
    </w:div>
    <w:div w:id="875237470">
      <w:bodyDiv w:val="1"/>
      <w:marLeft w:val="0"/>
      <w:marRight w:val="0"/>
      <w:marTop w:val="0"/>
      <w:marBottom w:val="0"/>
      <w:divBdr>
        <w:top w:val="none" w:sz="0" w:space="0" w:color="auto"/>
        <w:left w:val="none" w:sz="0" w:space="0" w:color="auto"/>
        <w:bottom w:val="none" w:sz="0" w:space="0" w:color="auto"/>
        <w:right w:val="none" w:sz="0" w:space="0" w:color="auto"/>
      </w:divBdr>
    </w:div>
    <w:div w:id="1360349748">
      <w:bodyDiv w:val="1"/>
      <w:marLeft w:val="0"/>
      <w:marRight w:val="0"/>
      <w:marTop w:val="0"/>
      <w:marBottom w:val="0"/>
      <w:divBdr>
        <w:top w:val="none" w:sz="0" w:space="0" w:color="auto"/>
        <w:left w:val="none" w:sz="0" w:space="0" w:color="auto"/>
        <w:bottom w:val="none" w:sz="0" w:space="0" w:color="auto"/>
        <w:right w:val="none" w:sz="0" w:space="0" w:color="auto"/>
      </w:divBdr>
    </w:div>
    <w:div w:id="152124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honatan.lopez@nexaresource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ianncarlo.zamora@nexaresource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Jorge.quispe@nexaresources.com" TargetMode="External"/><Relationship Id="rId4" Type="http://schemas.openxmlformats.org/officeDocument/2006/relationships/webSettings" Target="webSettings.xml"/><Relationship Id="rId9" Type="http://schemas.openxmlformats.org/officeDocument/2006/relationships/hyperlink" Target="mailto:jhonloalv@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1096</Words>
  <Characters>6028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Lopez</dc:creator>
  <cp:keywords/>
  <dc:description/>
  <cp:lastModifiedBy>Gianncarlo Zamora</cp:lastModifiedBy>
  <cp:revision>5</cp:revision>
  <dcterms:created xsi:type="dcterms:W3CDTF">2025-05-13T03:38:00Z</dcterms:created>
  <dcterms:modified xsi:type="dcterms:W3CDTF">2025-05-13T03:52:00Z</dcterms:modified>
</cp:coreProperties>
</file>