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1078C" w14:textId="77777777" w:rsidR="00656FFA" w:rsidRDefault="00785D26" w:rsidP="00656FFA">
      <w:pPr>
        <w:spacing w:after="0" w:line="360" w:lineRule="auto"/>
        <w:jc w:val="both"/>
        <w:rPr>
          <w:rFonts w:ascii="Arial" w:hAnsi="Arial" w:cs="Arial"/>
          <w:b/>
          <w:bCs/>
          <w:sz w:val="22"/>
          <w:szCs w:val="22"/>
        </w:rPr>
      </w:pPr>
      <w:r w:rsidRPr="00785D26">
        <w:rPr>
          <w:rFonts w:ascii="Arial" w:hAnsi="Arial" w:cs="Arial"/>
          <w:b/>
          <w:bCs/>
          <w:sz w:val="22"/>
          <w:szCs w:val="22"/>
        </w:rPr>
        <w:t xml:space="preserve">Título del trabajo: </w:t>
      </w:r>
      <w:r w:rsidRPr="00785D26">
        <w:rPr>
          <w:rFonts w:ascii="Arial" w:hAnsi="Arial" w:cs="Arial"/>
          <w:sz w:val="22"/>
          <w:szCs w:val="22"/>
        </w:rPr>
        <w:t>Enfoque Multicriterio y Modular para la Transición de Rajo Abierto a Minería Subterránea: Concepto de De-</w:t>
      </w:r>
      <w:proofErr w:type="spellStart"/>
      <w:r w:rsidRPr="00785D26">
        <w:rPr>
          <w:rFonts w:ascii="Arial" w:hAnsi="Arial" w:cs="Arial"/>
          <w:sz w:val="22"/>
          <w:szCs w:val="22"/>
        </w:rPr>
        <w:t>Risking.</w:t>
      </w:r>
      <w:proofErr w:type="spellEnd"/>
    </w:p>
    <w:p w14:paraId="072D0E78" w14:textId="5A1EBE22" w:rsidR="00656FFA" w:rsidRPr="00656FFA" w:rsidRDefault="00656FFA" w:rsidP="00656FFA">
      <w:pPr>
        <w:spacing w:after="0" w:line="360" w:lineRule="auto"/>
        <w:jc w:val="both"/>
        <w:rPr>
          <w:rFonts w:ascii="Arial" w:hAnsi="Arial" w:cs="Arial"/>
          <w:b/>
          <w:bCs/>
          <w:sz w:val="22"/>
          <w:szCs w:val="22"/>
        </w:rPr>
      </w:pPr>
      <w:r w:rsidRPr="00AD5454">
        <w:rPr>
          <w:rFonts w:ascii="Arial" w:hAnsi="Arial" w:cs="Arial"/>
          <w:b/>
          <w:bCs/>
          <w:sz w:val="22"/>
          <w:szCs w:val="22"/>
        </w:rPr>
        <w:t>Tema 2:</w:t>
      </w:r>
      <w:r w:rsidRPr="00AD5454">
        <w:rPr>
          <w:rFonts w:ascii="Arial" w:hAnsi="Arial" w:cs="Arial"/>
          <w:sz w:val="22"/>
          <w:szCs w:val="22"/>
        </w:rPr>
        <w:t xml:space="preserve"> </w:t>
      </w:r>
      <w:r w:rsidRPr="00AD5454">
        <w:rPr>
          <w:rFonts w:ascii="Arial" w:hAnsi="Arial" w:cs="Arial"/>
          <w:sz w:val="22"/>
          <w:szCs w:val="22"/>
          <w:lang w:val="es-CL"/>
        </w:rPr>
        <w:t>Planeamiento de Minado</w:t>
      </w:r>
    </w:p>
    <w:p w14:paraId="2DB563EF" w14:textId="77777777" w:rsidR="00656FFA" w:rsidRPr="00AD5454" w:rsidRDefault="00656FFA" w:rsidP="00656FFA">
      <w:pPr>
        <w:spacing w:after="0" w:line="360" w:lineRule="auto"/>
        <w:jc w:val="both"/>
        <w:rPr>
          <w:rFonts w:ascii="Arial" w:hAnsi="Arial" w:cs="Arial"/>
          <w:b/>
          <w:bCs/>
          <w:sz w:val="22"/>
          <w:szCs w:val="22"/>
        </w:rPr>
      </w:pPr>
      <w:r w:rsidRPr="00AD5454">
        <w:rPr>
          <w:rFonts w:ascii="Arial" w:hAnsi="Arial" w:cs="Arial"/>
          <w:b/>
          <w:bCs/>
          <w:sz w:val="22"/>
          <w:szCs w:val="22"/>
        </w:rPr>
        <w:t xml:space="preserve">Categoría III: </w:t>
      </w:r>
      <w:r w:rsidRPr="00AD5454">
        <w:rPr>
          <w:rFonts w:ascii="Arial" w:hAnsi="Arial" w:cs="Arial"/>
          <w:sz w:val="22"/>
          <w:szCs w:val="22"/>
        </w:rPr>
        <w:t>Operaciones Mineras y Gestión de Activos</w:t>
      </w:r>
    </w:p>
    <w:p w14:paraId="2CEA34DA" w14:textId="5DD71C58" w:rsidR="00785D26" w:rsidRPr="00785D26" w:rsidRDefault="00785D26" w:rsidP="00785D26">
      <w:pPr>
        <w:spacing w:after="0" w:line="360" w:lineRule="auto"/>
        <w:rPr>
          <w:rFonts w:ascii="Arial" w:hAnsi="Arial" w:cs="Arial"/>
          <w:b/>
          <w:bCs/>
          <w:sz w:val="22"/>
          <w:szCs w:val="22"/>
        </w:rPr>
      </w:pPr>
      <w:r w:rsidRPr="00785D26">
        <w:rPr>
          <w:rFonts w:ascii="Arial" w:hAnsi="Arial" w:cs="Arial"/>
          <w:b/>
          <w:bCs/>
          <w:sz w:val="22"/>
          <w:szCs w:val="22"/>
        </w:rPr>
        <w:t xml:space="preserve">Datos del autor </w:t>
      </w:r>
      <w:r w:rsidR="00656FFA">
        <w:rPr>
          <w:rFonts w:ascii="Arial" w:hAnsi="Arial" w:cs="Arial"/>
          <w:b/>
          <w:bCs/>
          <w:sz w:val="22"/>
          <w:szCs w:val="22"/>
        </w:rPr>
        <w:t>(</w:t>
      </w:r>
      <w:r w:rsidRPr="00785D26">
        <w:rPr>
          <w:rFonts w:ascii="Arial" w:hAnsi="Arial" w:cs="Arial"/>
          <w:b/>
          <w:bCs/>
          <w:sz w:val="22"/>
          <w:szCs w:val="22"/>
        </w:rPr>
        <w:t>1</w:t>
      </w:r>
      <w:r w:rsidR="00656FFA">
        <w:rPr>
          <w:rFonts w:ascii="Arial" w:hAnsi="Arial" w:cs="Arial"/>
          <w:b/>
          <w:bCs/>
          <w:sz w:val="22"/>
          <w:szCs w:val="22"/>
        </w:rPr>
        <w:t>)</w:t>
      </w:r>
      <w:r w:rsidRPr="00785D26">
        <w:rPr>
          <w:rFonts w:ascii="Arial" w:hAnsi="Arial" w:cs="Arial"/>
          <w:b/>
          <w:bCs/>
          <w:sz w:val="22"/>
          <w:szCs w:val="22"/>
        </w:rPr>
        <w:t>:</w:t>
      </w:r>
    </w:p>
    <w:p w14:paraId="2FFA491E" w14:textId="77777777" w:rsidR="00785D26" w:rsidRP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Nombre:</w:t>
      </w:r>
      <w:r w:rsidRPr="00785D26">
        <w:rPr>
          <w:rFonts w:ascii="Arial" w:hAnsi="Arial" w:cs="Arial"/>
          <w:sz w:val="22"/>
          <w:szCs w:val="22"/>
        </w:rPr>
        <w:t xml:space="preserve"> Matías Fuentes Bustamante</w:t>
      </w:r>
    </w:p>
    <w:p w14:paraId="2FD3C709" w14:textId="77777777" w:rsidR="00785D26" w:rsidRP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Empresa:</w:t>
      </w:r>
      <w:r w:rsidRPr="00785D26">
        <w:rPr>
          <w:rFonts w:ascii="Arial" w:hAnsi="Arial" w:cs="Arial"/>
          <w:sz w:val="22"/>
          <w:szCs w:val="22"/>
        </w:rPr>
        <w:t xml:space="preserve"> REDCO </w:t>
      </w:r>
      <w:proofErr w:type="spellStart"/>
      <w:r w:rsidRPr="00785D26">
        <w:rPr>
          <w:rFonts w:ascii="Arial" w:hAnsi="Arial" w:cs="Arial"/>
          <w:sz w:val="22"/>
          <w:szCs w:val="22"/>
        </w:rPr>
        <w:t>Mining</w:t>
      </w:r>
      <w:proofErr w:type="spellEnd"/>
      <w:r w:rsidRPr="00785D26">
        <w:rPr>
          <w:rFonts w:ascii="Arial" w:hAnsi="Arial" w:cs="Arial"/>
          <w:sz w:val="22"/>
          <w:szCs w:val="22"/>
        </w:rPr>
        <w:t xml:space="preserve"> </w:t>
      </w:r>
      <w:proofErr w:type="spellStart"/>
      <w:r w:rsidRPr="00785D26">
        <w:rPr>
          <w:rFonts w:ascii="Arial" w:hAnsi="Arial" w:cs="Arial"/>
          <w:sz w:val="22"/>
          <w:szCs w:val="22"/>
        </w:rPr>
        <w:t>Consultants</w:t>
      </w:r>
      <w:proofErr w:type="spellEnd"/>
    </w:p>
    <w:p w14:paraId="6A877484" w14:textId="6036A379" w:rsidR="00785D26" w:rsidRP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Cargo:</w:t>
      </w:r>
      <w:r w:rsidRPr="00785D26">
        <w:rPr>
          <w:rFonts w:ascii="Arial" w:hAnsi="Arial" w:cs="Arial"/>
          <w:sz w:val="22"/>
          <w:szCs w:val="22"/>
        </w:rPr>
        <w:t xml:space="preserve"> Gerente Servicio</w:t>
      </w:r>
      <w:r w:rsidR="00656FFA">
        <w:rPr>
          <w:rFonts w:ascii="Arial" w:hAnsi="Arial" w:cs="Arial"/>
          <w:sz w:val="22"/>
          <w:szCs w:val="22"/>
        </w:rPr>
        <w:t>s</w:t>
      </w:r>
      <w:r w:rsidRPr="00785D26">
        <w:rPr>
          <w:rFonts w:ascii="Arial" w:hAnsi="Arial" w:cs="Arial"/>
          <w:sz w:val="22"/>
          <w:szCs w:val="22"/>
        </w:rPr>
        <w:t xml:space="preserve"> Técnicos</w:t>
      </w:r>
    </w:p>
    <w:p w14:paraId="698DDA65" w14:textId="77777777" w:rsidR="00785D26" w:rsidRP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Dirección:</w:t>
      </w:r>
      <w:r w:rsidRPr="00785D26">
        <w:rPr>
          <w:rFonts w:ascii="Arial" w:hAnsi="Arial" w:cs="Arial"/>
          <w:sz w:val="22"/>
          <w:szCs w:val="22"/>
        </w:rPr>
        <w:t xml:space="preserve"> Av. presidente Kennedy 5454, oficina 1302, Vitacura - Chile</w:t>
      </w:r>
    </w:p>
    <w:p w14:paraId="02004ADC" w14:textId="77777777" w:rsidR="00785D26" w:rsidRP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Celular:</w:t>
      </w:r>
      <w:r w:rsidRPr="00785D26">
        <w:rPr>
          <w:rFonts w:ascii="Arial" w:hAnsi="Arial" w:cs="Arial"/>
          <w:sz w:val="22"/>
          <w:szCs w:val="22"/>
        </w:rPr>
        <w:t xml:space="preserve"> +56979678575</w:t>
      </w:r>
    </w:p>
    <w:p w14:paraId="60447831" w14:textId="77777777" w:rsidR="00785D26" w:rsidRP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Correo Electrónico:</w:t>
      </w:r>
      <w:r w:rsidRPr="00785D26">
        <w:rPr>
          <w:rFonts w:ascii="Arial" w:hAnsi="Arial" w:cs="Arial"/>
          <w:sz w:val="22"/>
          <w:szCs w:val="22"/>
        </w:rPr>
        <w:t xml:space="preserve"> mfuentes@redcoglobal.com</w:t>
      </w:r>
    </w:p>
    <w:p w14:paraId="3DC3D854" w14:textId="77777777" w:rsidR="00785D26" w:rsidRP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Correo Personal:</w:t>
      </w:r>
      <w:r w:rsidRPr="00785D26">
        <w:rPr>
          <w:rFonts w:ascii="Arial" w:hAnsi="Arial" w:cs="Arial"/>
          <w:sz w:val="22"/>
          <w:szCs w:val="22"/>
        </w:rPr>
        <w:t xml:space="preserve"> mfuentesb.90@gmail.com</w:t>
      </w:r>
    </w:p>
    <w:p w14:paraId="1D4EE7E8" w14:textId="77777777" w:rsidR="00785D26" w:rsidRPr="00785D26" w:rsidRDefault="00785D26" w:rsidP="00785D26">
      <w:pPr>
        <w:spacing w:after="0" w:line="360" w:lineRule="auto"/>
        <w:rPr>
          <w:rFonts w:ascii="Arial" w:hAnsi="Arial" w:cs="Arial"/>
          <w:b/>
          <w:bCs/>
          <w:sz w:val="22"/>
          <w:szCs w:val="22"/>
        </w:rPr>
      </w:pPr>
      <w:r w:rsidRPr="00785D26">
        <w:rPr>
          <w:rFonts w:ascii="Arial" w:hAnsi="Arial" w:cs="Arial"/>
          <w:b/>
          <w:bCs/>
          <w:sz w:val="22"/>
          <w:szCs w:val="22"/>
        </w:rPr>
        <w:t>Reseña Profesional:</w:t>
      </w:r>
    </w:p>
    <w:p w14:paraId="2792AFFB" w14:textId="38271DA0" w:rsidR="00785D26" w:rsidRPr="00785D26" w:rsidRDefault="00785D26" w:rsidP="00785D26">
      <w:pPr>
        <w:spacing w:after="0" w:line="360" w:lineRule="auto"/>
        <w:jc w:val="both"/>
        <w:rPr>
          <w:rFonts w:ascii="Arial" w:hAnsi="Arial" w:cs="Arial"/>
          <w:sz w:val="22"/>
          <w:szCs w:val="22"/>
        </w:rPr>
      </w:pPr>
      <w:r w:rsidRPr="00785D26">
        <w:rPr>
          <w:rFonts w:ascii="Arial" w:hAnsi="Arial" w:cs="Arial"/>
          <w:sz w:val="22"/>
          <w:szCs w:val="22"/>
        </w:rPr>
        <w:t xml:space="preserve">Ingeniero Civil de Minas titulado de la Universidad de Chile (2014), con más de 10 años de experiencia en ingeniería y consultoría minera a nivel nacional e internacional. Actualmente es Gerente de Servicios Técnicos en REDCO </w:t>
      </w:r>
      <w:proofErr w:type="spellStart"/>
      <w:r w:rsidRPr="00785D26">
        <w:rPr>
          <w:rFonts w:ascii="Arial" w:hAnsi="Arial" w:cs="Arial"/>
          <w:sz w:val="22"/>
          <w:szCs w:val="22"/>
        </w:rPr>
        <w:t>Mining</w:t>
      </w:r>
      <w:proofErr w:type="spellEnd"/>
      <w:r w:rsidRPr="00785D26">
        <w:rPr>
          <w:rFonts w:ascii="Arial" w:hAnsi="Arial" w:cs="Arial"/>
          <w:sz w:val="22"/>
          <w:szCs w:val="22"/>
        </w:rPr>
        <w:t xml:space="preserve"> </w:t>
      </w:r>
      <w:proofErr w:type="spellStart"/>
      <w:r w:rsidRPr="00785D26">
        <w:rPr>
          <w:rFonts w:ascii="Arial" w:hAnsi="Arial" w:cs="Arial"/>
          <w:sz w:val="22"/>
          <w:szCs w:val="22"/>
        </w:rPr>
        <w:t>Consultants</w:t>
      </w:r>
      <w:proofErr w:type="spellEnd"/>
      <w:r w:rsidRPr="00785D26">
        <w:rPr>
          <w:rFonts w:ascii="Arial" w:hAnsi="Arial" w:cs="Arial"/>
          <w:sz w:val="22"/>
          <w:szCs w:val="22"/>
        </w:rPr>
        <w:t>, liderando el desarrollo y ejecución de estudios para proyectos de minería masiva y selectiva, tanto subterránea como a cielo abierto, en todas sus etapas: conceptual, prefactibilidad, factibilidad y operación. Posee una sólida trayectoria en evaluaciones técnico-económicas, planificación minera, diseño de infraestructura y análisis estratégico de proyectos, con enfoque integral en productividad, geotecnia, operación y sustentabilidad. Actualmente lidera la implementación de plataformas digitales basadas en inteligencia artificial aplicadas a la minería, orientadas a mejorar la eficiencia de los procesos técnicos, fortalecer la toma de decisiones y elevar el estándar de la consultoría minera hacia una gestión más digital, integrada y predictiva. Matías se destaca por su enfoque metódico, visión sistémica de la cadena de valor minera, rigurosidad técnica y capacidad de liderazgo en contextos de alta complejidad y exigencia operativa.</w:t>
      </w:r>
    </w:p>
    <w:p w14:paraId="4175FC3C" w14:textId="3595F4B2" w:rsidR="00785D26" w:rsidRPr="00785D26" w:rsidRDefault="00785D26" w:rsidP="00785D26">
      <w:pPr>
        <w:spacing w:after="0" w:line="360" w:lineRule="auto"/>
        <w:rPr>
          <w:rFonts w:ascii="Arial" w:hAnsi="Arial" w:cs="Arial"/>
          <w:b/>
          <w:bCs/>
          <w:sz w:val="22"/>
          <w:szCs w:val="22"/>
        </w:rPr>
      </w:pPr>
      <w:r w:rsidRPr="00785D26">
        <w:rPr>
          <w:rFonts w:ascii="Arial" w:hAnsi="Arial" w:cs="Arial"/>
          <w:b/>
          <w:bCs/>
          <w:sz w:val="22"/>
          <w:szCs w:val="22"/>
        </w:rPr>
        <w:t xml:space="preserve">Datos del autor </w:t>
      </w:r>
      <w:r w:rsidR="00656FFA">
        <w:rPr>
          <w:rFonts w:ascii="Arial" w:hAnsi="Arial" w:cs="Arial"/>
          <w:b/>
          <w:bCs/>
          <w:sz w:val="22"/>
          <w:szCs w:val="22"/>
        </w:rPr>
        <w:t>(</w:t>
      </w:r>
      <w:r w:rsidRPr="00785D26">
        <w:rPr>
          <w:rFonts w:ascii="Arial" w:hAnsi="Arial" w:cs="Arial"/>
          <w:b/>
          <w:bCs/>
          <w:sz w:val="22"/>
          <w:szCs w:val="22"/>
        </w:rPr>
        <w:t>2</w:t>
      </w:r>
      <w:r w:rsidR="00656FFA">
        <w:rPr>
          <w:rFonts w:ascii="Arial" w:hAnsi="Arial" w:cs="Arial"/>
          <w:b/>
          <w:bCs/>
          <w:sz w:val="22"/>
          <w:szCs w:val="22"/>
        </w:rPr>
        <w:t>)</w:t>
      </w:r>
      <w:r w:rsidRPr="00785D26">
        <w:rPr>
          <w:rFonts w:ascii="Arial" w:hAnsi="Arial" w:cs="Arial"/>
          <w:b/>
          <w:bCs/>
          <w:sz w:val="22"/>
          <w:szCs w:val="22"/>
        </w:rPr>
        <w:t xml:space="preserve">: </w:t>
      </w:r>
    </w:p>
    <w:p w14:paraId="665A71A5" w14:textId="77777777" w:rsidR="00785D26" w:rsidRP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Nombre:</w:t>
      </w:r>
      <w:r w:rsidRPr="00785D26">
        <w:rPr>
          <w:rFonts w:ascii="Arial" w:hAnsi="Arial" w:cs="Arial"/>
          <w:sz w:val="22"/>
          <w:szCs w:val="22"/>
        </w:rPr>
        <w:t xml:space="preserve"> Enrique Rubio Esquivel</w:t>
      </w:r>
    </w:p>
    <w:p w14:paraId="36C6BDB4" w14:textId="77777777" w:rsidR="00785D26" w:rsidRP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Empresa:</w:t>
      </w:r>
      <w:r w:rsidRPr="00785D26">
        <w:rPr>
          <w:rFonts w:ascii="Arial" w:hAnsi="Arial" w:cs="Arial"/>
          <w:sz w:val="22"/>
          <w:szCs w:val="22"/>
        </w:rPr>
        <w:t xml:space="preserve"> REDCO </w:t>
      </w:r>
      <w:proofErr w:type="spellStart"/>
      <w:r w:rsidRPr="00785D26">
        <w:rPr>
          <w:rFonts w:ascii="Arial" w:hAnsi="Arial" w:cs="Arial"/>
          <w:sz w:val="22"/>
          <w:szCs w:val="22"/>
        </w:rPr>
        <w:t>Mining</w:t>
      </w:r>
      <w:proofErr w:type="spellEnd"/>
      <w:r w:rsidRPr="00785D26">
        <w:rPr>
          <w:rFonts w:ascii="Arial" w:hAnsi="Arial" w:cs="Arial"/>
          <w:sz w:val="22"/>
          <w:szCs w:val="22"/>
        </w:rPr>
        <w:t xml:space="preserve"> </w:t>
      </w:r>
      <w:proofErr w:type="spellStart"/>
      <w:r w:rsidRPr="00785D26">
        <w:rPr>
          <w:rFonts w:ascii="Arial" w:hAnsi="Arial" w:cs="Arial"/>
          <w:sz w:val="22"/>
          <w:szCs w:val="22"/>
        </w:rPr>
        <w:t>Consultants</w:t>
      </w:r>
      <w:proofErr w:type="spellEnd"/>
    </w:p>
    <w:p w14:paraId="0168786A" w14:textId="77777777" w:rsidR="00785D26" w:rsidRP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Cargo:</w:t>
      </w:r>
      <w:r w:rsidRPr="00785D26">
        <w:rPr>
          <w:rFonts w:ascii="Arial" w:hAnsi="Arial" w:cs="Arial"/>
          <w:sz w:val="22"/>
          <w:szCs w:val="22"/>
        </w:rPr>
        <w:t xml:space="preserve"> </w:t>
      </w:r>
      <w:proofErr w:type="gramStart"/>
      <w:r w:rsidRPr="00785D26">
        <w:rPr>
          <w:rFonts w:ascii="Arial" w:hAnsi="Arial" w:cs="Arial"/>
          <w:sz w:val="22"/>
          <w:szCs w:val="22"/>
        </w:rPr>
        <w:t>Director Ejecutivo</w:t>
      </w:r>
      <w:proofErr w:type="gramEnd"/>
      <w:r w:rsidRPr="00785D26">
        <w:rPr>
          <w:rFonts w:ascii="Arial" w:hAnsi="Arial" w:cs="Arial"/>
          <w:sz w:val="22"/>
          <w:szCs w:val="22"/>
        </w:rPr>
        <w:t xml:space="preserve"> </w:t>
      </w:r>
    </w:p>
    <w:p w14:paraId="1FE01BB4" w14:textId="77777777" w:rsidR="00785D26" w:rsidRP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Dirección:</w:t>
      </w:r>
      <w:r w:rsidRPr="00785D26">
        <w:rPr>
          <w:rFonts w:ascii="Arial" w:hAnsi="Arial" w:cs="Arial"/>
          <w:sz w:val="22"/>
          <w:szCs w:val="22"/>
        </w:rPr>
        <w:t xml:space="preserve"> Av. </w:t>
      </w:r>
      <w:proofErr w:type="gramStart"/>
      <w:r w:rsidRPr="00785D26">
        <w:rPr>
          <w:rFonts w:ascii="Arial" w:hAnsi="Arial" w:cs="Arial"/>
          <w:sz w:val="22"/>
          <w:szCs w:val="22"/>
        </w:rPr>
        <w:t>Presidente</w:t>
      </w:r>
      <w:proofErr w:type="gramEnd"/>
      <w:r w:rsidRPr="00785D26">
        <w:rPr>
          <w:rFonts w:ascii="Arial" w:hAnsi="Arial" w:cs="Arial"/>
          <w:sz w:val="22"/>
          <w:szCs w:val="22"/>
        </w:rPr>
        <w:t xml:space="preserve"> Kennedy 5454, oficina 1302, Vitacura - Chile </w:t>
      </w:r>
    </w:p>
    <w:p w14:paraId="73938DC6" w14:textId="77777777" w:rsidR="00785D26" w:rsidRP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Celular:</w:t>
      </w:r>
      <w:r w:rsidRPr="00785D26">
        <w:rPr>
          <w:rFonts w:ascii="Arial" w:hAnsi="Arial" w:cs="Arial"/>
          <w:sz w:val="22"/>
          <w:szCs w:val="22"/>
        </w:rPr>
        <w:t xml:space="preserve"> +56977496198</w:t>
      </w:r>
    </w:p>
    <w:p w14:paraId="7EB2D1E9" w14:textId="77777777" w:rsidR="00785D26" w:rsidRP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Correo Electrónico</w:t>
      </w:r>
      <w:r w:rsidRPr="00785D26">
        <w:rPr>
          <w:rFonts w:ascii="Arial" w:hAnsi="Arial" w:cs="Arial"/>
          <w:sz w:val="22"/>
          <w:szCs w:val="22"/>
        </w:rPr>
        <w:t>: erubio@redcoglobal.com</w:t>
      </w:r>
    </w:p>
    <w:p w14:paraId="689E70D0" w14:textId="06A31757" w:rsidR="00785D26" w:rsidRDefault="00785D26" w:rsidP="00656FFA">
      <w:pPr>
        <w:spacing w:after="0" w:line="360" w:lineRule="auto"/>
        <w:ind w:left="708"/>
        <w:rPr>
          <w:rFonts w:ascii="Arial" w:hAnsi="Arial" w:cs="Arial"/>
          <w:sz w:val="22"/>
          <w:szCs w:val="22"/>
        </w:rPr>
      </w:pPr>
      <w:r w:rsidRPr="00785D26">
        <w:rPr>
          <w:rFonts w:ascii="Arial" w:hAnsi="Arial" w:cs="Arial"/>
          <w:b/>
          <w:bCs/>
          <w:sz w:val="22"/>
          <w:szCs w:val="22"/>
        </w:rPr>
        <w:t>Correo Personal:</w:t>
      </w:r>
      <w:r w:rsidRPr="00785D26">
        <w:rPr>
          <w:rFonts w:ascii="Arial" w:hAnsi="Arial" w:cs="Arial"/>
          <w:sz w:val="22"/>
          <w:szCs w:val="22"/>
        </w:rPr>
        <w:t xml:space="preserve"> </w:t>
      </w:r>
      <w:hyperlink r:id="rId4" w:history="1">
        <w:r w:rsidRPr="005A32C6">
          <w:rPr>
            <w:rStyle w:val="Hipervnculo"/>
            <w:rFonts w:ascii="Arial" w:hAnsi="Arial" w:cs="Arial"/>
            <w:sz w:val="22"/>
            <w:szCs w:val="22"/>
          </w:rPr>
          <w:t>erubio@redcoglobal.com</w:t>
        </w:r>
      </w:hyperlink>
    </w:p>
    <w:p w14:paraId="0449C580" w14:textId="0CC12468" w:rsidR="00785D26" w:rsidRPr="00785D26" w:rsidRDefault="00785D26" w:rsidP="00785D26">
      <w:pPr>
        <w:spacing w:after="0" w:line="360" w:lineRule="auto"/>
        <w:rPr>
          <w:rFonts w:ascii="Arial" w:hAnsi="Arial" w:cs="Arial"/>
          <w:sz w:val="22"/>
          <w:szCs w:val="22"/>
        </w:rPr>
      </w:pPr>
      <w:r w:rsidRPr="00785D26">
        <w:rPr>
          <w:rFonts w:ascii="Arial" w:hAnsi="Arial" w:cs="Arial"/>
          <w:b/>
          <w:bCs/>
          <w:sz w:val="22"/>
          <w:szCs w:val="22"/>
        </w:rPr>
        <w:lastRenderedPageBreak/>
        <w:t>Reseña Profesional:</w:t>
      </w:r>
    </w:p>
    <w:p w14:paraId="10FAE3FC" w14:textId="77777777" w:rsidR="00785D26" w:rsidRDefault="00785D26" w:rsidP="00785D26">
      <w:pPr>
        <w:spacing w:after="0" w:line="360" w:lineRule="auto"/>
        <w:jc w:val="both"/>
        <w:rPr>
          <w:rFonts w:ascii="Arial" w:hAnsi="Arial" w:cs="Arial"/>
          <w:sz w:val="22"/>
          <w:szCs w:val="22"/>
        </w:rPr>
      </w:pPr>
      <w:r w:rsidRPr="00785D26">
        <w:rPr>
          <w:rFonts w:ascii="Arial" w:hAnsi="Arial" w:cs="Arial"/>
          <w:sz w:val="22"/>
          <w:szCs w:val="22"/>
        </w:rPr>
        <w:t>Enrique Rubio Esquivel es Ingeniero Civil de Minas de la Universidad de Chile, con Magíster en Ciencias Aplicadas (</w:t>
      </w:r>
      <w:proofErr w:type="spellStart"/>
      <w:r w:rsidRPr="00785D26">
        <w:rPr>
          <w:rFonts w:ascii="Arial" w:hAnsi="Arial" w:cs="Arial"/>
          <w:sz w:val="22"/>
          <w:szCs w:val="22"/>
        </w:rPr>
        <w:t>M.A.Sc</w:t>
      </w:r>
      <w:proofErr w:type="spellEnd"/>
      <w:r w:rsidRPr="00785D26">
        <w:rPr>
          <w:rFonts w:ascii="Arial" w:hAnsi="Arial" w:cs="Arial"/>
          <w:sz w:val="22"/>
          <w:szCs w:val="22"/>
        </w:rPr>
        <w:t>.) y Doctorado (</w:t>
      </w:r>
      <w:proofErr w:type="spellStart"/>
      <w:r w:rsidRPr="00785D26">
        <w:rPr>
          <w:rFonts w:ascii="Arial" w:hAnsi="Arial" w:cs="Arial"/>
          <w:sz w:val="22"/>
          <w:szCs w:val="22"/>
        </w:rPr>
        <w:t>Ph.D</w:t>
      </w:r>
      <w:proofErr w:type="spellEnd"/>
      <w:r w:rsidRPr="00785D26">
        <w:rPr>
          <w:rFonts w:ascii="Arial" w:hAnsi="Arial" w:cs="Arial"/>
          <w:sz w:val="22"/>
          <w:szCs w:val="22"/>
        </w:rPr>
        <w:t xml:space="preserve">.) en Ingeniería de Minas por la </w:t>
      </w:r>
      <w:proofErr w:type="spellStart"/>
      <w:r w:rsidRPr="00785D26">
        <w:rPr>
          <w:rFonts w:ascii="Arial" w:hAnsi="Arial" w:cs="Arial"/>
          <w:sz w:val="22"/>
          <w:szCs w:val="22"/>
        </w:rPr>
        <w:t>University</w:t>
      </w:r>
      <w:proofErr w:type="spellEnd"/>
      <w:r w:rsidRPr="00785D26">
        <w:rPr>
          <w:rFonts w:ascii="Arial" w:hAnsi="Arial" w:cs="Arial"/>
          <w:sz w:val="22"/>
          <w:szCs w:val="22"/>
        </w:rPr>
        <w:t xml:space="preserve"> </w:t>
      </w:r>
      <w:proofErr w:type="spellStart"/>
      <w:r w:rsidRPr="00785D26">
        <w:rPr>
          <w:rFonts w:ascii="Arial" w:hAnsi="Arial" w:cs="Arial"/>
          <w:sz w:val="22"/>
          <w:szCs w:val="22"/>
        </w:rPr>
        <w:t>of</w:t>
      </w:r>
      <w:proofErr w:type="spellEnd"/>
      <w:r w:rsidRPr="00785D26">
        <w:rPr>
          <w:rFonts w:ascii="Arial" w:hAnsi="Arial" w:cs="Arial"/>
          <w:sz w:val="22"/>
          <w:szCs w:val="22"/>
        </w:rPr>
        <w:t xml:space="preserve"> British Columbia (UBC), Canadá. Con más de 25 años de experiencia profesional, ha liderado proyectos de consultoría en planificación minera, diseño de minas y desarrollo tecnológico, asesorando a compañías de clase mundial como BHP, Escondida, Anglo American, CMP, Glencore, Freeport Indonesia, </w:t>
      </w:r>
      <w:proofErr w:type="spellStart"/>
      <w:r w:rsidRPr="00785D26">
        <w:rPr>
          <w:rFonts w:ascii="Arial" w:hAnsi="Arial" w:cs="Arial"/>
          <w:sz w:val="22"/>
          <w:szCs w:val="22"/>
        </w:rPr>
        <w:t>Minsur</w:t>
      </w:r>
      <w:proofErr w:type="spellEnd"/>
      <w:r w:rsidRPr="00785D26">
        <w:rPr>
          <w:rFonts w:ascii="Arial" w:hAnsi="Arial" w:cs="Arial"/>
          <w:sz w:val="22"/>
          <w:szCs w:val="22"/>
        </w:rPr>
        <w:t xml:space="preserve">, Buenaventura, </w:t>
      </w:r>
      <w:proofErr w:type="spellStart"/>
      <w:r w:rsidRPr="00785D26">
        <w:rPr>
          <w:rFonts w:ascii="Arial" w:hAnsi="Arial" w:cs="Arial"/>
          <w:sz w:val="22"/>
          <w:szCs w:val="22"/>
        </w:rPr>
        <w:t>Volcan</w:t>
      </w:r>
      <w:proofErr w:type="spellEnd"/>
      <w:r w:rsidRPr="00785D26">
        <w:rPr>
          <w:rFonts w:ascii="Arial" w:hAnsi="Arial" w:cs="Arial"/>
          <w:sz w:val="22"/>
          <w:szCs w:val="22"/>
        </w:rPr>
        <w:t xml:space="preserve">, Rio Tinto y De </w:t>
      </w:r>
      <w:proofErr w:type="spellStart"/>
      <w:r w:rsidRPr="00785D26">
        <w:rPr>
          <w:rFonts w:ascii="Arial" w:hAnsi="Arial" w:cs="Arial"/>
          <w:sz w:val="22"/>
          <w:szCs w:val="22"/>
        </w:rPr>
        <w:t>Beers</w:t>
      </w:r>
      <w:proofErr w:type="spellEnd"/>
      <w:r w:rsidRPr="00785D26">
        <w:rPr>
          <w:rFonts w:ascii="Arial" w:hAnsi="Arial" w:cs="Arial"/>
          <w:sz w:val="22"/>
          <w:szCs w:val="22"/>
        </w:rPr>
        <w:t xml:space="preserve">, entre muchas otras. Actualmente es </w:t>
      </w:r>
      <w:proofErr w:type="gramStart"/>
      <w:r w:rsidRPr="00785D26">
        <w:rPr>
          <w:rFonts w:ascii="Arial" w:hAnsi="Arial" w:cs="Arial"/>
          <w:sz w:val="22"/>
          <w:szCs w:val="22"/>
        </w:rPr>
        <w:t>Director Ejecutivo</w:t>
      </w:r>
      <w:proofErr w:type="gramEnd"/>
      <w:r w:rsidRPr="00785D26">
        <w:rPr>
          <w:rFonts w:ascii="Arial" w:hAnsi="Arial" w:cs="Arial"/>
          <w:sz w:val="22"/>
          <w:szCs w:val="22"/>
        </w:rPr>
        <w:t xml:space="preserve"> de REDCO </w:t>
      </w:r>
      <w:proofErr w:type="spellStart"/>
      <w:r w:rsidRPr="00785D26">
        <w:rPr>
          <w:rFonts w:ascii="Arial" w:hAnsi="Arial" w:cs="Arial"/>
          <w:sz w:val="22"/>
          <w:szCs w:val="22"/>
        </w:rPr>
        <w:t>Mining</w:t>
      </w:r>
      <w:proofErr w:type="spellEnd"/>
      <w:r w:rsidRPr="00785D26">
        <w:rPr>
          <w:rFonts w:ascii="Arial" w:hAnsi="Arial" w:cs="Arial"/>
          <w:sz w:val="22"/>
          <w:szCs w:val="22"/>
        </w:rPr>
        <w:t xml:space="preserve"> </w:t>
      </w:r>
      <w:proofErr w:type="spellStart"/>
      <w:r w:rsidRPr="00785D26">
        <w:rPr>
          <w:rFonts w:ascii="Arial" w:hAnsi="Arial" w:cs="Arial"/>
          <w:sz w:val="22"/>
          <w:szCs w:val="22"/>
        </w:rPr>
        <w:t>Consultants</w:t>
      </w:r>
      <w:proofErr w:type="spellEnd"/>
      <w:r w:rsidRPr="00785D26">
        <w:rPr>
          <w:rFonts w:ascii="Arial" w:hAnsi="Arial" w:cs="Arial"/>
          <w:sz w:val="22"/>
          <w:szCs w:val="22"/>
        </w:rPr>
        <w:t xml:space="preserve">, empresa reconocida por su </w:t>
      </w:r>
      <w:proofErr w:type="spellStart"/>
      <w:r w:rsidRPr="00785D26">
        <w:rPr>
          <w:rFonts w:ascii="Arial" w:hAnsi="Arial" w:cs="Arial"/>
          <w:sz w:val="22"/>
          <w:szCs w:val="22"/>
        </w:rPr>
        <w:t>expertise</w:t>
      </w:r>
      <w:proofErr w:type="spellEnd"/>
      <w:r w:rsidRPr="00785D26">
        <w:rPr>
          <w:rFonts w:ascii="Arial" w:hAnsi="Arial" w:cs="Arial"/>
          <w:sz w:val="22"/>
          <w:szCs w:val="22"/>
        </w:rPr>
        <w:t xml:space="preserve"> técnico en minería subterránea y a cielo abierto. Es autor de más de 50 publicaciones técnicas en conferencias y revistas internacionales, y ha sido académico universitario y profesor guía de tesis. Está certificado como Persona Competente en Chile (Registro </w:t>
      </w:r>
      <w:proofErr w:type="spellStart"/>
      <w:r w:rsidRPr="00785D26">
        <w:rPr>
          <w:rFonts w:ascii="Arial" w:hAnsi="Arial" w:cs="Arial"/>
          <w:sz w:val="22"/>
          <w:szCs w:val="22"/>
        </w:rPr>
        <w:t>N°</w:t>
      </w:r>
      <w:proofErr w:type="spellEnd"/>
      <w:r w:rsidRPr="00785D26">
        <w:rPr>
          <w:rFonts w:ascii="Arial" w:hAnsi="Arial" w:cs="Arial"/>
          <w:sz w:val="22"/>
          <w:szCs w:val="22"/>
        </w:rPr>
        <w:t xml:space="preserve"> 255) y como </w:t>
      </w:r>
      <w:proofErr w:type="spellStart"/>
      <w:r w:rsidRPr="00785D26">
        <w:rPr>
          <w:rFonts w:ascii="Arial" w:hAnsi="Arial" w:cs="Arial"/>
          <w:sz w:val="22"/>
          <w:szCs w:val="22"/>
        </w:rPr>
        <w:t>Qualified</w:t>
      </w:r>
      <w:proofErr w:type="spellEnd"/>
      <w:r w:rsidRPr="00785D26">
        <w:rPr>
          <w:rFonts w:ascii="Arial" w:hAnsi="Arial" w:cs="Arial"/>
          <w:sz w:val="22"/>
          <w:szCs w:val="22"/>
        </w:rPr>
        <w:t xml:space="preserve"> </w:t>
      </w:r>
      <w:proofErr w:type="spellStart"/>
      <w:r w:rsidRPr="00785D26">
        <w:rPr>
          <w:rFonts w:ascii="Arial" w:hAnsi="Arial" w:cs="Arial"/>
          <w:sz w:val="22"/>
          <w:szCs w:val="22"/>
        </w:rPr>
        <w:t>Person</w:t>
      </w:r>
      <w:proofErr w:type="spellEnd"/>
      <w:r w:rsidRPr="00785D26">
        <w:rPr>
          <w:rFonts w:ascii="Arial" w:hAnsi="Arial" w:cs="Arial"/>
          <w:sz w:val="22"/>
          <w:szCs w:val="22"/>
        </w:rPr>
        <w:t xml:space="preserve"> (QP) por </w:t>
      </w:r>
      <w:proofErr w:type="spellStart"/>
      <w:r w:rsidRPr="00785D26">
        <w:rPr>
          <w:rFonts w:ascii="Arial" w:hAnsi="Arial" w:cs="Arial"/>
          <w:sz w:val="22"/>
          <w:szCs w:val="22"/>
        </w:rPr>
        <w:t>AusIMM</w:t>
      </w:r>
      <w:proofErr w:type="spellEnd"/>
      <w:r w:rsidRPr="00785D26">
        <w:rPr>
          <w:rFonts w:ascii="Arial" w:hAnsi="Arial" w:cs="Arial"/>
          <w:sz w:val="22"/>
          <w:szCs w:val="22"/>
        </w:rPr>
        <w:t xml:space="preserve"> (</w:t>
      </w:r>
      <w:proofErr w:type="spellStart"/>
      <w:r w:rsidRPr="00785D26">
        <w:rPr>
          <w:rFonts w:ascii="Arial" w:hAnsi="Arial" w:cs="Arial"/>
          <w:sz w:val="22"/>
          <w:szCs w:val="22"/>
        </w:rPr>
        <w:t>N°</w:t>
      </w:r>
      <w:proofErr w:type="spellEnd"/>
      <w:r w:rsidRPr="00785D26">
        <w:rPr>
          <w:rFonts w:ascii="Arial" w:hAnsi="Arial" w:cs="Arial"/>
          <w:sz w:val="22"/>
          <w:szCs w:val="22"/>
        </w:rPr>
        <w:t xml:space="preserve"> 308955), lo que respalda su experiencia en la estimación y reporte público de recursos y reservas bajo estándares internacionales como JORC, NI 43-101 y el Código Chileno.</w:t>
      </w:r>
    </w:p>
    <w:p w14:paraId="7DA182E2" w14:textId="70EEB74C" w:rsidR="00785D26" w:rsidRDefault="00785D26" w:rsidP="00785D26">
      <w:pPr>
        <w:spacing w:after="0" w:line="360" w:lineRule="auto"/>
        <w:jc w:val="both"/>
        <w:rPr>
          <w:rFonts w:ascii="Arial" w:hAnsi="Arial" w:cs="Arial"/>
          <w:b/>
          <w:bCs/>
          <w:sz w:val="22"/>
          <w:szCs w:val="22"/>
        </w:rPr>
      </w:pPr>
      <w:r w:rsidRPr="00785D26">
        <w:rPr>
          <w:rFonts w:ascii="Arial" w:hAnsi="Arial" w:cs="Arial"/>
          <w:b/>
          <w:bCs/>
          <w:sz w:val="22"/>
          <w:szCs w:val="22"/>
        </w:rPr>
        <w:t>Contenido:</w:t>
      </w:r>
    </w:p>
    <w:p w14:paraId="19630D3F" w14:textId="77777777" w:rsidR="00785D26" w:rsidRDefault="00785D26" w:rsidP="00785D26">
      <w:pPr>
        <w:spacing w:line="360" w:lineRule="auto"/>
        <w:jc w:val="both"/>
        <w:rPr>
          <w:rFonts w:ascii="Arial" w:hAnsi="Arial" w:cs="Arial"/>
          <w:b/>
          <w:bCs/>
          <w:sz w:val="22"/>
          <w:szCs w:val="22"/>
        </w:rPr>
      </w:pPr>
      <w:r w:rsidRPr="00785D26">
        <w:rPr>
          <w:rFonts w:ascii="Arial" w:hAnsi="Arial" w:cs="Arial"/>
          <w:sz w:val="22"/>
          <w:szCs w:val="22"/>
        </w:rPr>
        <w:t xml:space="preserve">La transición de la minería a rajo abierto hacia métodos subterráneos suele convertirse en un momento decisivo para la vida de una operación, sobre todo cuando el yacimiento alcanza mayores profundidades y los costos de extracción aumentan de manera considerable. Determinar el momento oportuno para dar este paso, así como la forma de implementarlo, exige una visión integral que abarque aspectos técnicos, económicos, ambientales y sociales. Sin embargo, las metodologías tradicionales suelen diseñar el </w:t>
      </w:r>
      <w:proofErr w:type="spellStart"/>
      <w:r w:rsidRPr="00785D26">
        <w:rPr>
          <w:rFonts w:ascii="Arial" w:hAnsi="Arial" w:cs="Arial"/>
          <w:sz w:val="22"/>
          <w:szCs w:val="22"/>
        </w:rPr>
        <w:t>pit</w:t>
      </w:r>
      <w:proofErr w:type="spellEnd"/>
      <w:r w:rsidRPr="00785D26">
        <w:rPr>
          <w:rFonts w:ascii="Arial" w:hAnsi="Arial" w:cs="Arial"/>
          <w:sz w:val="22"/>
          <w:szCs w:val="22"/>
        </w:rPr>
        <w:t xml:space="preserve"> final y, de manera separada, proyectar la mina subterránea sobre el mineral remanente, sin capturar las sinergias que pueden surgir de un análisis conjunto.</w:t>
      </w:r>
    </w:p>
    <w:p w14:paraId="2910BCD4" w14:textId="6D70BF2D" w:rsidR="00785D26" w:rsidRPr="00785D26" w:rsidRDefault="00785D26" w:rsidP="00785D26">
      <w:pPr>
        <w:spacing w:line="360" w:lineRule="auto"/>
        <w:jc w:val="both"/>
        <w:rPr>
          <w:rFonts w:ascii="Arial" w:hAnsi="Arial" w:cs="Arial"/>
          <w:b/>
          <w:bCs/>
          <w:sz w:val="22"/>
          <w:szCs w:val="22"/>
        </w:rPr>
      </w:pPr>
      <w:r w:rsidRPr="00785D26">
        <w:rPr>
          <w:rFonts w:ascii="Arial" w:hAnsi="Arial" w:cs="Arial"/>
          <w:sz w:val="22"/>
          <w:szCs w:val="22"/>
        </w:rPr>
        <w:t xml:space="preserve">Con el propósito de atender esta complejidad, se presenta un enfoque multicriterio y multivariable, apoyado en un proceso de </w:t>
      </w:r>
      <w:proofErr w:type="spellStart"/>
      <w:r w:rsidRPr="00785D26">
        <w:rPr>
          <w:rFonts w:ascii="Arial" w:hAnsi="Arial" w:cs="Arial"/>
          <w:sz w:val="22"/>
          <w:szCs w:val="22"/>
        </w:rPr>
        <w:t>de-risking</w:t>
      </w:r>
      <w:proofErr w:type="spellEnd"/>
      <w:r w:rsidRPr="00785D26">
        <w:rPr>
          <w:rFonts w:ascii="Arial" w:hAnsi="Arial" w:cs="Arial"/>
          <w:sz w:val="22"/>
          <w:szCs w:val="22"/>
        </w:rPr>
        <w:t xml:space="preserve"> que combina simulaciones estocásticas y una estrategia modular de crecimiento. El primer paso consiste en identificar los factores clave que influyen en la decisión de pasar de rajo abierto a subterráneo. Entre ellos destacan el aumento de costos unitarios por la profundización del </w:t>
      </w:r>
      <w:proofErr w:type="spellStart"/>
      <w:r w:rsidRPr="00785D26">
        <w:rPr>
          <w:rFonts w:ascii="Arial" w:hAnsi="Arial" w:cs="Arial"/>
          <w:sz w:val="22"/>
          <w:szCs w:val="22"/>
        </w:rPr>
        <w:t>pit</w:t>
      </w:r>
      <w:proofErr w:type="spellEnd"/>
      <w:r w:rsidRPr="00785D26">
        <w:rPr>
          <w:rFonts w:ascii="Arial" w:hAnsi="Arial" w:cs="Arial"/>
          <w:sz w:val="22"/>
          <w:szCs w:val="22"/>
        </w:rPr>
        <w:t>, las condiciones geomecánicas en el macizo rocoso, las restricciones sociales y medioambientales, la proyección de reservas futuras y la posible volatilidad de precios de los metales.</w:t>
      </w:r>
    </w:p>
    <w:p w14:paraId="0228D761" w14:textId="77777777" w:rsidR="00785D26" w:rsidRPr="00785D26" w:rsidRDefault="00785D26" w:rsidP="00785D26">
      <w:pPr>
        <w:spacing w:line="360" w:lineRule="auto"/>
        <w:jc w:val="both"/>
        <w:rPr>
          <w:rFonts w:ascii="Arial" w:hAnsi="Arial" w:cs="Arial"/>
          <w:sz w:val="22"/>
          <w:szCs w:val="22"/>
        </w:rPr>
      </w:pPr>
      <w:r w:rsidRPr="00785D26">
        <w:rPr>
          <w:rFonts w:ascii="Arial" w:hAnsi="Arial" w:cs="Arial"/>
          <w:sz w:val="22"/>
          <w:szCs w:val="22"/>
        </w:rPr>
        <w:t xml:space="preserve">A partir de dichos factores, se construyen distintas “rutas” de desarrollo, cada una con configuraciones específicas en métodos de explotación, secuencias de inversión y estrategias de </w:t>
      </w:r>
      <w:proofErr w:type="spellStart"/>
      <w:r w:rsidRPr="00785D26">
        <w:rPr>
          <w:rFonts w:ascii="Arial" w:hAnsi="Arial" w:cs="Arial"/>
          <w:sz w:val="22"/>
          <w:szCs w:val="22"/>
        </w:rPr>
        <w:t>ramp</w:t>
      </w:r>
      <w:proofErr w:type="spellEnd"/>
      <w:r w:rsidRPr="00785D26">
        <w:rPr>
          <w:rFonts w:ascii="Arial" w:hAnsi="Arial" w:cs="Arial"/>
          <w:sz w:val="22"/>
          <w:szCs w:val="22"/>
        </w:rPr>
        <w:t xml:space="preserve">-up. Por ejemplo, se puede evaluar el uso de </w:t>
      </w:r>
      <w:proofErr w:type="spellStart"/>
      <w:r w:rsidRPr="00785D26">
        <w:rPr>
          <w:rFonts w:ascii="Arial" w:hAnsi="Arial" w:cs="Arial"/>
          <w:sz w:val="22"/>
          <w:szCs w:val="22"/>
        </w:rPr>
        <w:t>sublevel</w:t>
      </w:r>
      <w:proofErr w:type="spellEnd"/>
      <w:r w:rsidRPr="00785D26">
        <w:rPr>
          <w:rFonts w:ascii="Arial" w:hAnsi="Arial" w:cs="Arial"/>
          <w:sz w:val="22"/>
          <w:szCs w:val="22"/>
        </w:rPr>
        <w:t xml:space="preserve"> </w:t>
      </w:r>
      <w:proofErr w:type="spellStart"/>
      <w:r w:rsidRPr="00785D26">
        <w:rPr>
          <w:rFonts w:ascii="Arial" w:hAnsi="Arial" w:cs="Arial"/>
          <w:sz w:val="22"/>
          <w:szCs w:val="22"/>
        </w:rPr>
        <w:t>stoping</w:t>
      </w:r>
      <w:proofErr w:type="spellEnd"/>
      <w:r w:rsidRPr="00785D26">
        <w:rPr>
          <w:rFonts w:ascii="Arial" w:hAnsi="Arial" w:cs="Arial"/>
          <w:sz w:val="22"/>
          <w:szCs w:val="22"/>
        </w:rPr>
        <w:t xml:space="preserve">, block </w:t>
      </w:r>
      <w:proofErr w:type="spellStart"/>
      <w:r w:rsidRPr="00785D26">
        <w:rPr>
          <w:rFonts w:ascii="Arial" w:hAnsi="Arial" w:cs="Arial"/>
          <w:sz w:val="22"/>
          <w:szCs w:val="22"/>
        </w:rPr>
        <w:t>caving</w:t>
      </w:r>
      <w:proofErr w:type="spellEnd"/>
      <w:r w:rsidRPr="00785D26">
        <w:rPr>
          <w:rFonts w:ascii="Arial" w:hAnsi="Arial" w:cs="Arial"/>
          <w:sz w:val="22"/>
          <w:szCs w:val="22"/>
        </w:rPr>
        <w:t xml:space="preserve"> o </w:t>
      </w:r>
      <w:proofErr w:type="spellStart"/>
      <w:r w:rsidRPr="00785D26">
        <w:rPr>
          <w:rFonts w:ascii="Arial" w:hAnsi="Arial" w:cs="Arial"/>
          <w:sz w:val="22"/>
          <w:szCs w:val="22"/>
        </w:rPr>
        <w:t>sublevel</w:t>
      </w:r>
      <w:proofErr w:type="spellEnd"/>
      <w:r w:rsidRPr="00785D26">
        <w:rPr>
          <w:rFonts w:ascii="Arial" w:hAnsi="Arial" w:cs="Arial"/>
          <w:sz w:val="22"/>
          <w:szCs w:val="22"/>
        </w:rPr>
        <w:t xml:space="preserve"> </w:t>
      </w:r>
      <w:proofErr w:type="spellStart"/>
      <w:r w:rsidRPr="00785D26">
        <w:rPr>
          <w:rFonts w:ascii="Arial" w:hAnsi="Arial" w:cs="Arial"/>
          <w:sz w:val="22"/>
          <w:szCs w:val="22"/>
        </w:rPr>
        <w:lastRenderedPageBreak/>
        <w:t>caving</w:t>
      </w:r>
      <w:proofErr w:type="spellEnd"/>
      <w:r w:rsidRPr="00785D26">
        <w:rPr>
          <w:rFonts w:ascii="Arial" w:hAnsi="Arial" w:cs="Arial"/>
          <w:sz w:val="22"/>
          <w:szCs w:val="22"/>
        </w:rPr>
        <w:t>, para estimar cómo influyen en el flujo de caja, el cronograma de construcción y la relación con la comunidad local. Estas rutas no solo contemplan los aspectos puramente económicos, como el NPV o la tasa interna de retorno (IRR), sino también la facilidad para llevarlas a cabo, denominada “</w:t>
      </w:r>
      <w:proofErr w:type="spellStart"/>
      <w:r w:rsidRPr="00785D26">
        <w:rPr>
          <w:rFonts w:ascii="Arial" w:hAnsi="Arial" w:cs="Arial"/>
          <w:sz w:val="22"/>
          <w:szCs w:val="22"/>
        </w:rPr>
        <w:t>ejecutabilidad</w:t>
      </w:r>
      <w:proofErr w:type="spellEnd"/>
      <w:r w:rsidRPr="00785D26">
        <w:rPr>
          <w:rFonts w:ascii="Arial" w:hAnsi="Arial" w:cs="Arial"/>
          <w:sz w:val="22"/>
          <w:szCs w:val="22"/>
        </w:rPr>
        <w:t>”. Este concepto implica considerar la disponibilidad de tecnología, permisos, agua, energía y, sobre todo, la experiencia previa del equipo en el método de minería elegido.</w:t>
      </w:r>
    </w:p>
    <w:p w14:paraId="73DB46DA" w14:textId="77777777" w:rsidR="00785D26" w:rsidRPr="00785D26" w:rsidRDefault="00785D26" w:rsidP="00785D26">
      <w:pPr>
        <w:spacing w:line="360" w:lineRule="auto"/>
        <w:jc w:val="both"/>
        <w:rPr>
          <w:rFonts w:ascii="Arial" w:hAnsi="Arial" w:cs="Arial"/>
          <w:sz w:val="22"/>
          <w:szCs w:val="22"/>
        </w:rPr>
      </w:pPr>
      <w:r w:rsidRPr="00785D26">
        <w:rPr>
          <w:rFonts w:ascii="Arial" w:hAnsi="Arial" w:cs="Arial"/>
          <w:sz w:val="22"/>
          <w:szCs w:val="22"/>
        </w:rPr>
        <w:t>Para respaldar las evaluaciones, se hace uso de un modelo de simulación llamado SIMPLAN, que representa la cadena de valor de la operación, desde la mina hasta la planta. Esta herramienta incorpora la incertidumbre geológica, las variaciones en la ley del mineral, los posibles retrasos logísticos y la disponibilidad de los recursos necesarios para llevar a cabo cada ruta. Mediante un enfoque estocástico, se ejecutan múltiples repeticiones (réplicas) que proporcionan resultados probabilísticos en lugar de uno solo determinista. De esta forma, se identifican intervalos de confianza para la producción y los indicadores de rentabilidad, ofreciendo una perspectiva más realista del riesgo y facilitando la toma de decisiones informadas.</w:t>
      </w:r>
    </w:p>
    <w:p w14:paraId="3E3A1641" w14:textId="77777777" w:rsidR="00785D26" w:rsidRPr="00785D26" w:rsidRDefault="00785D26" w:rsidP="00785D26">
      <w:pPr>
        <w:spacing w:line="360" w:lineRule="auto"/>
        <w:jc w:val="both"/>
        <w:rPr>
          <w:rFonts w:ascii="Arial" w:hAnsi="Arial" w:cs="Arial"/>
          <w:sz w:val="22"/>
          <w:szCs w:val="22"/>
        </w:rPr>
      </w:pPr>
      <w:r w:rsidRPr="00785D26">
        <w:rPr>
          <w:rFonts w:ascii="Arial" w:hAnsi="Arial" w:cs="Arial"/>
          <w:sz w:val="22"/>
          <w:szCs w:val="22"/>
        </w:rPr>
        <w:t xml:space="preserve">Una característica central de la propuesta es el modularidad. Se busca iniciar con un proyecto subterráneo de menor escala (mina piloto) que permita reducir la inversión inicial y conocer mejor las condiciones subterráneas sin arriesgar capital masivo desde el comienzo. Con el aprendizaje obtenido, se habilita una transición más segura y gradual hacia métodos de mayor envergadura, como un block </w:t>
      </w:r>
      <w:proofErr w:type="spellStart"/>
      <w:r w:rsidRPr="00785D26">
        <w:rPr>
          <w:rFonts w:ascii="Arial" w:hAnsi="Arial" w:cs="Arial"/>
          <w:sz w:val="22"/>
          <w:szCs w:val="22"/>
        </w:rPr>
        <w:t>caving</w:t>
      </w:r>
      <w:proofErr w:type="spellEnd"/>
      <w:r w:rsidRPr="00785D26">
        <w:rPr>
          <w:rFonts w:ascii="Arial" w:hAnsi="Arial" w:cs="Arial"/>
          <w:sz w:val="22"/>
          <w:szCs w:val="22"/>
        </w:rPr>
        <w:t xml:space="preserve"> a gran escala, que sostenga la producción en el largo plazo. Además, esta estructura modular contribuye a la flexibilidad del proyecto, ya que se pueden reorientar los planes de acuerdo con la evolución de factores externos (precios, disponibilidad de recursos) y la experiencia operativa acumulada.</w:t>
      </w:r>
    </w:p>
    <w:p w14:paraId="7331E4D9" w14:textId="07FFF2F2" w:rsidR="00785D26" w:rsidRPr="00785D26" w:rsidRDefault="00785D26" w:rsidP="00785D26">
      <w:pPr>
        <w:spacing w:line="360" w:lineRule="auto"/>
        <w:jc w:val="both"/>
        <w:rPr>
          <w:rFonts w:ascii="Arial" w:hAnsi="Arial" w:cs="Arial"/>
          <w:sz w:val="22"/>
          <w:szCs w:val="22"/>
        </w:rPr>
      </w:pPr>
      <w:r w:rsidRPr="00785D26">
        <w:rPr>
          <w:rFonts w:ascii="Arial" w:hAnsi="Arial" w:cs="Arial"/>
          <w:sz w:val="22"/>
          <w:szCs w:val="22"/>
        </w:rPr>
        <w:t>La aplicación práctica de este enfoque en diferentes proyectos demostró la efectividad de analizar distintas rutas de transición OP-UG de manera conjunta. Se evidenció una mejora en la rentabilidad final y una reducción significativa de la exposición al riesgo, al combinar el desarrollo subterráneo por fases y la evaluación probabilística de costos y producción. Así, se concluye que la metodología multicriterio y el uso de simulaciones estocásticas constituyen una herramienta valiosa para optimizar la decisión sobre cuándo y cómo migrar de una operación a rajo abierto a una subterránea, equilibrando el máximo aprovechamiento de los recursos con la seguridad financiera y operativa de la mina.</w:t>
      </w:r>
    </w:p>
    <w:sectPr w:rsidR="00785D26" w:rsidRPr="00785D26" w:rsidSect="00785D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B88"/>
    <w:rsid w:val="000130D4"/>
    <w:rsid w:val="00032696"/>
    <w:rsid w:val="0020648A"/>
    <w:rsid w:val="002B4FFF"/>
    <w:rsid w:val="00355B7B"/>
    <w:rsid w:val="003A5B88"/>
    <w:rsid w:val="00647C87"/>
    <w:rsid w:val="00656FFA"/>
    <w:rsid w:val="006C1BA3"/>
    <w:rsid w:val="00785D26"/>
    <w:rsid w:val="00A62F6B"/>
    <w:rsid w:val="00B40CE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C8296"/>
  <w15:chartTrackingRefBased/>
  <w15:docId w15:val="{2C59E1EE-EE43-4034-B684-A9C70CD6D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D26"/>
    <w:rPr>
      <w:lang w:val="es-419"/>
    </w:rPr>
  </w:style>
  <w:style w:type="paragraph" w:styleId="Ttulo1">
    <w:name w:val="heading 1"/>
    <w:basedOn w:val="Normal"/>
    <w:next w:val="Normal"/>
    <w:link w:val="Ttulo1Car"/>
    <w:uiPriority w:val="9"/>
    <w:qFormat/>
    <w:rsid w:val="003A5B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A5B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A5B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5B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5B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5B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5B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5B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5B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5B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A5B8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A5B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5B8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5B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5B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5B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5B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5B88"/>
    <w:rPr>
      <w:rFonts w:eastAsiaTheme="majorEastAsia" w:cstheme="majorBidi"/>
      <w:color w:val="272727" w:themeColor="text1" w:themeTint="D8"/>
    </w:rPr>
  </w:style>
  <w:style w:type="paragraph" w:styleId="Ttulo">
    <w:name w:val="Title"/>
    <w:basedOn w:val="Normal"/>
    <w:next w:val="Normal"/>
    <w:link w:val="TtuloCar"/>
    <w:uiPriority w:val="10"/>
    <w:qFormat/>
    <w:rsid w:val="003A5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5B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5B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5B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5B88"/>
    <w:pPr>
      <w:spacing w:before="160"/>
      <w:jc w:val="center"/>
    </w:pPr>
    <w:rPr>
      <w:i/>
      <w:iCs/>
      <w:color w:val="404040" w:themeColor="text1" w:themeTint="BF"/>
    </w:rPr>
  </w:style>
  <w:style w:type="character" w:customStyle="1" w:styleId="CitaCar">
    <w:name w:val="Cita Car"/>
    <w:basedOn w:val="Fuentedeprrafopredeter"/>
    <w:link w:val="Cita"/>
    <w:uiPriority w:val="29"/>
    <w:rsid w:val="003A5B88"/>
    <w:rPr>
      <w:i/>
      <w:iCs/>
      <w:color w:val="404040" w:themeColor="text1" w:themeTint="BF"/>
    </w:rPr>
  </w:style>
  <w:style w:type="paragraph" w:styleId="Prrafodelista">
    <w:name w:val="List Paragraph"/>
    <w:basedOn w:val="Normal"/>
    <w:uiPriority w:val="34"/>
    <w:qFormat/>
    <w:rsid w:val="003A5B88"/>
    <w:pPr>
      <w:ind w:left="720"/>
      <w:contextualSpacing/>
    </w:pPr>
  </w:style>
  <w:style w:type="character" w:styleId="nfasisintenso">
    <w:name w:val="Intense Emphasis"/>
    <w:basedOn w:val="Fuentedeprrafopredeter"/>
    <w:uiPriority w:val="21"/>
    <w:qFormat/>
    <w:rsid w:val="003A5B88"/>
    <w:rPr>
      <w:i/>
      <w:iCs/>
      <w:color w:val="0F4761" w:themeColor="accent1" w:themeShade="BF"/>
    </w:rPr>
  </w:style>
  <w:style w:type="paragraph" w:styleId="Citadestacada">
    <w:name w:val="Intense Quote"/>
    <w:basedOn w:val="Normal"/>
    <w:next w:val="Normal"/>
    <w:link w:val="CitadestacadaCar"/>
    <w:uiPriority w:val="30"/>
    <w:qFormat/>
    <w:rsid w:val="003A5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5B88"/>
    <w:rPr>
      <w:i/>
      <w:iCs/>
      <w:color w:val="0F4761" w:themeColor="accent1" w:themeShade="BF"/>
    </w:rPr>
  </w:style>
  <w:style w:type="character" w:styleId="Referenciaintensa">
    <w:name w:val="Intense Reference"/>
    <w:basedOn w:val="Fuentedeprrafopredeter"/>
    <w:uiPriority w:val="32"/>
    <w:qFormat/>
    <w:rsid w:val="003A5B88"/>
    <w:rPr>
      <w:b/>
      <w:bCs/>
      <w:smallCaps/>
      <w:color w:val="0F4761" w:themeColor="accent1" w:themeShade="BF"/>
      <w:spacing w:val="5"/>
    </w:rPr>
  </w:style>
  <w:style w:type="character" w:styleId="Hipervnculo">
    <w:name w:val="Hyperlink"/>
    <w:basedOn w:val="Fuentedeprrafopredeter"/>
    <w:uiPriority w:val="99"/>
    <w:unhideWhenUsed/>
    <w:rsid w:val="00785D26"/>
    <w:rPr>
      <w:color w:val="467886" w:themeColor="hyperlink"/>
      <w:u w:val="single"/>
    </w:rPr>
  </w:style>
  <w:style w:type="character" w:styleId="Mencinsinresolver">
    <w:name w:val="Unresolved Mention"/>
    <w:basedOn w:val="Fuentedeprrafopredeter"/>
    <w:uiPriority w:val="99"/>
    <w:semiHidden/>
    <w:unhideWhenUsed/>
    <w:rsid w:val="00785D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7841">
      <w:bodyDiv w:val="1"/>
      <w:marLeft w:val="0"/>
      <w:marRight w:val="0"/>
      <w:marTop w:val="0"/>
      <w:marBottom w:val="0"/>
      <w:divBdr>
        <w:top w:val="none" w:sz="0" w:space="0" w:color="auto"/>
        <w:left w:val="none" w:sz="0" w:space="0" w:color="auto"/>
        <w:bottom w:val="none" w:sz="0" w:space="0" w:color="auto"/>
        <w:right w:val="none" w:sz="0" w:space="0" w:color="auto"/>
      </w:divBdr>
    </w:div>
    <w:div w:id="984964909">
      <w:bodyDiv w:val="1"/>
      <w:marLeft w:val="0"/>
      <w:marRight w:val="0"/>
      <w:marTop w:val="0"/>
      <w:marBottom w:val="0"/>
      <w:divBdr>
        <w:top w:val="none" w:sz="0" w:space="0" w:color="auto"/>
        <w:left w:val="none" w:sz="0" w:space="0" w:color="auto"/>
        <w:bottom w:val="none" w:sz="0" w:space="0" w:color="auto"/>
        <w:right w:val="none" w:sz="0" w:space="0" w:color="auto"/>
      </w:divBdr>
    </w:div>
    <w:div w:id="988750897">
      <w:bodyDiv w:val="1"/>
      <w:marLeft w:val="0"/>
      <w:marRight w:val="0"/>
      <w:marTop w:val="0"/>
      <w:marBottom w:val="0"/>
      <w:divBdr>
        <w:top w:val="none" w:sz="0" w:space="0" w:color="auto"/>
        <w:left w:val="none" w:sz="0" w:space="0" w:color="auto"/>
        <w:bottom w:val="none" w:sz="0" w:space="0" w:color="auto"/>
        <w:right w:val="none" w:sz="0" w:space="0" w:color="auto"/>
      </w:divBdr>
    </w:div>
    <w:div w:id="1508060759">
      <w:bodyDiv w:val="1"/>
      <w:marLeft w:val="0"/>
      <w:marRight w:val="0"/>
      <w:marTop w:val="0"/>
      <w:marBottom w:val="0"/>
      <w:divBdr>
        <w:top w:val="none" w:sz="0" w:space="0" w:color="auto"/>
        <w:left w:val="none" w:sz="0" w:space="0" w:color="auto"/>
        <w:bottom w:val="none" w:sz="0" w:space="0" w:color="auto"/>
        <w:right w:val="none" w:sz="0" w:space="0" w:color="auto"/>
      </w:divBdr>
    </w:div>
    <w:div w:id="1559628315">
      <w:bodyDiv w:val="1"/>
      <w:marLeft w:val="0"/>
      <w:marRight w:val="0"/>
      <w:marTop w:val="0"/>
      <w:marBottom w:val="0"/>
      <w:divBdr>
        <w:top w:val="none" w:sz="0" w:space="0" w:color="auto"/>
        <w:left w:val="none" w:sz="0" w:space="0" w:color="auto"/>
        <w:bottom w:val="none" w:sz="0" w:space="0" w:color="auto"/>
        <w:right w:val="none" w:sz="0" w:space="0" w:color="auto"/>
      </w:divBdr>
    </w:div>
    <w:div w:id="1771123931">
      <w:bodyDiv w:val="1"/>
      <w:marLeft w:val="0"/>
      <w:marRight w:val="0"/>
      <w:marTop w:val="0"/>
      <w:marBottom w:val="0"/>
      <w:divBdr>
        <w:top w:val="none" w:sz="0" w:space="0" w:color="auto"/>
        <w:left w:val="none" w:sz="0" w:space="0" w:color="auto"/>
        <w:bottom w:val="none" w:sz="0" w:space="0" w:color="auto"/>
        <w:right w:val="none" w:sz="0" w:space="0" w:color="auto"/>
      </w:divBdr>
    </w:div>
    <w:div w:id="1937329322">
      <w:bodyDiv w:val="1"/>
      <w:marLeft w:val="0"/>
      <w:marRight w:val="0"/>
      <w:marTop w:val="0"/>
      <w:marBottom w:val="0"/>
      <w:divBdr>
        <w:top w:val="none" w:sz="0" w:space="0" w:color="auto"/>
        <w:left w:val="none" w:sz="0" w:space="0" w:color="auto"/>
        <w:bottom w:val="none" w:sz="0" w:space="0" w:color="auto"/>
        <w:right w:val="none" w:sz="0" w:space="0" w:color="auto"/>
      </w:divBdr>
    </w:div>
    <w:div w:id="204204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erubio@redcogloba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3</Pages>
  <Words>1141</Words>
  <Characters>6280</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Matías Fuentes</dc:creator>
  <cp:keywords/>
  <dc:description/>
  <cp:lastModifiedBy>Alejandra Montalvan</cp:lastModifiedBy>
  <cp:revision>5</cp:revision>
  <dcterms:created xsi:type="dcterms:W3CDTF">2025-04-08T22:04:00Z</dcterms:created>
  <dcterms:modified xsi:type="dcterms:W3CDTF">2025-04-23T16:38:00Z</dcterms:modified>
</cp:coreProperties>
</file>