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77D617" w14:textId="77777777" w:rsidR="00612E95" w:rsidRPr="00612E95" w:rsidRDefault="00612E95" w:rsidP="009C03DF">
      <w:pPr>
        <w:autoSpaceDE w:val="0"/>
        <w:autoSpaceDN w:val="0"/>
        <w:adjustRightInd w:val="0"/>
        <w:spacing w:after="0" w:line="360" w:lineRule="auto"/>
        <w:ind w:right="494"/>
        <w:rPr>
          <w:rFonts w:ascii="Arial" w:hAnsi="Arial" w:cs="Arial"/>
          <w:color w:val="000000"/>
          <w:sz w:val="24"/>
          <w:szCs w:val="24"/>
        </w:rPr>
      </w:pPr>
    </w:p>
    <w:p w14:paraId="5C5CFCB5" w14:textId="5D8F30F8" w:rsidR="00612E95" w:rsidRPr="00612E95" w:rsidRDefault="00612E95" w:rsidP="009C03DF">
      <w:pPr>
        <w:autoSpaceDE w:val="0"/>
        <w:autoSpaceDN w:val="0"/>
        <w:adjustRightInd w:val="0"/>
        <w:spacing w:after="0" w:line="360" w:lineRule="auto"/>
        <w:ind w:right="494"/>
        <w:jc w:val="center"/>
        <w:rPr>
          <w:rFonts w:ascii="Arial" w:hAnsi="Arial" w:cs="Arial"/>
          <w:color w:val="000000"/>
        </w:rPr>
      </w:pPr>
      <w:r w:rsidRPr="00612E95">
        <w:rPr>
          <w:rFonts w:ascii="Arial" w:hAnsi="Arial" w:cs="Arial"/>
          <w:b/>
          <w:bCs/>
          <w:color w:val="000000"/>
        </w:rPr>
        <w:t>FORO DE TECNOLOGÍA, INNOVACIÓN Y SOSTENIBILIDAD</w:t>
      </w:r>
    </w:p>
    <w:p w14:paraId="4BC7AE18" w14:textId="161F072A" w:rsidR="00612E95" w:rsidRDefault="00612E95" w:rsidP="009C03DF">
      <w:pPr>
        <w:pStyle w:val="Default"/>
        <w:spacing w:line="360" w:lineRule="auto"/>
        <w:ind w:right="494"/>
        <w:jc w:val="center"/>
        <w:rPr>
          <w:b/>
          <w:bCs/>
          <w:sz w:val="22"/>
          <w:szCs w:val="22"/>
        </w:rPr>
      </w:pPr>
      <w:r w:rsidRPr="00612E95">
        <w:rPr>
          <w:b/>
          <w:bCs/>
          <w:sz w:val="22"/>
          <w:szCs w:val="22"/>
        </w:rPr>
        <w:t>PREMIO NACIONAL DE MINERÍA</w:t>
      </w:r>
    </w:p>
    <w:p w14:paraId="44EB7BB6" w14:textId="1945AF2C" w:rsidR="00612E95" w:rsidRPr="00612E95" w:rsidRDefault="00612E95" w:rsidP="009C03DF">
      <w:pPr>
        <w:autoSpaceDE w:val="0"/>
        <w:autoSpaceDN w:val="0"/>
        <w:adjustRightInd w:val="0"/>
        <w:spacing w:after="0" w:line="360" w:lineRule="auto"/>
        <w:ind w:right="494"/>
        <w:jc w:val="center"/>
        <w:rPr>
          <w:rFonts w:ascii="Arial" w:hAnsi="Arial" w:cs="Arial"/>
          <w:color w:val="000000"/>
        </w:rPr>
      </w:pPr>
      <w:r>
        <w:rPr>
          <w:rFonts w:ascii="Arial" w:hAnsi="Arial" w:cs="Arial"/>
          <w:b/>
          <w:bCs/>
          <w:color w:val="000000"/>
        </w:rPr>
        <w:t>RESUMEN</w:t>
      </w:r>
      <w:r w:rsidRPr="00612E95">
        <w:rPr>
          <w:rFonts w:ascii="Arial" w:hAnsi="Arial" w:cs="Arial"/>
          <w:b/>
          <w:bCs/>
          <w:color w:val="000000"/>
        </w:rPr>
        <w:t xml:space="preserve"> DE TRABAJOS TÉCNICOS</w:t>
      </w:r>
    </w:p>
    <w:p w14:paraId="3F629B45" w14:textId="77777777" w:rsidR="00612E95" w:rsidRDefault="00612E95" w:rsidP="009C03DF">
      <w:pPr>
        <w:pStyle w:val="Default"/>
        <w:spacing w:line="360" w:lineRule="auto"/>
        <w:ind w:right="494"/>
        <w:jc w:val="center"/>
        <w:rPr>
          <w:b/>
          <w:bCs/>
          <w:sz w:val="22"/>
          <w:szCs w:val="22"/>
        </w:rPr>
      </w:pPr>
    </w:p>
    <w:p w14:paraId="7CB15453" w14:textId="1B67AC2D" w:rsidR="001B0C47" w:rsidRDefault="001B0C47" w:rsidP="009C03DF">
      <w:pPr>
        <w:pStyle w:val="Default"/>
        <w:spacing w:line="360" w:lineRule="auto"/>
        <w:ind w:right="494"/>
        <w:jc w:val="both"/>
        <w:rPr>
          <w:sz w:val="22"/>
          <w:szCs w:val="22"/>
        </w:rPr>
      </w:pPr>
      <w:r w:rsidRPr="001B0C47">
        <w:rPr>
          <w:b/>
          <w:bCs/>
          <w:sz w:val="22"/>
          <w:szCs w:val="22"/>
        </w:rPr>
        <w:t xml:space="preserve">Título: </w:t>
      </w:r>
      <w:r w:rsidR="00925557" w:rsidRPr="00925557">
        <w:rPr>
          <w:bCs/>
          <w:sz w:val="22"/>
          <w:szCs w:val="22"/>
        </w:rPr>
        <w:t xml:space="preserve">Cuando la obra es de todos: </w:t>
      </w:r>
      <w:r w:rsidR="00925557">
        <w:rPr>
          <w:bCs/>
          <w:sz w:val="22"/>
          <w:szCs w:val="22"/>
        </w:rPr>
        <w:t xml:space="preserve">Modelo para </w:t>
      </w:r>
      <w:r w:rsidR="00925557" w:rsidRPr="00925557">
        <w:rPr>
          <w:bCs/>
          <w:sz w:val="22"/>
          <w:szCs w:val="22"/>
        </w:rPr>
        <w:t xml:space="preserve">la apropiación </w:t>
      </w:r>
      <w:r w:rsidRPr="00925557">
        <w:rPr>
          <w:sz w:val="22"/>
          <w:szCs w:val="22"/>
        </w:rPr>
        <w:t>de la in</w:t>
      </w:r>
      <w:r>
        <w:rPr>
          <w:sz w:val="22"/>
          <w:szCs w:val="22"/>
        </w:rPr>
        <w:t xml:space="preserve">fraestructura en el marco </w:t>
      </w:r>
      <w:r w:rsidR="00925557">
        <w:rPr>
          <w:sz w:val="22"/>
          <w:szCs w:val="22"/>
        </w:rPr>
        <w:t>las</w:t>
      </w:r>
      <w:r>
        <w:rPr>
          <w:sz w:val="22"/>
          <w:szCs w:val="22"/>
        </w:rPr>
        <w:t xml:space="preserve"> Obras por Impuestos. </w:t>
      </w:r>
    </w:p>
    <w:p w14:paraId="39FCDF60" w14:textId="77777777" w:rsidR="001B0C47" w:rsidRDefault="001B0C47" w:rsidP="009C03DF">
      <w:pPr>
        <w:pStyle w:val="Default"/>
        <w:spacing w:line="360" w:lineRule="auto"/>
        <w:ind w:right="494"/>
        <w:jc w:val="both"/>
        <w:rPr>
          <w:sz w:val="22"/>
          <w:szCs w:val="22"/>
        </w:rPr>
      </w:pPr>
      <w:r w:rsidRPr="001B0C47">
        <w:rPr>
          <w:b/>
          <w:bCs/>
          <w:sz w:val="22"/>
          <w:szCs w:val="22"/>
        </w:rPr>
        <w:t xml:space="preserve">Tema: </w:t>
      </w:r>
      <w:r w:rsidRPr="001B0C47">
        <w:rPr>
          <w:sz w:val="22"/>
          <w:szCs w:val="22"/>
        </w:rPr>
        <w:t>Nuevos enfoques en relacionamiento comunitario</w:t>
      </w:r>
      <w:r>
        <w:rPr>
          <w:sz w:val="22"/>
          <w:szCs w:val="22"/>
        </w:rPr>
        <w:t xml:space="preserve"> (8)</w:t>
      </w:r>
    </w:p>
    <w:p w14:paraId="35123D05" w14:textId="77777777" w:rsidR="001B0C47" w:rsidRPr="001B0C47" w:rsidRDefault="001B0C47" w:rsidP="009C03DF">
      <w:pPr>
        <w:pStyle w:val="Default"/>
        <w:spacing w:line="360" w:lineRule="auto"/>
        <w:ind w:right="494"/>
        <w:jc w:val="both"/>
        <w:rPr>
          <w:sz w:val="22"/>
          <w:szCs w:val="22"/>
        </w:rPr>
      </w:pPr>
      <w:r w:rsidRPr="001B0C47">
        <w:rPr>
          <w:b/>
          <w:bCs/>
          <w:sz w:val="22"/>
          <w:szCs w:val="22"/>
        </w:rPr>
        <w:t xml:space="preserve">Categoría: </w:t>
      </w:r>
      <w:r w:rsidRPr="001B0C47">
        <w:rPr>
          <w:sz w:val="22"/>
          <w:szCs w:val="22"/>
        </w:rPr>
        <w:t>ESG (</w:t>
      </w:r>
      <w:proofErr w:type="spellStart"/>
      <w:r w:rsidRPr="001B0C47">
        <w:rPr>
          <w:sz w:val="22"/>
          <w:szCs w:val="22"/>
        </w:rPr>
        <w:t>Environmental</w:t>
      </w:r>
      <w:proofErr w:type="spellEnd"/>
      <w:r w:rsidRPr="001B0C47">
        <w:rPr>
          <w:sz w:val="22"/>
          <w:szCs w:val="22"/>
        </w:rPr>
        <w:t xml:space="preserve">, Social, </w:t>
      </w:r>
      <w:proofErr w:type="spellStart"/>
      <w:r w:rsidRPr="001B0C47">
        <w:rPr>
          <w:sz w:val="22"/>
          <w:szCs w:val="22"/>
        </w:rPr>
        <w:t>Governance</w:t>
      </w:r>
      <w:proofErr w:type="spellEnd"/>
      <w:r w:rsidRPr="001B0C47">
        <w:rPr>
          <w:sz w:val="22"/>
          <w:szCs w:val="22"/>
        </w:rPr>
        <w:t xml:space="preserve">) </w:t>
      </w:r>
      <w:r>
        <w:rPr>
          <w:sz w:val="22"/>
          <w:szCs w:val="22"/>
        </w:rPr>
        <w:t>(4)</w:t>
      </w:r>
    </w:p>
    <w:p w14:paraId="17BBA5D0" w14:textId="0B4AA284" w:rsidR="001B0C47" w:rsidRDefault="001B0C47" w:rsidP="009C03DF">
      <w:pPr>
        <w:pStyle w:val="Default"/>
        <w:spacing w:line="360" w:lineRule="auto"/>
        <w:ind w:right="494"/>
        <w:jc w:val="both"/>
        <w:rPr>
          <w:b/>
          <w:bCs/>
          <w:sz w:val="22"/>
          <w:szCs w:val="22"/>
        </w:rPr>
      </w:pPr>
      <w:r w:rsidRPr="001B0C47">
        <w:rPr>
          <w:b/>
          <w:bCs/>
          <w:sz w:val="22"/>
          <w:szCs w:val="22"/>
        </w:rPr>
        <w:t>Datos d</w:t>
      </w:r>
      <w:r w:rsidR="007237CD">
        <w:rPr>
          <w:b/>
          <w:bCs/>
          <w:sz w:val="22"/>
          <w:szCs w:val="22"/>
        </w:rPr>
        <w:t>e los autores:</w:t>
      </w:r>
    </w:p>
    <w:p w14:paraId="42692AE0" w14:textId="7A38627D" w:rsidR="001B0C47" w:rsidRDefault="001B0C47" w:rsidP="009C03DF">
      <w:pPr>
        <w:pStyle w:val="Default"/>
        <w:spacing w:line="360" w:lineRule="auto"/>
        <w:ind w:right="494"/>
        <w:jc w:val="both"/>
        <w:rPr>
          <w:sz w:val="22"/>
          <w:szCs w:val="22"/>
        </w:rPr>
      </w:pPr>
      <w:r w:rsidRPr="007237CD">
        <w:rPr>
          <w:b/>
          <w:sz w:val="22"/>
          <w:szCs w:val="22"/>
        </w:rPr>
        <w:t>Elvira Josefina Aquije Hernández</w:t>
      </w:r>
      <w:r w:rsidR="007237CD">
        <w:rPr>
          <w:sz w:val="22"/>
          <w:szCs w:val="22"/>
        </w:rPr>
        <w:t xml:space="preserve">, Directora de Desarrollo de Negocio de </w:t>
      </w:r>
      <w:proofErr w:type="spellStart"/>
      <w:r w:rsidR="007237CD">
        <w:rPr>
          <w:sz w:val="22"/>
          <w:szCs w:val="22"/>
        </w:rPr>
        <w:t>Responde</w:t>
      </w:r>
      <w:proofErr w:type="spellEnd"/>
      <w:r w:rsidR="007237CD">
        <w:rPr>
          <w:sz w:val="22"/>
          <w:szCs w:val="22"/>
        </w:rPr>
        <w:t xml:space="preserve">. </w:t>
      </w:r>
    </w:p>
    <w:p w14:paraId="16D8CDAA" w14:textId="451098DF" w:rsidR="001B0C47" w:rsidRDefault="001B0C47" w:rsidP="009C03DF">
      <w:pPr>
        <w:pStyle w:val="Default"/>
        <w:spacing w:line="360" w:lineRule="auto"/>
        <w:ind w:right="494"/>
        <w:jc w:val="both"/>
        <w:rPr>
          <w:sz w:val="22"/>
          <w:szCs w:val="22"/>
        </w:rPr>
      </w:pPr>
      <w:r>
        <w:rPr>
          <w:sz w:val="22"/>
          <w:szCs w:val="22"/>
        </w:rPr>
        <w:t>Av. Del Parque Norte 1160 San Borja</w:t>
      </w:r>
      <w:r w:rsidR="007237CD">
        <w:rPr>
          <w:sz w:val="22"/>
          <w:szCs w:val="22"/>
        </w:rPr>
        <w:t xml:space="preserve">, </w:t>
      </w:r>
      <w:hyperlink r:id="rId8" w:history="1">
        <w:r w:rsidR="007237CD" w:rsidRPr="00203211">
          <w:rPr>
            <w:rStyle w:val="Hipervnculo"/>
            <w:sz w:val="22"/>
            <w:szCs w:val="22"/>
          </w:rPr>
          <w:t>eaquije@responde.pe/</w:t>
        </w:r>
      </w:hyperlink>
      <w:r w:rsidR="007237CD">
        <w:rPr>
          <w:sz w:val="22"/>
          <w:szCs w:val="22"/>
        </w:rPr>
        <w:t xml:space="preserve"> </w:t>
      </w:r>
      <w:hyperlink r:id="rId9" w:history="1">
        <w:r w:rsidRPr="003900D8">
          <w:rPr>
            <w:rStyle w:val="Hipervnculo"/>
            <w:sz w:val="22"/>
            <w:szCs w:val="22"/>
          </w:rPr>
          <w:t>elvira.aquije@gmail.com</w:t>
        </w:r>
      </w:hyperlink>
      <w:r w:rsidR="007237CD">
        <w:rPr>
          <w:rStyle w:val="Hipervnculo"/>
          <w:sz w:val="22"/>
          <w:szCs w:val="22"/>
        </w:rPr>
        <w:t xml:space="preserve">, </w:t>
      </w:r>
      <w:r>
        <w:rPr>
          <w:sz w:val="22"/>
          <w:szCs w:val="22"/>
        </w:rPr>
        <w:t>960825857</w:t>
      </w:r>
      <w:r w:rsidR="007237CD">
        <w:rPr>
          <w:sz w:val="22"/>
          <w:szCs w:val="22"/>
        </w:rPr>
        <w:t xml:space="preserve">. </w:t>
      </w:r>
    </w:p>
    <w:p w14:paraId="109395C0" w14:textId="141063DC" w:rsidR="001B0C47" w:rsidRPr="007237CD" w:rsidRDefault="00CD33C9" w:rsidP="009C03DF">
      <w:pPr>
        <w:pStyle w:val="Default"/>
        <w:spacing w:line="360" w:lineRule="auto"/>
        <w:ind w:right="494"/>
        <w:jc w:val="both"/>
        <w:rPr>
          <w:color w:val="auto"/>
          <w:sz w:val="22"/>
          <w:szCs w:val="22"/>
        </w:rPr>
      </w:pPr>
      <w:r w:rsidRPr="007237CD">
        <w:rPr>
          <w:b/>
          <w:color w:val="auto"/>
          <w:sz w:val="22"/>
          <w:szCs w:val="22"/>
        </w:rPr>
        <w:t>Saadia</w:t>
      </w:r>
      <w:r w:rsidR="007237CD" w:rsidRPr="007237CD">
        <w:rPr>
          <w:b/>
          <w:color w:val="auto"/>
          <w:sz w:val="22"/>
          <w:szCs w:val="22"/>
        </w:rPr>
        <w:t xml:space="preserve"> Espinoza Nicho</w:t>
      </w:r>
      <w:r w:rsidR="007237CD">
        <w:rPr>
          <w:color w:val="auto"/>
          <w:sz w:val="22"/>
          <w:szCs w:val="22"/>
        </w:rPr>
        <w:t xml:space="preserve">, </w:t>
      </w:r>
      <w:r w:rsidR="007237CD" w:rsidRPr="007237CD">
        <w:rPr>
          <w:color w:val="auto"/>
          <w:sz w:val="22"/>
          <w:szCs w:val="22"/>
        </w:rPr>
        <w:t>Gerente de Gestión Social y Derechos Humanos</w:t>
      </w:r>
      <w:r w:rsidR="007237CD">
        <w:rPr>
          <w:color w:val="auto"/>
          <w:sz w:val="22"/>
          <w:szCs w:val="22"/>
        </w:rPr>
        <w:t xml:space="preserve"> de </w:t>
      </w:r>
      <w:proofErr w:type="spellStart"/>
      <w:r w:rsidR="007237CD">
        <w:rPr>
          <w:color w:val="auto"/>
          <w:sz w:val="22"/>
          <w:szCs w:val="22"/>
        </w:rPr>
        <w:t>Responde</w:t>
      </w:r>
      <w:proofErr w:type="spellEnd"/>
      <w:r w:rsidR="007237CD">
        <w:rPr>
          <w:color w:val="auto"/>
          <w:sz w:val="22"/>
          <w:szCs w:val="22"/>
        </w:rPr>
        <w:t xml:space="preserve">. </w:t>
      </w:r>
      <w:r w:rsidR="001B0C47" w:rsidRPr="007237CD">
        <w:rPr>
          <w:color w:val="auto"/>
          <w:sz w:val="22"/>
          <w:szCs w:val="22"/>
        </w:rPr>
        <w:t>Responde</w:t>
      </w:r>
    </w:p>
    <w:p w14:paraId="0CE0E81C" w14:textId="3899F044" w:rsidR="001B0C47" w:rsidRPr="007237CD" w:rsidRDefault="001B0C47" w:rsidP="009C03DF">
      <w:pPr>
        <w:pStyle w:val="Default"/>
        <w:spacing w:line="360" w:lineRule="auto"/>
        <w:ind w:right="494"/>
        <w:jc w:val="both"/>
        <w:rPr>
          <w:color w:val="auto"/>
          <w:sz w:val="22"/>
          <w:szCs w:val="22"/>
        </w:rPr>
      </w:pPr>
      <w:r w:rsidRPr="007237CD">
        <w:rPr>
          <w:color w:val="auto"/>
          <w:sz w:val="22"/>
          <w:szCs w:val="22"/>
        </w:rPr>
        <w:t>Av. Del Parque Norte 1160 San Borja</w:t>
      </w:r>
      <w:r w:rsidR="007237CD">
        <w:rPr>
          <w:color w:val="auto"/>
          <w:sz w:val="22"/>
          <w:szCs w:val="22"/>
        </w:rPr>
        <w:t xml:space="preserve">, </w:t>
      </w:r>
      <w:hyperlink r:id="rId10" w:history="1">
        <w:r w:rsidR="007237CD" w:rsidRPr="00203211">
          <w:rPr>
            <w:rStyle w:val="Hipervnculo"/>
            <w:sz w:val="22"/>
            <w:szCs w:val="22"/>
          </w:rPr>
          <w:t>sespinoza@resonde.pe/</w:t>
        </w:r>
      </w:hyperlink>
      <w:r w:rsidR="007237CD">
        <w:rPr>
          <w:color w:val="FF0000"/>
          <w:sz w:val="22"/>
          <w:szCs w:val="22"/>
        </w:rPr>
        <w:t xml:space="preserve"> </w:t>
      </w:r>
      <w:hyperlink r:id="rId11" w:history="1">
        <w:r w:rsidR="007237CD" w:rsidRPr="00203211">
          <w:rPr>
            <w:rStyle w:val="Hipervnculo"/>
            <w:sz w:val="22"/>
            <w:szCs w:val="22"/>
          </w:rPr>
          <w:t>saadia.espinoza@gmail.com</w:t>
        </w:r>
      </w:hyperlink>
      <w:r w:rsidR="007237CD">
        <w:rPr>
          <w:sz w:val="22"/>
          <w:szCs w:val="22"/>
        </w:rPr>
        <w:t xml:space="preserve">, </w:t>
      </w:r>
      <w:r w:rsidR="00CD33C9" w:rsidRPr="007237CD">
        <w:rPr>
          <w:color w:val="auto"/>
          <w:sz w:val="22"/>
          <w:szCs w:val="22"/>
        </w:rPr>
        <w:t>9</w:t>
      </w:r>
      <w:r w:rsidR="007237CD" w:rsidRPr="007237CD">
        <w:rPr>
          <w:color w:val="auto"/>
          <w:sz w:val="22"/>
          <w:szCs w:val="22"/>
        </w:rPr>
        <w:t>52267094</w:t>
      </w:r>
      <w:r w:rsidR="007237CD">
        <w:rPr>
          <w:color w:val="auto"/>
          <w:sz w:val="22"/>
          <w:szCs w:val="22"/>
        </w:rPr>
        <w:t xml:space="preserve">. </w:t>
      </w:r>
    </w:p>
    <w:p w14:paraId="2B3525A2" w14:textId="77777777" w:rsidR="001B0C47" w:rsidRPr="001B0C47" w:rsidRDefault="001B0C47" w:rsidP="009C03DF">
      <w:pPr>
        <w:pStyle w:val="Default"/>
        <w:spacing w:line="360" w:lineRule="auto"/>
        <w:ind w:right="494"/>
        <w:jc w:val="both"/>
        <w:rPr>
          <w:sz w:val="22"/>
          <w:szCs w:val="22"/>
        </w:rPr>
      </w:pPr>
      <w:r w:rsidRPr="001B0C47">
        <w:rPr>
          <w:b/>
          <w:bCs/>
          <w:sz w:val="22"/>
          <w:szCs w:val="22"/>
        </w:rPr>
        <w:t>Palabras claves:</w:t>
      </w:r>
      <w:r>
        <w:rPr>
          <w:b/>
          <w:bCs/>
          <w:sz w:val="22"/>
          <w:szCs w:val="22"/>
        </w:rPr>
        <w:t xml:space="preserve"> </w:t>
      </w:r>
      <w:r>
        <w:rPr>
          <w:sz w:val="22"/>
          <w:szCs w:val="22"/>
        </w:rPr>
        <w:t>Relacionamiento, Obras por Impuestos, Gestión Social, Riesgos, Infraestructura, Inversión</w:t>
      </w:r>
      <w:r w:rsidRPr="001B0C47">
        <w:rPr>
          <w:sz w:val="22"/>
          <w:szCs w:val="22"/>
        </w:rPr>
        <w:t xml:space="preserve">. </w:t>
      </w:r>
    </w:p>
    <w:p w14:paraId="30F178D1" w14:textId="77777777" w:rsidR="001B0C47" w:rsidRDefault="001B0C47" w:rsidP="009C03DF">
      <w:pPr>
        <w:pStyle w:val="Default"/>
        <w:spacing w:line="360" w:lineRule="auto"/>
        <w:ind w:right="494"/>
        <w:jc w:val="both"/>
        <w:rPr>
          <w:b/>
          <w:bCs/>
          <w:sz w:val="22"/>
          <w:szCs w:val="22"/>
        </w:rPr>
      </w:pPr>
    </w:p>
    <w:p w14:paraId="3AB4AFE9" w14:textId="77777777" w:rsidR="001B0C47" w:rsidRPr="001B0C47" w:rsidRDefault="001B0C47" w:rsidP="009C03DF">
      <w:pPr>
        <w:pStyle w:val="Default"/>
        <w:spacing w:line="360" w:lineRule="auto"/>
        <w:ind w:right="494"/>
        <w:jc w:val="both"/>
        <w:rPr>
          <w:sz w:val="22"/>
          <w:szCs w:val="22"/>
        </w:rPr>
      </w:pPr>
      <w:r w:rsidRPr="001B0C47">
        <w:rPr>
          <w:b/>
          <w:bCs/>
          <w:sz w:val="22"/>
          <w:szCs w:val="22"/>
        </w:rPr>
        <w:t xml:space="preserve">RESUMEN DE TRABAJO TÉCNICO A PRESENTARSE: </w:t>
      </w:r>
    </w:p>
    <w:p w14:paraId="2EEC4189" w14:textId="1AE72BE9" w:rsidR="00E4210F" w:rsidRDefault="00925557" w:rsidP="009C03DF">
      <w:pPr>
        <w:pStyle w:val="Default"/>
        <w:spacing w:line="360" w:lineRule="auto"/>
        <w:ind w:right="494"/>
        <w:jc w:val="both"/>
        <w:rPr>
          <w:sz w:val="22"/>
          <w:szCs w:val="22"/>
        </w:rPr>
      </w:pPr>
      <w:r>
        <w:rPr>
          <w:sz w:val="22"/>
          <w:szCs w:val="22"/>
        </w:rPr>
        <w:t xml:space="preserve">El mecanismo de las obras por impuestos es </w:t>
      </w:r>
      <w:r w:rsidRPr="00925557">
        <w:rPr>
          <w:sz w:val="22"/>
          <w:szCs w:val="22"/>
        </w:rPr>
        <w:t xml:space="preserve">una modalidad de ejecución de inversión pública, </w:t>
      </w:r>
      <w:r>
        <w:rPr>
          <w:sz w:val="22"/>
          <w:szCs w:val="22"/>
        </w:rPr>
        <w:t xml:space="preserve">en la que el </w:t>
      </w:r>
      <w:r w:rsidRPr="00925557">
        <w:rPr>
          <w:sz w:val="22"/>
          <w:szCs w:val="22"/>
        </w:rPr>
        <w:t>sector público y privado trabaja</w:t>
      </w:r>
      <w:r>
        <w:rPr>
          <w:sz w:val="22"/>
          <w:szCs w:val="22"/>
        </w:rPr>
        <w:t>n</w:t>
      </w:r>
      <w:r w:rsidRPr="00925557">
        <w:rPr>
          <w:sz w:val="22"/>
          <w:szCs w:val="22"/>
        </w:rPr>
        <w:t xml:space="preserve"> de la mano para reducir la</w:t>
      </w:r>
      <w:r>
        <w:rPr>
          <w:sz w:val="22"/>
          <w:szCs w:val="22"/>
        </w:rPr>
        <w:t xml:space="preserve"> </w:t>
      </w:r>
      <w:r w:rsidRPr="00925557">
        <w:rPr>
          <w:sz w:val="22"/>
          <w:szCs w:val="22"/>
        </w:rPr>
        <w:t>brecha de infraestructura y servicios públicos en el país, a través</w:t>
      </w:r>
      <w:r>
        <w:rPr>
          <w:sz w:val="22"/>
          <w:szCs w:val="22"/>
        </w:rPr>
        <w:t xml:space="preserve"> </w:t>
      </w:r>
      <w:r w:rsidRPr="00925557">
        <w:rPr>
          <w:sz w:val="22"/>
          <w:szCs w:val="22"/>
        </w:rPr>
        <w:t>de la suscripción de un Convenio de Inversión.</w:t>
      </w:r>
      <w:r>
        <w:rPr>
          <w:sz w:val="22"/>
          <w:szCs w:val="22"/>
        </w:rPr>
        <w:t xml:space="preserve"> En el marco de ello, la </w:t>
      </w:r>
      <w:r w:rsidRPr="00925557">
        <w:rPr>
          <w:sz w:val="22"/>
          <w:szCs w:val="22"/>
        </w:rPr>
        <w:t>empresa privada adelanta el pago de su impuesto</w:t>
      </w:r>
      <w:r>
        <w:rPr>
          <w:sz w:val="22"/>
          <w:szCs w:val="22"/>
        </w:rPr>
        <w:t xml:space="preserve"> </w:t>
      </w:r>
      <w:r w:rsidRPr="00925557">
        <w:rPr>
          <w:sz w:val="22"/>
          <w:szCs w:val="22"/>
        </w:rPr>
        <w:t>a la renta y otros, financiando y ejecutando inversiones y/o</w:t>
      </w:r>
      <w:r>
        <w:rPr>
          <w:sz w:val="22"/>
          <w:szCs w:val="22"/>
        </w:rPr>
        <w:t xml:space="preserve"> </w:t>
      </w:r>
      <w:r w:rsidRPr="00925557">
        <w:rPr>
          <w:sz w:val="22"/>
          <w:szCs w:val="22"/>
        </w:rPr>
        <w:t>actividades de operación y mantenimiento priorizadas por las</w:t>
      </w:r>
      <w:r>
        <w:rPr>
          <w:sz w:val="22"/>
          <w:szCs w:val="22"/>
        </w:rPr>
        <w:t xml:space="preserve"> </w:t>
      </w:r>
      <w:r w:rsidRPr="00925557">
        <w:rPr>
          <w:sz w:val="22"/>
          <w:szCs w:val="22"/>
        </w:rPr>
        <w:t>entidades del gobierno nacional, regional, local y universidades</w:t>
      </w:r>
      <w:r>
        <w:rPr>
          <w:sz w:val="22"/>
          <w:szCs w:val="22"/>
        </w:rPr>
        <w:t xml:space="preserve"> </w:t>
      </w:r>
      <w:r w:rsidRPr="00925557">
        <w:rPr>
          <w:sz w:val="22"/>
          <w:szCs w:val="22"/>
        </w:rPr>
        <w:t xml:space="preserve">públicas. </w:t>
      </w:r>
    </w:p>
    <w:p w14:paraId="318C498F" w14:textId="77777777" w:rsidR="00F34BF2" w:rsidRDefault="00F34BF2" w:rsidP="009C03DF">
      <w:pPr>
        <w:pStyle w:val="Default"/>
        <w:spacing w:line="360" w:lineRule="auto"/>
        <w:ind w:right="494"/>
        <w:jc w:val="both"/>
        <w:rPr>
          <w:sz w:val="22"/>
          <w:szCs w:val="22"/>
        </w:rPr>
      </w:pPr>
    </w:p>
    <w:p w14:paraId="6014485D" w14:textId="417DD27D" w:rsidR="00925557" w:rsidRDefault="00925557" w:rsidP="009C03DF">
      <w:pPr>
        <w:pStyle w:val="Default"/>
        <w:spacing w:line="360" w:lineRule="auto"/>
        <w:ind w:right="494"/>
        <w:jc w:val="both"/>
        <w:rPr>
          <w:sz w:val="22"/>
          <w:szCs w:val="22"/>
        </w:rPr>
      </w:pPr>
      <w:r>
        <w:rPr>
          <w:sz w:val="22"/>
          <w:szCs w:val="22"/>
        </w:rPr>
        <w:t>A la fecha este mecanismo, ha logrado beneficiar a m</w:t>
      </w:r>
      <w:r w:rsidRPr="00925557">
        <w:rPr>
          <w:sz w:val="22"/>
          <w:szCs w:val="22"/>
        </w:rPr>
        <w:t>ás de 22 millones de peruanos con el desarrollo de 639 obras por un</w:t>
      </w:r>
      <w:r>
        <w:rPr>
          <w:sz w:val="22"/>
          <w:szCs w:val="22"/>
        </w:rPr>
        <w:t xml:space="preserve"> </w:t>
      </w:r>
      <w:r w:rsidRPr="00925557">
        <w:rPr>
          <w:sz w:val="22"/>
          <w:szCs w:val="22"/>
        </w:rPr>
        <w:t>monto de S/11,947 millones</w:t>
      </w:r>
      <w:r w:rsidR="00AE202F">
        <w:rPr>
          <w:sz w:val="22"/>
          <w:szCs w:val="22"/>
        </w:rPr>
        <w:t xml:space="preserve">; frente a este total el sector que más ha contribuido a la fecha es la minería, con </w:t>
      </w:r>
      <w:r w:rsidR="00AE202F" w:rsidRPr="00AE202F">
        <w:rPr>
          <w:sz w:val="22"/>
          <w:szCs w:val="22"/>
        </w:rPr>
        <w:t>S/ 4,001 millones</w:t>
      </w:r>
      <w:r w:rsidR="00AE202F">
        <w:rPr>
          <w:sz w:val="22"/>
          <w:szCs w:val="22"/>
        </w:rPr>
        <w:t xml:space="preserve">, el </w:t>
      </w:r>
      <w:r w:rsidR="00AE202F" w:rsidRPr="00AE202F">
        <w:rPr>
          <w:sz w:val="22"/>
          <w:szCs w:val="22"/>
        </w:rPr>
        <w:t>33%</w:t>
      </w:r>
      <w:r w:rsidR="00AE202F">
        <w:rPr>
          <w:sz w:val="22"/>
          <w:szCs w:val="22"/>
        </w:rPr>
        <w:t xml:space="preserve"> del monto total</w:t>
      </w:r>
      <w:r w:rsidR="00221096">
        <w:rPr>
          <w:sz w:val="22"/>
          <w:szCs w:val="22"/>
        </w:rPr>
        <w:t xml:space="preserve"> </w:t>
      </w:r>
      <w:r w:rsidR="00AE202F">
        <w:rPr>
          <w:sz w:val="22"/>
          <w:szCs w:val="22"/>
        </w:rPr>
        <w:t xml:space="preserve">de acuerdo al informe de </w:t>
      </w:r>
      <w:proofErr w:type="spellStart"/>
      <w:r w:rsidR="00AE202F">
        <w:rPr>
          <w:sz w:val="22"/>
          <w:szCs w:val="22"/>
        </w:rPr>
        <w:t>Proinversión</w:t>
      </w:r>
      <w:proofErr w:type="spellEnd"/>
      <w:r w:rsidR="00AE202F">
        <w:rPr>
          <w:sz w:val="22"/>
          <w:szCs w:val="22"/>
        </w:rPr>
        <w:t xml:space="preserve"> de febrero de 2025</w:t>
      </w:r>
      <w:r w:rsidR="0079559B">
        <w:rPr>
          <w:rStyle w:val="Refdenotaalpie"/>
          <w:sz w:val="22"/>
          <w:szCs w:val="22"/>
        </w:rPr>
        <w:footnoteReference w:id="1"/>
      </w:r>
      <w:r w:rsidR="00AE202F">
        <w:rPr>
          <w:sz w:val="22"/>
          <w:szCs w:val="22"/>
        </w:rPr>
        <w:t xml:space="preserve">. </w:t>
      </w:r>
      <w:r w:rsidR="00BD67A1">
        <w:rPr>
          <w:sz w:val="22"/>
          <w:szCs w:val="22"/>
        </w:rPr>
        <w:t xml:space="preserve">Si bien es uno de los mecanismos </w:t>
      </w:r>
      <w:r w:rsidR="00DC2881">
        <w:rPr>
          <w:sz w:val="22"/>
          <w:szCs w:val="22"/>
        </w:rPr>
        <w:t xml:space="preserve">más eficientes en comparación </w:t>
      </w:r>
      <w:r w:rsidR="00AE202F">
        <w:rPr>
          <w:sz w:val="22"/>
          <w:szCs w:val="22"/>
        </w:rPr>
        <w:t xml:space="preserve">a otras modalidades de ejecución de obras (contrata, administración directa o núcleo ejecutor) cuenta con paralizaciones que representan S/ </w:t>
      </w:r>
      <w:r w:rsidR="00AE202F" w:rsidRPr="00AE202F">
        <w:rPr>
          <w:sz w:val="22"/>
          <w:szCs w:val="22"/>
        </w:rPr>
        <w:t>141,486,474</w:t>
      </w:r>
      <w:r w:rsidR="00221096">
        <w:rPr>
          <w:sz w:val="22"/>
          <w:szCs w:val="22"/>
        </w:rPr>
        <w:t xml:space="preserve">, </w:t>
      </w:r>
      <w:r w:rsidR="00221096" w:rsidRPr="00221096">
        <w:rPr>
          <w:sz w:val="22"/>
          <w:szCs w:val="22"/>
        </w:rPr>
        <w:t>aproximadamente el 1.18% del total ejecutado</w:t>
      </w:r>
      <w:r w:rsidR="00221096">
        <w:rPr>
          <w:sz w:val="22"/>
          <w:szCs w:val="22"/>
        </w:rPr>
        <w:t>. De acuerdo al I</w:t>
      </w:r>
      <w:r w:rsidR="00221096" w:rsidRPr="00221096">
        <w:rPr>
          <w:sz w:val="22"/>
          <w:szCs w:val="22"/>
        </w:rPr>
        <w:t>nforme de obras públicas paralizadas</w:t>
      </w:r>
      <w:r w:rsidR="00221096">
        <w:rPr>
          <w:sz w:val="22"/>
          <w:szCs w:val="22"/>
        </w:rPr>
        <w:t xml:space="preserve"> de la Controlaría, al cierre 2024, las causales de paralizaciones son </w:t>
      </w:r>
      <w:r w:rsidR="00221096">
        <w:rPr>
          <w:sz w:val="22"/>
          <w:szCs w:val="22"/>
        </w:rPr>
        <w:lastRenderedPageBreak/>
        <w:t>administrativas ( incumplimiento de contrato, deficiencia del expediente técnico, discrepancias y arbitrajes u otros) eventos climáticos y conflictos sociales</w:t>
      </w:r>
      <w:r w:rsidR="0079559B">
        <w:rPr>
          <w:rStyle w:val="Refdenotaalpie"/>
          <w:sz w:val="22"/>
          <w:szCs w:val="22"/>
        </w:rPr>
        <w:footnoteReference w:id="2"/>
      </w:r>
      <w:r w:rsidR="00221096">
        <w:rPr>
          <w:sz w:val="22"/>
          <w:szCs w:val="22"/>
        </w:rPr>
        <w:t xml:space="preserve">. </w:t>
      </w:r>
    </w:p>
    <w:p w14:paraId="136F50C5" w14:textId="77777777" w:rsidR="00925557" w:rsidRDefault="00925557" w:rsidP="009C03DF">
      <w:pPr>
        <w:pStyle w:val="Default"/>
        <w:spacing w:line="360" w:lineRule="auto"/>
        <w:ind w:right="494"/>
        <w:jc w:val="both"/>
        <w:rPr>
          <w:sz w:val="22"/>
          <w:szCs w:val="22"/>
        </w:rPr>
      </w:pPr>
    </w:p>
    <w:p w14:paraId="49144D63" w14:textId="69F8E0BF" w:rsidR="002039F9" w:rsidRPr="002039F9" w:rsidRDefault="00221096" w:rsidP="009C03DF">
      <w:pPr>
        <w:pStyle w:val="Default"/>
        <w:spacing w:line="360" w:lineRule="auto"/>
        <w:ind w:right="494"/>
        <w:jc w:val="both"/>
        <w:rPr>
          <w:sz w:val="22"/>
          <w:szCs w:val="22"/>
        </w:rPr>
      </w:pPr>
      <w:r>
        <w:rPr>
          <w:sz w:val="22"/>
          <w:szCs w:val="22"/>
        </w:rPr>
        <w:t>Frente a este escenario</w:t>
      </w:r>
      <w:r w:rsidR="006C079A">
        <w:rPr>
          <w:sz w:val="22"/>
          <w:szCs w:val="22"/>
        </w:rPr>
        <w:t xml:space="preserve">, </w:t>
      </w:r>
      <w:r w:rsidR="002039F9" w:rsidRPr="002039F9">
        <w:rPr>
          <w:sz w:val="22"/>
          <w:szCs w:val="22"/>
        </w:rPr>
        <w:t>Responde ha desarrollado un modelo de apropiación de infraestructura bajo el enfoque de “una obra de todos y para todos”. Este modelo no solo busca prevenir paralizaciones, sino también facilitar la ejecución de la obra y consolidar su impacto social a largo plazo, promoviendo la apropiación por parte de los actores locales y comunales de una infraestructura que los beneficia directamente.</w:t>
      </w:r>
      <w:r w:rsidR="0079559B">
        <w:rPr>
          <w:sz w:val="22"/>
          <w:szCs w:val="22"/>
        </w:rPr>
        <w:t xml:space="preserve"> </w:t>
      </w:r>
      <w:r w:rsidR="002039F9" w:rsidRPr="002039F9">
        <w:rPr>
          <w:sz w:val="22"/>
          <w:szCs w:val="22"/>
        </w:rPr>
        <w:t>El modelo se basa en cinco ejes estratégicos:</w:t>
      </w:r>
    </w:p>
    <w:p w14:paraId="143B660B" w14:textId="6E8E70CB" w:rsidR="002039F9" w:rsidRDefault="002039F9" w:rsidP="009C03DF">
      <w:pPr>
        <w:pStyle w:val="Default"/>
        <w:numPr>
          <w:ilvl w:val="0"/>
          <w:numId w:val="4"/>
        </w:numPr>
        <w:spacing w:line="360" w:lineRule="auto"/>
        <w:ind w:right="494"/>
        <w:jc w:val="both"/>
        <w:rPr>
          <w:sz w:val="22"/>
          <w:szCs w:val="22"/>
        </w:rPr>
      </w:pPr>
      <w:r w:rsidRPr="002039F9">
        <w:rPr>
          <w:sz w:val="22"/>
          <w:szCs w:val="22"/>
        </w:rPr>
        <w:t xml:space="preserve">Alinear los objetivos </w:t>
      </w:r>
      <w:r w:rsidR="009C03DF">
        <w:rPr>
          <w:sz w:val="22"/>
          <w:szCs w:val="22"/>
        </w:rPr>
        <w:t>operativos</w:t>
      </w:r>
      <w:r w:rsidRPr="002039F9">
        <w:rPr>
          <w:sz w:val="22"/>
          <w:szCs w:val="22"/>
        </w:rPr>
        <w:t xml:space="preserve"> y sociales dentro de las empresas, promoviendo un enfoque integral que se articule con su estrategia ESG.</w:t>
      </w:r>
    </w:p>
    <w:p w14:paraId="797B592F" w14:textId="77777777" w:rsidR="002039F9" w:rsidRDefault="002039F9" w:rsidP="009C03DF">
      <w:pPr>
        <w:pStyle w:val="Default"/>
        <w:numPr>
          <w:ilvl w:val="0"/>
          <w:numId w:val="4"/>
        </w:numPr>
        <w:spacing w:line="360" w:lineRule="auto"/>
        <w:ind w:right="494"/>
        <w:jc w:val="both"/>
        <w:rPr>
          <w:sz w:val="22"/>
          <w:szCs w:val="22"/>
        </w:rPr>
      </w:pPr>
      <w:r w:rsidRPr="002039F9">
        <w:rPr>
          <w:sz w:val="22"/>
          <w:szCs w:val="22"/>
        </w:rPr>
        <w:t>Fortalecer la legitimidad de la empresa minera en la zona de intervención, a través de procesos de participación y transparencia.</w:t>
      </w:r>
    </w:p>
    <w:p w14:paraId="32AB5739" w14:textId="77777777" w:rsidR="002039F9" w:rsidRDefault="002039F9" w:rsidP="009C03DF">
      <w:pPr>
        <w:pStyle w:val="Default"/>
        <w:numPr>
          <w:ilvl w:val="0"/>
          <w:numId w:val="4"/>
        </w:numPr>
        <w:spacing w:line="360" w:lineRule="auto"/>
        <w:ind w:right="494"/>
        <w:jc w:val="both"/>
        <w:rPr>
          <w:sz w:val="22"/>
          <w:szCs w:val="22"/>
        </w:rPr>
      </w:pPr>
      <w:r w:rsidRPr="002039F9">
        <w:rPr>
          <w:sz w:val="22"/>
          <w:szCs w:val="22"/>
        </w:rPr>
        <w:t>Viabilizar la obra evitando paralizaciones por causas sociales, mediante una relación activa, informada y respetuosa con las comunidades.</w:t>
      </w:r>
    </w:p>
    <w:p w14:paraId="5CED5421" w14:textId="77777777" w:rsidR="002039F9" w:rsidRDefault="002039F9" w:rsidP="009C03DF">
      <w:pPr>
        <w:pStyle w:val="Default"/>
        <w:numPr>
          <w:ilvl w:val="0"/>
          <w:numId w:val="4"/>
        </w:numPr>
        <w:spacing w:line="360" w:lineRule="auto"/>
        <w:ind w:right="494"/>
        <w:jc w:val="both"/>
        <w:rPr>
          <w:sz w:val="22"/>
          <w:szCs w:val="22"/>
        </w:rPr>
      </w:pPr>
      <w:r w:rsidRPr="002039F9">
        <w:rPr>
          <w:sz w:val="22"/>
          <w:szCs w:val="22"/>
        </w:rPr>
        <w:t>Mejorar el uso, cuidado y sostenibilidad de la infraestructura, garantizando su funcionamiento efectivo a lo largo del tiempo.</w:t>
      </w:r>
    </w:p>
    <w:p w14:paraId="4CD4910F" w14:textId="3FF96039" w:rsidR="002039F9" w:rsidRPr="002039F9" w:rsidRDefault="002039F9" w:rsidP="009C03DF">
      <w:pPr>
        <w:pStyle w:val="Default"/>
        <w:numPr>
          <w:ilvl w:val="0"/>
          <w:numId w:val="4"/>
        </w:numPr>
        <w:spacing w:line="360" w:lineRule="auto"/>
        <w:ind w:right="494"/>
        <w:jc w:val="both"/>
        <w:rPr>
          <w:sz w:val="22"/>
          <w:szCs w:val="22"/>
        </w:rPr>
      </w:pPr>
      <w:r w:rsidRPr="002039F9">
        <w:rPr>
          <w:sz w:val="22"/>
          <w:szCs w:val="22"/>
        </w:rPr>
        <w:t>Medir el impacto social y generar aprendizajes para replicar el modelo en otros territorios o proyectos.</w:t>
      </w:r>
    </w:p>
    <w:p w14:paraId="11CDD102" w14:textId="77777777" w:rsidR="002039F9" w:rsidRPr="002039F9" w:rsidRDefault="002039F9" w:rsidP="009C03DF">
      <w:pPr>
        <w:pStyle w:val="Default"/>
        <w:spacing w:line="360" w:lineRule="auto"/>
        <w:ind w:right="494"/>
        <w:jc w:val="both"/>
        <w:rPr>
          <w:sz w:val="22"/>
          <w:szCs w:val="22"/>
        </w:rPr>
      </w:pPr>
    </w:p>
    <w:p w14:paraId="70EE41A9" w14:textId="481A648A" w:rsidR="002039F9" w:rsidRDefault="002039F9" w:rsidP="009C03DF">
      <w:pPr>
        <w:pStyle w:val="Default"/>
        <w:spacing w:line="360" w:lineRule="auto"/>
        <w:ind w:right="494"/>
        <w:jc w:val="both"/>
        <w:rPr>
          <w:sz w:val="22"/>
          <w:szCs w:val="22"/>
        </w:rPr>
      </w:pPr>
      <w:r w:rsidRPr="002039F9">
        <w:rPr>
          <w:sz w:val="22"/>
          <w:szCs w:val="22"/>
        </w:rPr>
        <w:t>Este enfoque propone un cambio de paradigma respecto al modelo tradicional de intervención: la infraestructura ya no es concebida como un fin en sí mismo, sino como un medio para la transformación social. En este proceso, la empresa minera asume un rol activo como agente de desarrollo, capaz de demostrar impactos tangibles y positivos derivados de su presencia en el territorio.</w:t>
      </w:r>
    </w:p>
    <w:p w14:paraId="378FEF28" w14:textId="77777777" w:rsidR="0018699B" w:rsidRDefault="0018699B" w:rsidP="009C03DF">
      <w:pPr>
        <w:pStyle w:val="Default"/>
        <w:spacing w:line="360" w:lineRule="auto"/>
        <w:ind w:right="494"/>
        <w:jc w:val="both"/>
        <w:rPr>
          <w:sz w:val="22"/>
          <w:szCs w:val="22"/>
        </w:rPr>
      </w:pPr>
    </w:p>
    <w:p w14:paraId="66E123E2" w14:textId="16624360" w:rsidR="00B85080" w:rsidRDefault="0018699B" w:rsidP="009C03DF">
      <w:pPr>
        <w:pStyle w:val="Default"/>
        <w:spacing w:line="360" w:lineRule="auto"/>
        <w:ind w:right="494"/>
        <w:rPr>
          <w:sz w:val="22"/>
          <w:szCs w:val="22"/>
        </w:rPr>
      </w:pPr>
      <w:r>
        <w:rPr>
          <w:sz w:val="22"/>
          <w:szCs w:val="22"/>
        </w:rPr>
        <w:t xml:space="preserve">Metodología del </w:t>
      </w:r>
      <w:r w:rsidR="00B85080">
        <w:rPr>
          <w:bCs/>
          <w:sz w:val="22"/>
          <w:szCs w:val="22"/>
        </w:rPr>
        <w:t xml:space="preserve">Modelo para </w:t>
      </w:r>
      <w:r w:rsidR="00B85080" w:rsidRPr="00925557">
        <w:rPr>
          <w:bCs/>
          <w:sz w:val="22"/>
          <w:szCs w:val="22"/>
        </w:rPr>
        <w:t xml:space="preserve">la apropiación </w:t>
      </w:r>
      <w:r w:rsidR="00B85080" w:rsidRPr="00925557">
        <w:rPr>
          <w:sz w:val="22"/>
          <w:szCs w:val="22"/>
        </w:rPr>
        <w:t>de la in</w:t>
      </w:r>
      <w:r w:rsidR="00B85080">
        <w:rPr>
          <w:sz w:val="22"/>
          <w:szCs w:val="22"/>
        </w:rPr>
        <w:t>fraestructura</w:t>
      </w:r>
      <w:r>
        <w:rPr>
          <w:sz w:val="22"/>
          <w:szCs w:val="22"/>
        </w:rPr>
        <w:t xml:space="preserve">: </w:t>
      </w:r>
    </w:p>
    <w:p w14:paraId="52BF7272" w14:textId="72A95BF3" w:rsidR="0018699B" w:rsidRDefault="009C03DF" w:rsidP="009C03DF">
      <w:pPr>
        <w:pStyle w:val="Default"/>
        <w:numPr>
          <w:ilvl w:val="0"/>
          <w:numId w:val="5"/>
        </w:numPr>
        <w:spacing w:line="360" w:lineRule="auto"/>
        <w:ind w:right="494"/>
        <w:jc w:val="both"/>
        <w:rPr>
          <w:sz w:val="22"/>
          <w:szCs w:val="22"/>
        </w:rPr>
      </w:pPr>
      <w:r>
        <w:rPr>
          <w:sz w:val="22"/>
          <w:szCs w:val="22"/>
        </w:rPr>
        <w:t xml:space="preserve">Inmersión para el alineamiento de objetivos operativos, sociales con respecto a la estrategia ESG: Revisión de información, alineamiento con áreas involucradas, establecimiento de alineamiento. </w:t>
      </w:r>
    </w:p>
    <w:p w14:paraId="5E17CB2B" w14:textId="6B539D07" w:rsidR="009C03DF" w:rsidRDefault="009C03DF" w:rsidP="009C03DF">
      <w:pPr>
        <w:pStyle w:val="Default"/>
        <w:numPr>
          <w:ilvl w:val="0"/>
          <w:numId w:val="5"/>
        </w:numPr>
        <w:spacing w:line="360" w:lineRule="auto"/>
        <w:ind w:right="494"/>
        <w:jc w:val="both"/>
        <w:rPr>
          <w:sz w:val="22"/>
          <w:szCs w:val="22"/>
        </w:rPr>
      </w:pPr>
      <w:r>
        <w:rPr>
          <w:sz w:val="22"/>
          <w:szCs w:val="22"/>
        </w:rPr>
        <w:t xml:space="preserve">Involucramiento en el expediente técnico: a. Analizar, participar y/o recomendar aspectos de relacionamiento en el marco de la obra de infraestructura. b. Elaboración de plan de trabajo que incluya mapeo de actores, protocolos y/o procedimientos, oficina de sugerencias, comité o estrategia de resolución de incidentes y gestión de difusión de la obra. </w:t>
      </w:r>
    </w:p>
    <w:p w14:paraId="3DFD83BF" w14:textId="0380839E" w:rsidR="009C03DF" w:rsidRDefault="009C03DF" w:rsidP="009C03DF">
      <w:pPr>
        <w:pStyle w:val="Default"/>
        <w:numPr>
          <w:ilvl w:val="0"/>
          <w:numId w:val="5"/>
        </w:numPr>
        <w:spacing w:line="360" w:lineRule="auto"/>
        <w:ind w:right="494"/>
        <w:jc w:val="both"/>
        <w:rPr>
          <w:sz w:val="22"/>
          <w:szCs w:val="22"/>
        </w:rPr>
      </w:pPr>
      <w:r>
        <w:rPr>
          <w:sz w:val="22"/>
          <w:szCs w:val="22"/>
        </w:rPr>
        <w:lastRenderedPageBreak/>
        <w:t xml:space="preserve">Proyecto de inversión social: a. Análisis y formulación del proyecto de inversión social asociado a la obra, que establezca una temática y enfoque de cambio de comportamiento, bajo la teoría del cambio o marco lógico. b. </w:t>
      </w:r>
      <w:r w:rsidR="000C5FED">
        <w:rPr>
          <w:sz w:val="22"/>
          <w:szCs w:val="22"/>
        </w:rPr>
        <w:t xml:space="preserve">Despliegue para la ejecución del proyecto. </w:t>
      </w:r>
    </w:p>
    <w:p w14:paraId="127870AA" w14:textId="77777777" w:rsidR="000C5FED" w:rsidRDefault="000C5FED" w:rsidP="000C5FED">
      <w:pPr>
        <w:pStyle w:val="Default"/>
        <w:numPr>
          <w:ilvl w:val="0"/>
          <w:numId w:val="5"/>
        </w:numPr>
        <w:spacing w:line="360" w:lineRule="auto"/>
        <w:ind w:right="494"/>
        <w:jc w:val="both"/>
        <w:rPr>
          <w:sz w:val="22"/>
          <w:szCs w:val="22"/>
        </w:rPr>
      </w:pPr>
      <w:r>
        <w:rPr>
          <w:sz w:val="22"/>
          <w:szCs w:val="22"/>
        </w:rPr>
        <w:t>Identificación de resultados e impactos: a. Elaborar el sistema de monitoreo y evaluación del proyecto de inversión social. b. Medición de los resultados e impactos a nivel cualitativo y cuantitativo y c. Difusión de resultados y lecciones aprendidas.</w:t>
      </w:r>
    </w:p>
    <w:p w14:paraId="28219C20" w14:textId="77777777" w:rsidR="00B85080" w:rsidRDefault="00B85080" w:rsidP="009C03DF">
      <w:pPr>
        <w:pStyle w:val="Default"/>
        <w:spacing w:line="360" w:lineRule="auto"/>
        <w:ind w:right="494"/>
        <w:jc w:val="both"/>
        <w:rPr>
          <w:sz w:val="22"/>
          <w:szCs w:val="22"/>
        </w:rPr>
      </w:pPr>
    </w:p>
    <w:p w14:paraId="5C5CFB46" w14:textId="4824A66A" w:rsidR="000C5FED" w:rsidRDefault="000C5FED" w:rsidP="000C5FED">
      <w:pPr>
        <w:pStyle w:val="Default"/>
        <w:spacing w:line="360" w:lineRule="auto"/>
        <w:ind w:right="494"/>
        <w:jc w:val="both"/>
        <w:rPr>
          <w:sz w:val="22"/>
          <w:szCs w:val="22"/>
        </w:rPr>
      </w:pPr>
      <w:r>
        <w:rPr>
          <w:sz w:val="22"/>
          <w:szCs w:val="22"/>
        </w:rPr>
        <w:t>Como casos de éxito, se encuentra e</w:t>
      </w:r>
      <w:r w:rsidRPr="000C5FED">
        <w:rPr>
          <w:sz w:val="22"/>
          <w:szCs w:val="22"/>
        </w:rPr>
        <w:t>l proyecto de ampliación y mejora del sistema de saneamiento</w:t>
      </w:r>
      <w:r>
        <w:rPr>
          <w:sz w:val="22"/>
          <w:szCs w:val="22"/>
        </w:rPr>
        <w:t xml:space="preserve"> </w:t>
      </w:r>
      <w:r w:rsidRPr="000C5FED">
        <w:rPr>
          <w:sz w:val="22"/>
          <w:szCs w:val="22"/>
        </w:rPr>
        <w:t>en el centro poblado de La Encantada (Piura)</w:t>
      </w:r>
      <w:r>
        <w:rPr>
          <w:sz w:val="22"/>
          <w:szCs w:val="22"/>
        </w:rPr>
        <w:t xml:space="preserve">. Con </w:t>
      </w:r>
      <w:r w:rsidRPr="000C5FED">
        <w:rPr>
          <w:sz w:val="22"/>
          <w:szCs w:val="22"/>
        </w:rPr>
        <w:t xml:space="preserve">una inversión de S/ 6 millones </w:t>
      </w:r>
      <w:r>
        <w:rPr>
          <w:sz w:val="22"/>
          <w:szCs w:val="22"/>
        </w:rPr>
        <w:t xml:space="preserve">se mejoró </w:t>
      </w:r>
      <w:r w:rsidRPr="000C5FED">
        <w:rPr>
          <w:sz w:val="22"/>
          <w:szCs w:val="22"/>
        </w:rPr>
        <w:t>los sistemas de abastecimiento de agua potable, alcantarillado y el tratamiento de</w:t>
      </w:r>
      <w:r>
        <w:rPr>
          <w:sz w:val="22"/>
          <w:szCs w:val="22"/>
        </w:rPr>
        <w:t xml:space="preserve"> </w:t>
      </w:r>
      <w:r w:rsidRPr="000C5FED">
        <w:rPr>
          <w:sz w:val="22"/>
          <w:szCs w:val="22"/>
        </w:rPr>
        <w:t>aguas residuales</w:t>
      </w:r>
      <w:r>
        <w:rPr>
          <w:sz w:val="22"/>
          <w:szCs w:val="22"/>
        </w:rPr>
        <w:t xml:space="preserve"> beneficiando a </w:t>
      </w:r>
      <w:r w:rsidRPr="000C5FED">
        <w:rPr>
          <w:sz w:val="22"/>
          <w:szCs w:val="22"/>
        </w:rPr>
        <w:t>2.600 pobladores</w:t>
      </w:r>
      <w:r>
        <w:rPr>
          <w:sz w:val="22"/>
          <w:szCs w:val="22"/>
        </w:rPr>
        <w:t xml:space="preserve">. </w:t>
      </w:r>
      <w:r w:rsidRPr="000C5FED">
        <w:rPr>
          <w:sz w:val="22"/>
          <w:szCs w:val="22"/>
        </w:rPr>
        <w:t>Esta obra se culminó y entregó en el año 2012</w:t>
      </w:r>
      <w:r>
        <w:rPr>
          <w:sz w:val="22"/>
          <w:szCs w:val="22"/>
        </w:rPr>
        <w:t xml:space="preserve"> y fue la </w:t>
      </w:r>
      <w:r w:rsidRPr="000C5FED">
        <w:rPr>
          <w:sz w:val="22"/>
          <w:szCs w:val="22"/>
        </w:rPr>
        <w:t>primera iniciativa en recibir el premio de Buenas Prácticas de la Asociación Ciudadanos</w:t>
      </w:r>
      <w:r>
        <w:rPr>
          <w:sz w:val="22"/>
          <w:szCs w:val="22"/>
        </w:rPr>
        <w:t xml:space="preserve"> </w:t>
      </w:r>
      <w:r w:rsidRPr="000C5FED">
        <w:rPr>
          <w:sz w:val="22"/>
          <w:szCs w:val="22"/>
        </w:rPr>
        <w:t>al Día (CAD) en la categoría de Cooperación Pública-Privada.</w:t>
      </w:r>
      <w:r>
        <w:rPr>
          <w:sz w:val="22"/>
          <w:szCs w:val="22"/>
        </w:rPr>
        <w:t xml:space="preserve"> </w:t>
      </w:r>
      <w:r w:rsidRPr="000C5FED">
        <w:rPr>
          <w:sz w:val="22"/>
          <w:szCs w:val="22"/>
        </w:rPr>
        <w:t>Este reconocimiento destaca los resultados en favor de la calidad de vida del ciudadano y la posibilidad de replicar la experiencia por otras organizaciones</w:t>
      </w:r>
      <w:r>
        <w:rPr>
          <w:rStyle w:val="Refdenotaalpie"/>
          <w:sz w:val="22"/>
          <w:szCs w:val="22"/>
        </w:rPr>
        <w:footnoteReference w:id="3"/>
      </w:r>
    </w:p>
    <w:p w14:paraId="42E27D75" w14:textId="77777777" w:rsidR="001B0C47" w:rsidRDefault="001B0C47" w:rsidP="009C03DF">
      <w:pPr>
        <w:pStyle w:val="Default"/>
        <w:spacing w:line="360" w:lineRule="auto"/>
        <w:ind w:right="494"/>
        <w:jc w:val="both"/>
        <w:rPr>
          <w:b/>
          <w:bCs/>
          <w:sz w:val="22"/>
          <w:szCs w:val="22"/>
        </w:rPr>
      </w:pPr>
    </w:p>
    <w:p w14:paraId="05F3B7DE" w14:textId="22AAF085" w:rsidR="001B0C47" w:rsidRPr="001B0C47" w:rsidRDefault="00612E95" w:rsidP="009C03DF">
      <w:pPr>
        <w:pStyle w:val="Default"/>
        <w:spacing w:line="360" w:lineRule="auto"/>
        <w:ind w:right="494"/>
        <w:jc w:val="both"/>
        <w:rPr>
          <w:sz w:val="22"/>
          <w:szCs w:val="22"/>
        </w:rPr>
      </w:pPr>
      <w:r w:rsidRPr="001B0C47">
        <w:rPr>
          <w:b/>
          <w:bCs/>
          <w:sz w:val="22"/>
          <w:szCs w:val="22"/>
        </w:rPr>
        <w:t xml:space="preserve">RESEÑA PROFESIONAL: </w:t>
      </w:r>
    </w:p>
    <w:p w14:paraId="250F1394" w14:textId="3D0E2A76" w:rsidR="00612E95" w:rsidRPr="00612E95" w:rsidRDefault="00612E95" w:rsidP="009C03DF">
      <w:pPr>
        <w:spacing w:after="0" w:line="360" w:lineRule="auto"/>
        <w:ind w:right="494"/>
        <w:jc w:val="both"/>
        <w:rPr>
          <w:rFonts w:ascii="Arial" w:hAnsi="Arial" w:cs="Arial"/>
          <w:b/>
          <w:color w:val="000000"/>
        </w:rPr>
      </w:pPr>
      <w:bookmarkStart w:id="0" w:name="_GoBack"/>
      <w:bookmarkEnd w:id="0"/>
      <w:r w:rsidRPr="00612E95">
        <w:rPr>
          <w:rFonts w:ascii="Arial" w:hAnsi="Arial" w:cs="Arial"/>
          <w:b/>
          <w:color w:val="000000"/>
        </w:rPr>
        <w:t>Elvira Aquije Hernández</w:t>
      </w:r>
    </w:p>
    <w:p w14:paraId="4E6EE769" w14:textId="77777777" w:rsidR="00612E95" w:rsidRPr="00612E95" w:rsidRDefault="00612E95" w:rsidP="009C03DF">
      <w:pPr>
        <w:spacing w:after="0" w:line="360" w:lineRule="auto"/>
        <w:ind w:right="494"/>
        <w:jc w:val="both"/>
        <w:rPr>
          <w:rFonts w:ascii="Arial" w:hAnsi="Arial" w:cs="Arial"/>
          <w:color w:val="000000"/>
        </w:rPr>
      </w:pPr>
      <w:r w:rsidRPr="00612E95">
        <w:rPr>
          <w:rFonts w:ascii="Arial" w:hAnsi="Arial" w:cs="Arial"/>
          <w:color w:val="000000"/>
        </w:rPr>
        <w:t>Directora de Desarrollo de Negocio</w:t>
      </w:r>
    </w:p>
    <w:p w14:paraId="05EC361A" w14:textId="5485157A" w:rsidR="001B0C47" w:rsidRDefault="00612E95" w:rsidP="009C03DF">
      <w:pPr>
        <w:spacing w:after="0" w:line="360" w:lineRule="auto"/>
        <w:ind w:right="494"/>
        <w:jc w:val="both"/>
        <w:rPr>
          <w:rFonts w:ascii="Arial" w:hAnsi="Arial" w:cs="Arial"/>
          <w:color w:val="000000"/>
        </w:rPr>
      </w:pPr>
      <w:r w:rsidRPr="00612E95">
        <w:rPr>
          <w:rFonts w:ascii="Arial" w:hAnsi="Arial" w:cs="Arial"/>
          <w:color w:val="000000"/>
        </w:rPr>
        <w:t>Consultora y especialista en el ámbito de la sostenibilidad, la gestión social y la dirección de proyectos de desarrollo sostenible. Más de 14 años de experiencia laboral en el ámbito corporativo y de cooperación internacional; con conocimiento de los sectores de minería, hidrocarburos, pesca, telecomunicación y consumo masivo; así como temáticas de gestión</w:t>
      </w:r>
      <w:r w:rsidR="00E31AAD">
        <w:rPr>
          <w:rFonts w:ascii="Arial" w:hAnsi="Arial" w:cs="Arial"/>
          <w:color w:val="000000"/>
        </w:rPr>
        <w:t xml:space="preserve"> social, educación ambiental </w:t>
      </w:r>
      <w:proofErr w:type="gramStart"/>
      <w:r w:rsidR="00E31AAD">
        <w:rPr>
          <w:rFonts w:ascii="Arial" w:hAnsi="Arial" w:cs="Arial"/>
          <w:color w:val="000000"/>
        </w:rPr>
        <w:t xml:space="preserve">y </w:t>
      </w:r>
      <w:r w:rsidRPr="00612E95">
        <w:rPr>
          <w:rFonts w:ascii="Arial" w:hAnsi="Arial" w:cs="Arial"/>
          <w:color w:val="000000"/>
        </w:rPr>
        <w:t xml:space="preserve"> obras</w:t>
      </w:r>
      <w:proofErr w:type="gramEnd"/>
      <w:r w:rsidRPr="00612E95">
        <w:rPr>
          <w:rFonts w:ascii="Arial" w:hAnsi="Arial" w:cs="Arial"/>
          <w:color w:val="000000"/>
        </w:rPr>
        <w:t xml:space="preserve"> por impuestos.</w:t>
      </w:r>
      <w:r w:rsidR="00EB1145">
        <w:rPr>
          <w:rFonts w:ascii="Arial" w:hAnsi="Arial" w:cs="Arial"/>
          <w:color w:val="000000"/>
        </w:rPr>
        <w:t xml:space="preserve"> </w:t>
      </w:r>
      <w:r w:rsidRPr="00612E95">
        <w:rPr>
          <w:rFonts w:ascii="Arial" w:hAnsi="Arial" w:cs="Arial"/>
          <w:color w:val="000000"/>
        </w:rPr>
        <w:t>Máster en Dirección de Comunicación Empresarial e Institucional por la Universidad Autónoma de Barcelona – España, Licenciada en Comunicación para el Desarrollo por la Pontificia Universidad Católica del Perú y Certificada por la GRI en los Estándares de Elaboración de Reportes de Sostenibilidad 2021.</w:t>
      </w:r>
    </w:p>
    <w:p w14:paraId="77FE96A5" w14:textId="4214C83B" w:rsidR="007237CD" w:rsidRDefault="007237CD" w:rsidP="007237CD">
      <w:pPr>
        <w:spacing w:after="0" w:line="360" w:lineRule="auto"/>
        <w:ind w:right="494"/>
        <w:jc w:val="both"/>
        <w:rPr>
          <w:rFonts w:ascii="Arial" w:hAnsi="Arial" w:cs="Arial"/>
          <w:b/>
          <w:color w:val="000000"/>
        </w:rPr>
      </w:pPr>
      <w:r>
        <w:rPr>
          <w:rFonts w:ascii="Arial" w:hAnsi="Arial" w:cs="Arial"/>
          <w:b/>
          <w:color w:val="000000"/>
        </w:rPr>
        <w:t>Saadia Espinoza Nicho</w:t>
      </w:r>
    </w:p>
    <w:p w14:paraId="1A26CF98" w14:textId="3F981619" w:rsidR="007237CD" w:rsidRPr="00930F15" w:rsidRDefault="007237CD" w:rsidP="007237CD">
      <w:pPr>
        <w:spacing w:after="0" w:line="360" w:lineRule="auto"/>
        <w:ind w:right="494"/>
        <w:jc w:val="both"/>
        <w:rPr>
          <w:rFonts w:ascii="Arial" w:hAnsi="Arial" w:cs="Arial"/>
          <w:color w:val="000000"/>
        </w:rPr>
      </w:pPr>
      <w:r w:rsidRPr="00930F15">
        <w:rPr>
          <w:rFonts w:ascii="Arial" w:hAnsi="Arial" w:cs="Arial"/>
          <w:color w:val="000000"/>
        </w:rPr>
        <w:t>Gerente de Gestión Social y Derechos Humanos</w:t>
      </w:r>
    </w:p>
    <w:p w14:paraId="1700548D" w14:textId="5D55A317" w:rsidR="00CD33C9" w:rsidRDefault="00930F15" w:rsidP="009C03DF">
      <w:pPr>
        <w:spacing w:after="0" w:line="360" w:lineRule="auto"/>
        <w:ind w:right="494"/>
        <w:jc w:val="both"/>
        <w:rPr>
          <w:rFonts w:ascii="Arial" w:hAnsi="Arial" w:cs="Arial"/>
          <w:color w:val="000000"/>
        </w:rPr>
      </w:pPr>
      <w:r w:rsidRPr="00EB1145">
        <w:rPr>
          <w:rFonts w:ascii="Arial" w:hAnsi="Arial" w:cs="Arial"/>
        </w:rPr>
        <w:t xml:space="preserve">Consultora </w:t>
      </w:r>
      <w:r w:rsidR="00EB1145" w:rsidRPr="00EB1145">
        <w:rPr>
          <w:rFonts w:ascii="Arial" w:hAnsi="Arial" w:cs="Arial"/>
        </w:rPr>
        <w:t xml:space="preserve">especialista en la gestión de proyectos de sostenibilidad, gestión social y derechos humanos. Con más de 10 años de experiencia en los sectores minería, banca, seguros y reaseguros y agroindustria. Magíster en Desarrollo Social por la Universidad de Sussex, antropóloga por la Pontificia Universidad Católica del Perú. Certificada como </w:t>
      </w:r>
      <w:proofErr w:type="spellStart"/>
      <w:r w:rsidR="00EB1145" w:rsidRPr="00EB1145">
        <w:rPr>
          <w:rFonts w:ascii="Arial" w:hAnsi="Arial" w:cs="Arial"/>
        </w:rPr>
        <w:t>Design</w:t>
      </w:r>
      <w:proofErr w:type="spellEnd"/>
      <w:r w:rsidR="00EB1145" w:rsidRPr="00EB1145">
        <w:rPr>
          <w:rFonts w:ascii="Arial" w:hAnsi="Arial" w:cs="Arial"/>
        </w:rPr>
        <w:t xml:space="preserve"> </w:t>
      </w:r>
      <w:proofErr w:type="spellStart"/>
      <w:r w:rsidR="00EB1145" w:rsidRPr="00EB1145">
        <w:rPr>
          <w:rFonts w:ascii="Arial" w:hAnsi="Arial" w:cs="Arial"/>
        </w:rPr>
        <w:t>Thinking</w:t>
      </w:r>
      <w:proofErr w:type="spellEnd"/>
      <w:r w:rsidR="00EB1145" w:rsidRPr="00EB1145">
        <w:rPr>
          <w:rFonts w:ascii="Arial" w:hAnsi="Arial" w:cs="Arial"/>
        </w:rPr>
        <w:t xml:space="preserve"> </w:t>
      </w:r>
      <w:proofErr w:type="spellStart"/>
      <w:r w:rsidR="00EB1145" w:rsidRPr="00EB1145">
        <w:rPr>
          <w:rFonts w:ascii="Arial" w:hAnsi="Arial" w:cs="Arial"/>
        </w:rPr>
        <w:t>practitioner</w:t>
      </w:r>
      <w:proofErr w:type="spellEnd"/>
      <w:r w:rsidR="00EB1145" w:rsidRPr="00EB1145">
        <w:rPr>
          <w:rFonts w:ascii="Arial" w:hAnsi="Arial" w:cs="Arial"/>
        </w:rPr>
        <w:t xml:space="preserve"> por la Universidad de Oxford y con estudios de especialización en desarrollo social y minería. </w:t>
      </w:r>
    </w:p>
    <w:sectPr w:rsidR="00CD33C9" w:rsidSect="000C5FED">
      <w:footerReference w:type="default" r:id="rId12"/>
      <w:pgSz w:w="11906" w:h="17338"/>
      <w:pgMar w:top="1134" w:right="900" w:bottom="1418" w:left="1440" w:header="568"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7CE818" w14:textId="77777777" w:rsidR="00C22434" w:rsidRDefault="00C22434" w:rsidP="00612E95">
      <w:pPr>
        <w:spacing w:after="0" w:line="240" w:lineRule="auto"/>
      </w:pPr>
      <w:r>
        <w:separator/>
      </w:r>
    </w:p>
  </w:endnote>
  <w:endnote w:type="continuationSeparator" w:id="0">
    <w:p w14:paraId="3C9B2386" w14:textId="77777777" w:rsidR="00C22434" w:rsidRDefault="00C22434" w:rsidP="00612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5778102"/>
      <w:docPartObj>
        <w:docPartGallery w:val="Page Numbers (Bottom of Page)"/>
        <w:docPartUnique/>
      </w:docPartObj>
    </w:sdtPr>
    <w:sdtEndPr/>
    <w:sdtContent>
      <w:p w14:paraId="5B9C8FCE" w14:textId="2CC672C9" w:rsidR="00612E95" w:rsidRDefault="00612E95">
        <w:pPr>
          <w:pStyle w:val="Piedepgina"/>
          <w:jc w:val="right"/>
        </w:pPr>
        <w:r>
          <w:fldChar w:fldCharType="begin"/>
        </w:r>
        <w:r>
          <w:instrText>PAGE   \* MERGEFORMAT</w:instrText>
        </w:r>
        <w:r>
          <w:fldChar w:fldCharType="separate"/>
        </w:r>
        <w:r>
          <w:rPr>
            <w:lang w:val="es-ES"/>
          </w:rPr>
          <w:t>2</w:t>
        </w:r>
        <w:r>
          <w:fldChar w:fldCharType="end"/>
        </w:r>
      </w:p>
    </w:sdtContent>
  </w:sdt>
  <w:p w14:paraId="5F6B2433" w14:textId="77777777" w:rsidR="00612E95" w:rsidRDefault="00612E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238F5" w14:textId="77777777" w:rsidR="00C22434" w:rsidRDefault="00C22434" w:rsidP="00612E95">
      <w:pPr>
        <w:spacing w:after="0" w:line="240" w:lineRule="auto"/>
      </w:pPr>
      <w:r>
        <w:separator/>
      </w:r>
    </w:p>
  </w:footnote>
  <w:footnote w:type="continuationSeparator" w:id="0">
    <w:p w14:paraId="29049F67" w14:textId="77777777" w:rsidR="00C22434" w:rsidRDefault="00C22434" w:rsidP="00612E95">
      <w:pPr>
        <w:spacing w:after="0" w:line="240" w:lineRule="auto"/>
      </w:pPr>
      <w:r>
        <w:continuationSeparator/>
      </w:r>
    </w:p>
  </w:footnote>
  <w:footnote w:id="1">
    <w:p w14:paraId="0E6937C7" w14:textId="4BC58787" w:rsidR="0079559B" w:rsidRPr="0079559B" w:rsidRDefault="0079559B" w:rsidP="0079559B">
      <w:pPr>
        <w:pStyle w:val="Textonotapie"/>
        <w:rPr>
          <w:sz w:val="16"/>
        </w:rPr>
      </w:pPr>
      <w:r w:rsidRPr="0079559B">
        <w:rPr>
          <w:rStyle w:val="Refdenotaalpie"/>
          <w:sz w:val="16"/>
        </w:rPr>
        <w:footnoteRef/>
      </w:r>
      <w:r w:rsidRPr="0079559B">
        <w:rPr>
          <w:sz w:val="16"/>
        </w:rPr>
        <w:t xml:space="preserve"> </w:t>
      </w:r>
      <w:proofErr w:type="spellStart"/>
      <w:r w:rsidRPr="0079559B">
        <w:rPr>
          <w:sz w:val="16"/>
        </w:rPr>
        <w:t>Proinversión</w:t>
      </w:r>
      <w:proofErr w:type="spellEnd"/>
      <w:r w:rsidRPr="0079559B">
        <w:rPr>
          <w:sz w:val="16"/>
        </w:rPr>
        <w:t xml:space="preserve">. Obras por Impuestos. Adelantemos el desarrollo </w:t>
      </w:r>
      <w:hyperlink r:id="rId1" w:history="1">
        <w:r w:rsidRPr="0079559B">
          <w:rPr>
            <w:rStyle w:val="Hipervnculo"/>
            <w:sz w:val="16"/>
          </w:rPr>
          <w:t>https://www.investinperu.pe/es/oxi</w:t>
        </w:r>
      </w:hyperlink>
      <w:r w:rsidRPr="0079559B">
        <w:rPr>
          <w:sz w:val="16"/>
        </w:rPr>
        <w:t xml:space="preserve"> </w:t>
      </w:r>
    </w:p>
  </w:footnote>
  <w:footnote w:id="2">
    <w:p w14:paraId="5B95B2CF" w14:textId="09C8AADF" w:rsidR="0079559B" w:rsidRDefault="0079559B">
      <w:pPr>
        <w:pStyle w:val="Textonotapie"/>
      </w:pPr>
      <w:r w:rsidRPr="0079559B">
        <w:rPr>
          <w:rStyle w:val="Refdenotaalpie"/>
          <w:sz w:val="16"/>
        </w:rPr>
        <w:footnoteRef/>
      </w:r>
      <w:r w:rsidRPr="0079559B">
        <w:rPr>
          <w:sz w:val="16"/>
        </w:rPr>
        <w:t xml:space="preserve"> Contraloría General de la República del Perú. Informe de obras públicas paralizadas en el territorio nacional a diciembre 2024 </w:t>
      </w:r>
      <w:hyperlink r:id="rId2" w:history="1">
        <w:r w:rsidRPr="0079559B">
          <w:rPr>
            <w:rStyle w:val="Hipervnculo"/>
            <w:sz w:val="16"/>
          </w:rPr>
          <w:t>https://cdn.www.gob.pe/uploads/document/file/7757259/6555301-informe-de-obras-paralizadas-en-el-territorio-nacional-a-diciembre-2024.pdf?v=1741734131</w:t>
        </w:r>
      </w:hyperlink>
      <w:r w:rsidRPr="0079559B">
        <w:rPr>
          <w:sz w:val="16"/>
        </w:rPr>
        <w:t xml:space="preserve"> </w:t>
      </w:r>
    </w:p>
  </w:footnote>
  <w:footnote w:id="3">
    <w:p w14:paraId="41111BA8" w14:textId="416C5689" w:rsidR="000C5FED" w:rsidRPr="0079559B" w:rsidRDefault="000C5FED">
      <w:pPr>
        <w:pStyle w:val="Textonotapie"/>
        <w:rPr>
          <w:sz w:val="16"/>
          <w:szCs w:val="16"/>
        </w:rPr>
      </w:pPr>
      <w:r w:rsidRPr="0079559B">
        <w:rPr>
          <w:rStyle w:val="Refdenotaalpie"/>
          <w:sz w:val="16"/>
          <w:szCs w:val="16"/>
        </w:rPr>
        <w:footnoteRef/>
      </w:r>
      <w:r w:rsidRPr="0079559B">
        <w:rPr>
          <w:sz w:val="16"/>
          <w:szCs w:val="16"/>
        </w:rPr>
        <w:t xml:space="preserve"> </w:t>
      </w:r>
      <w:proofErr w:type="spellStart"/>
      <w:r w:rsidRPr="0079559B">
        <w:rPr>
          <w:sz w:val="16"/>
          <w:szCs w:val="16"/>
        </w:rPr>
        <w:t>Proinversión</w:t>
      </w:r>
      <w:proofErr w:type="spellEnd"/>
      <w:r w:rsidRPr="0079559B">
        <w:rPr>
          <w:sz w:val="16"/>
          <w:szCs w:val="16"/>
        </w:rPr>
        <w:t>. Obras por Impuestos. Historias emblemáticas de desarrollo y progreso</w:t>
      </w:r>
      <w:r w:rsidR="0079559B" w:rsidRPr="0079559B">
        <w:rPr>
          <w:sz w:val="16"/>
          <w:szCs w:val="16"/>
        </w:rPr>
        <w:t>. https://www.investinperu.pe/RepositorioAPS/0/3/JER/PUBLICACIONES_/Memoria_Obras_por_Impuestos%20vf.pdf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6331C"/>
    <w:multiLevelType w:val="hybridMultilevel"/>
    <w:tmpl w:val="591FABE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CE4112"/>
    <w:multiLevelType w:val="hybridMultilevel"/>
    <w:tmpl w:val="39D875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BFD3953"/>
    <w:multiLevelType w:val="hybridMultilevel"/>
    <w:tmpl w:val="80BF564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7103CC3"/>
    <w:multiLevelType w:val="hybridMultilevel"/>
    <w:tmpl w:val="09C06D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C26026A"/>
    <w:multiLevelType w:val="hybridMultilevel"/>
    <w:tmpl w:val="68E6DD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47"/>
    <w:rsid w:val="000C5FED"/>
    <w:rsid w:val="0018699B"/>
    <w:rsid w:val="0019618A"/>
    <w:rsid w:val="001B0C47"/>
    <w:rsid w:val="002039F9"/>
    <w:rsid w:val="00221096"/>
    <w:rsid w:val="00240564"/>
    <w:rsid w:val="005A2EE1"/>
    <w:rsid w:val="00612E95"/>
    <w:rsid w:val="006C079A"/>
    <w:rsid w:val="007237CD"/>
    <w:rsid w:val="0079559B"/>
    <w:rsid w:val="007E1BEF"/>
    <w:rsid w:val="00925557"/>
    <w:rsid w:val="00930F15"/>
    <w:rsid w:val="009A1E58"/>
    <w:rsid w:val="009C03DF"/>
    <w:rsid w:val="00AE202F"/>
    <w:rsid w:val="00B26817"/>
    <w:rsid w:val="00B85080"/>
    <w:rsid w:val="00BD67A1"/>
    <w:rsid w:val="00C22434"/>
    <w:rsid w:val="00C5169A"/>
    <w:rsid w:val="00CD33C9"/>
    <w:rsid w:val="00DC2881"/>
    <w:rsid w:val="00E152E7"/>
    <w:rsid w:val="00E31AAD"/>
    <w:rsid w:val="00E4210F"/>
    <w:rsid w:val="00EB1145"/>
    <w:rsid w:val="00F05AC3"/>
    <w:rsid w:val="00F34B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84D49"/>
  <w15:chartTrackingRefBased/>
  <w15:docId w15:val="{61CD3493-46B1-4D5A-8D0A-691C9C81E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1B0C47"/>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1B0C47"/>
    <w:rPr>
      <w:color w:val="0563C1" w:themeColor="hyperlink"/>
      <w:u w:val="single"/>
    </w:rPr>
  </w:style>
  <w:style w:type="character" w:styleId="Mencinsinresolver">
    <w:name w:val="Unresolved Mention"/>
    <w:basedOn w:val="Fuentedeprrafopredeter"/>
    <w:uiPriority w:val="99"/>
    <w:semiHidden/>
    <w:unhideWhenUsed/>
    <w:rsid w:val="001B0C47"/>
    <w:rPr>
      <w:color w:val="605E5C"/>
      <w:shd w:val="clear" w:color="auto" w:fill="E1DFDD"/>
    </w:rPr>
  </w:style>
  <w:style w:type="paragraph" w:styleId="Encabezado">
    <w:name w:val="header"/>
    <w:basedOn w:val="Normal"/>
    <w:link w:val="EncabezadoCar"/>
    <w:uiPriority w:val="99"/>
    <w:unhideWhenUsed/>
    <w:rsid w:val="00612E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2E95"/>
  </w:style>
  <w:style w:type="paragraph" w:styleId="Piedepgina">
    <w:name w:val="footer"/>
    <w:basedOn w:val="Normal"/>
    <w:link w:val="PiedepginaCar"/>
    <w:uiPriority w:val="99"/>
    <w:unhideWhenUsed/>
    <w:rsid w:val="00612E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2E95"/>
  </w:style>
  <w:style w:type="paragraph" w:styleId="Textonotapie">
    <w:name w:val="footnote text"/>
    <w:basedOn w:val="Normal"/>
    <w:link w:val="TextonotapieCar"/>
    <w:uiPriority w:val="99"/>
    <w:semiHidden/>
    <w:unhideWhenUsed/>
    <w:rsid w:val="000C5FE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C5FED"/>
    <w:rPr>
      <w:sz w:val="20"/>
      <w:szCs w:val="20"/>
    </w:rPr>
  </w:style>
  <w:style w:type="character" w:styleId="Refdenotaalpie">
    <w:name w:val="footnote reference"/>
    <w:basedOn w:val="Fuentedeprrafopredeter"/>
    <w:uiPriority w:val="99"/>
    <w:semiHidden/>
    <w:unhideWhenUsed/>
    <w:rsid w:val="000C5F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116710">
      <w:bodyDiv w:val="1"/>
      <w:marLeft w:val="0"/>
      <w:marRight w:val="0"/>
      <w:marTop w:val="0"/>
      <w:marBottom w:val="0"/>
      <w:divBdr>
        <w:top w:val="none" w:sz="0" w:space="0" w:color="auto"/>
        <w:left w:val="none" w:sz="0" w:space="0" w:color="auto"/>
        <w:bottom w:val="none" w:sz="0" w:space="0" w:color="auto"/>
        <w:right w:val="none" w:sz="0" w:space="0" w:color="auto"/>
      </w:divBdr>
    </w:div>
    <w:div w:id="1384020487">
      <w:bodyDiv w:val="1"/>
      <w:marLeft w:val="0"/>
      <w:marRight w:val="0"/>
      <w:marTop w:val="0"/>
      <w:marBottom w:val="0"/>
      <w:divBdr>
        <w:top w:val="none" w:sz="0" w:space="0" w:color="auto"/>
        <w:left w:val="none" w:sz="0" w:space="0" w:color="auto"/>
        <w:bottom w:val="none" w:sz="0" w:space="0" w:color="auto"/>
        <w:right w:val="none" w:sz="0" w:space="0" w:color="auto"/>
      </w:divBdr>
    </w:div>
    <w:div w:id="1694040833">
      <w:bodyDiv w:val="1"/>
      <w:marLeft w:val="0"/>
      <w:marRight w:val="0"/>
      <w:marTop w:val="0"/>
      <w:marBottom w:val="0"/>
      <w:divBdr>
        <w:top w:val="none" w:sz="0" w:space="0" w:color="auto"/>
        <w:left w:val="none" w:sz="0" w:space="0" w:color="auto"/>
        <w:bottom w:val="none" w:sz="0" w:space="0" w:color="auto"/>
        <w:right w:val="none" w:sz="0" w:space="0" w:color="auto"/>
      </w:divBdr>
    </w:div>
    <w:div w:id="173219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quije@responde.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adia.espinoza@gmail.com" TargetMode="External"/><Relationship Id="rId5" Type="http://schemas.openxmlformats.org/officeDocument/2006/relationships/webSettings" Target="webSettings.xml"/><Relationship Id="rId10" Type="http://schemas.openxmlformats.org/officeDocument/2006/relationships/hyperlink" Target="mailto:sespinoza@resonde.pe/" TargetMode="External"/><Relationship Id="rId4" Type="http://schemas.openxmlformats.org/officeDocument/2006/relationships/settings" Target="settings.xml"/><Relationship Id="rId9" Type="http://schemas.openxmlformats.org/officeDocument/2006/relationships/hyperlink" Target="mailto:elvira.aquije@gmail.com"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cdn.www.gob.pe/uploads/document/file/7757259/6555301-informe-de-obras-paralizadas-en-el-territorio-nacional-a-diciembre-2024.pdf?v=1741734131" TargetMode="External"/><Relationship Id="rId1" Type="http://schemas.openxmlformats.org/officeDocument/2006/relationships/hyperlink" Target="https://www.investinperu.pe/es/ox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C7A22-2C22-4AD9-BBAC-728EEC3B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1097</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Aquije</dc:creator>
  <cp:keywords/>
  <dc:description/>
  <cp:lastModifiedBy>Saadia Espinoza</cp:lastModifiedBy>
  <cp:revision>2</cp:revision>
  <dcterms:created xsi:type="dcterms:W3CDTF">2025-04-28T22:01:00Z</dcterms:created>
  <dcterms:modified xsi:type="dcterms:W3CDTF">2025-04-28T22:01:00Z</dcterms:modified>
</cp:coreProperties>
</file>