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B88ED" w14:textId="77777777" w:rsidR="009A706D" w:rsidRDefault="000A1FB5" w:rsidP="000A1FB5">
      <w:pPr>
        <w:jc w:val="center"/>
        <w:rPr>
          <w:rFonts w:ascii="Arial" w:hAnsi="Arial" w:cs="Arial"/>
          <w:b/>
          <w:bCs/>
          <w:sz w:val="24"/>
          <w:szCs w:val="24"/>
          <w:u w:val="single"/>
        </w:rPr>
      </w:pPr>
      <w:r w:rsidRPr="000A1FB5">
        <w:rPr>
          <w:rFonts w:ascii="Arial" w:hAnsi="Arial" w:cs="Arial"/>
          <w:b/>
          <w:bCs/>
          <w:sz w:val="24"/>
          <w:szCs w:val="24"/>
          <w:u w:val="single"/>
        </w:rPr>
        <w:t>EL PROCESO DE FORMALIZACIÓN MINERA</w:t>
      </w:r>
      <w:r w:rsidR="009A706D">
        <w:rPr>
          <w:rFonts w:ascii="Arial" w:hAnsi="Arial" w:cs="Arial"/>
          <w:b/>
          <w:bCs/>
          <w:sz w:val="24"/>
          <w:szCs w:val="24"/>
          <w:u w:val="single"/>
        </w:rPr>
        <w:t xml:space="preserve"> EN EL PERÚ</w:t>
      </w:r>
      <w:r w:rsidRPr="000A1FB5">
        <w:rPr>
          <w:rFonts w:ascii="Arial" w:hAnsi="Arial" w:cs="Arial"/>
          <w:b/>
          <w:bCs/>
          <w:sz w:val="24"/>
          <w:szCs w:val="24"/>
          <w:u w:val="single"/>
        </w:rPr>
        <w:t xml:space="preserve">: </w:t>
      </w:r>
    </w:p>
    <w:p w14:paraId="59920BD1" w14:textId="137B745B" w:rsidR="00666434" w:rsidRPr="00666434" w:rsidRDefault="000A1FB5" w:rsidP="000A1FB5">
      <w:pPr>
        <w:jc w:val="center"/>
        <w:rPr>
          <w:rFonts w:ascii="Arial" w:hAnsi="Arial" w:cs="Arial"/>
          <w:b/>
          <w:bCs/>
          <w:sz w:val="24"/>
          <w:szCs w:val="24"/>
          <w:u w:val="single"/>
        </w:rPr>
      </w:pPr>
      <w:r w:rsidRPr="000A1FB5">
        <w:rPr>
          <w:rFonts w:ascii="Arial" w:hAnsi="Arial" w:cs="Arial"/>
          <w:b/>
          <w:bCs/>
          <w:sz w:val="24"/>
          <w:szCs w:val="24"/>
          <w:u w:val="single"/>
        </w:rPr>
        <w:t>¿HACIA DÓNDE VAMOS?</w:t>
      </w:r>
    </w:p>
    <w:p w14:paraId="58E3C5D0" w14:textId="77777777" w:rsidR="000A1FB5" w:rsidRDefault="000A1FB5" w:rsidP="000A1FB5">
      <w:pPr>
        <w:spacing w:line="360" w:lineRule="auto"/>
        <w:jc w:val="both"/>
        <w:rPr>
          <w:rFonts w:ascii="Arial" w:hAnsi="Arial" w:cs="Arial"/>
          <w:b/>
          <w:bCs/>
        </w:rPr>
      </w:pPr>
    </w:p>
    <w:p w14:paraId="10644E8F" w14:textId="4EEF9995" w:rsidR="00666434" w:rsidRPr="000A1FB5" w:rsidRDefault="00666434" w:rsidP="000A1FB5">
      <w:pPr>
        <w:numPr>
          <w:ilvl w:val="0"/>
          <w:numId w:val="1"/>
        </w:numPr>
        <w:spacing w:line="360" w:lineRule="auto"/>
        <w:jc w:val="both"/>
        <w:rPr>
          <w:rFonts w:ascii="Arial" w:hAnsi="Arial" w:cs="Arial"/>
          <w:b/>
          <w:bCs/>
        </w:rPr>
      </w:pPr>
      <w:r w:rsidRPr="000A1FB5">
        <w:rPr>
          <w:rFonts w:ascii="Arial" w:hAnsi="Arial" w:cs="Arial"/>
          <w:b/>
          <w:bCs/>
        </w:rPr>
        <w:t>INFORMACIÓN:</w:t>
      </w:r>
    </w:p>
    <w:p w14:paraId="7224ED7D" w14:textId="2F018921" w:rsidR="00666434" w:rsidRDefault="00666434" w:rsidP="000A1FB5">
      <w:pPr>
        <w:pStyle w:val="Prrafodelista"/>
        <w:numPr>
          <w:ilvl w:val="0"/>
          <w:numId w:val="5"/>
        </w:numPr>
        <w:spacing w:line="360" w:lineRule="auto"/>
        <w:contextualSpacing w:val="0"/>
        <w:jc w:val="both"/>
        <w:rPr>
          <w:rFonts w:ascii="Arial" w:hAnsi="Arial" w:cs="Arial"/>
        </w:rPr>
      </w:pPr>
      <w:r w:rsidRPr="00666434">
        <w:rPr>
          <w:rFonts w:ascii="Arial" w:hAnsi="Arial" w:cs="Arial"/>
          <w:b/>
          <w:bCs/>
        </w:rPr>
        <w:t>Título:</w:t>
      </w:r>
      <w:r w:rsidRPr="00666434">
        <w:rPr>
          <w:rFonts w:ascii="Arial" w:hAnsi="Arial" w:cs="Arial"/>
        </w:rPr>
        <w:t xml:space="preserve"> </w:t>
      </w:r>
      <w:r w:rsidRPr="00666434">
        <w:rPr>
          <w:rFonts w:ascii="Arial" w:hAnsi="Arial" w:cs="Arial"/>
        </w:rPr>
        <w:tab/>
      </w:r>
      <w:r w:rsidR="000A1FB5">
        <w:rPr>
          <w:rFonts w:ascii="Arial" w:hAnsi="Arial" w:cs="Arial"/>
        </w:rPr>
        <w:tab/>
      </w:r>
      <w:r w:rsidRPr="00666434">
        <w:rPr>
          <w:rFonts w:ascii="Arial" w:hAnsi="Arial" w:cs="Arial"/>
        </w:rPr>
        <w:t>El proceso de formalización minera</w:t>
      </w:r>
      <w:r w:rsidR="009A706D">
        <w:rPr>
          <w:rFonts w:ascii="Arial" w:hAnsi="Arial" w:cs="Arial"/>
        </w:rPr>
        <w:t xml:space="preserve"> en el Perú</w:t>
      </w:r>
      <w:r w:rsidRPr="00666434">
        <w:rPr>
          <w:rFonts w:ascii="Arial" w:hAnsi="Arial" w:cs="Arial"/>
        </w:rPr>
        <w:t>: ¿hacia dónde vamos?</w:t>
      </w:r>
    </w:p>
    <w:p w14:paraId="1C3D5079" w14:textId="77777777" w:rsidR="000A1FB5" w:rsidRPr="00666434" w:rsidRDefault="000A1FB5" w:rsidP="000A1FB5">
      <w:pPr>
        <w:pStyle w:val="Prrafodelista"/>
        <w:numPr>
          <w:ilvl w:val="0"/>
          <w:numId w:val="5"/>
        </w:numPr>
        <w:spacing w:line="360" w:lineRule="auto"/>
        <w:contextualSpacing w:val="0"/>
        <w:jc w:val="both"/>
        <w:rPr>
          <w:rFonts w:ascii="Arial" w:hAnsi="Arial" w:cs="Arial"/>
        </w:rPr>
      </w:pPr>
      <w:r w:rsidRPr="00666434">
        <w:rPr>
          <w:rFonts w:ascii="Arial" w:hAnsi="Arial" w:cs="Arial"/>
          <w:b/>
          <w:bCs/>
        </w:rPr>
        <w:t>Categoría:</w:t>
      </w:r>
      <w:r w:rsidRPr="00666434">
        <w:rPr>
          <w:rFonts w:ascii="Arial" w:hAnsi="Arial" w:cs="Arial"/>
        </w:rPr>
        <w:t xml:space="preserve"> </w:t>
      </w:r>
      <w:r w:rsidRPr="00666434">
        <w:rPr>
          <w:rFonts w:ascii="Arial" w:hAnsi="Arial" w:cs="Arial"/>
        </w:rPr>
        <w:tab/>
        <w:t>Regulación y Economía Minera</w:t>
      </w:r>
    </w:p>
    <w:p w14:paraId="6E9B438F" w14:textId="77777777" w:rsidR="00666434" w:rsidRDefault="00666434" w:rsidP="000A1FB5">
      <w:pPr>
        <w:pStyle w:val="Prrafodelista"/>
        <w:numPr>
          <w:ilvl w:val="0"/>
          <w:numId w:val="5"/>
        </w:numPr>
        <w:spacing w:line="360" w:lineRule="auto"/>
        <w:contextualSpacing w:val="0"/>
        <w:jc w:val="both"/>
        <w:rPr>
          <w:rFonts w:ascii="Arial" w:hAnsi="Arial" w:cs="Arial"/>
        </w:rPr>
      </w:pPr>
      <w:r w:rsidRPr="00666434">
        <w:rPr>
          <w:rFonts w:ascii="Arial" w:hAnsi="Arial" w:cs="Arial"/>
          <w:b/>
          <w:bCs/>
        </w:rPr>
        <w:t>Tema:</w:t>
      </w:r>
      <w:r w:rsidRPr="00666434">
        <w:rPr>
          <w:rFonts w:ascii="Arial" w:hAnsi="Arial" w:cs="Arial"/>
        </w:rPr>
        <w:t xml:space="preserve"> </w:t>
      </w:r>
      <w:r w:rsidRPr="00666434">
        <w:rPr>
          <w:rFonts w:ascii="Arial" w:hAnsi="Arial" w:cs="Arial"/>
        </w:rPr>
        <w:tab/>
      </w:r>
      <w:r w:rsidRPr="00666434">
        <w:rPr>
          <w:rFonts w:ascii="Arial" w:hAnsi="Arial" w:cs="Arial"/>
        </w:rPr>
        <w:tab/>
      </w:r>
      <w:r w:rsidRPr="00666434">
        <w:rPr>
          <w:rFonts w:ascii="Arial" w:hAnsi="Arial" w:cs="Arial"/>
        </w:rPr>
        <w:t>Formalización de la pequeña minería y minería artesanal</w:t>
      </w:r>
    </w:p>
    <w:p w14:paraId="17EF234D" w14:textId="762ABCF6" w:rsidR="00666434" w:rsidRPr="000A1FB5" w:rsidRDefault="000A1FB5" w:rsidP="000A1FB5">
      <w:pPr>
        <w:numPr>
          <w:ilvl w:val="0"/>
          <w:numId w:val="1"/>
        </w:numPr>
        <w:spacing w:line="360" w:lineRule="auto"/>
        <w:jc w:val="both"/>
        <w:rPr>
          <w:rFonts w:ascii="Arial" w:hAnsi="Arial" w:cs="Arial"/>
          <w:b/>
          <w:bCs/>
        </w:rPr>
      </w:pPr>
      <w:r w:rsidRPr="000A1FB5">
        <w:rPr>
          <w:rFonts w:ascii="Arial" w:hAnsi="Arial" w:cs="Arial"/>
          <w:b/>
          <w:bCs/>
        </w:rPr>
        <w:t>DATOS DEL AUTOR:</w:t>
      </w:r>
    </w:p>
    <w:p w14:paraId="2CD03A2D" w14:textId="6A5F1F06" w:rsidR="00666434" w:rsidRPr="00666434" w:rsidRDefault="00666434" w:rsidP="000A1FB5">
      <w:pPr>
        <w:pStyle w:val="Prrafodelista"/>
        <w:numPr>
          <w:ilvl w:val="0"/>
          <w:numId w:val="2"/>
        </w:numPr>
        <w:spacing w:line="360" w:lineRule="auto"/>
        <w:ind w:left="1134"/>
        <w:contextualSpacing w:val="0"/>
        <w:jc w:val="both"/>
        <w:rPr>
          <w:rFonts w:ascii="Arial" w:hAnsi="Arial" w:cs="Arial"/>
        </w:rPr>
      </w:pPr>
      <w:r w:rsidRPr="00666434">
        <w:rPr>
          <w:rFonts w:ascii="Arial" w:hAnsi="Arial" w:cs="Arial"/>
        </w:rPr>
        <w:t>Nombres completos</w:t>
      </w:r>
      <w:r w:rsidRPr="00666434">
        <w:rPr>
          <w:rFonts w:ascii="Arial" w:hAnsi="Arial" w:cs="Arial"/>
        </w:rPr>
        <w:t>: Edwin Quintanilla Távara</w:t>
      </w:r>
    </w:p>
    <w:p w14:paraId="6A86383B" w14:textId="747D9829" w:rsidR="00666434" w:rsidRPr="00666434" w:rsidRDefault="00666434" w:rsidP="000A1FB5">
      <w:pPr>
        <w:pStyle w:val="Prrafodelista"/>
        <w:numPr>
          <w:ilvl w:val="0"/>
          <w:numId w:val="2"/>
        </w:numPr>
        <w:spacing w:line="360" w:lineRule="auto"/>
        <w:ind w:left="1134"/>
        <w:contextualSpacing w:val="0"/>
        <w:jc w:val="both"/>
        <w:rPr>
          <w:rFonts w:ascii="Arial" w:hAnsi="Arial" w:cs="Arial"/>
        </w:rPr>
      </w:pPr>
      <w:r w:rsidRPr="00666434">
        <w:rPr>
          <w:rFonts w:ascii="Arial" w:hAnsi="Arial" w:cs="Arial"/>
        </w:rPr>
        <w:t>E</w:t>
      </w:r>
      <w:r w:rsidRPr="00666434">
        <w:rPr>
          <w:rFonts w:ascii="Arial" w:hAnsi="Arial" w:cs="Arial"/>
        </w:rPr>
        <w:t>mpresa</w:t>
      </w:r>
      <w:r w:rsidRPr="00666434">
        <w:rPr>
          <w:rFonts w:ascii="Arial" w:hAnsi="Arial" w:cs="Arial"/>
        </w:rPr>
        <w:t>: Minera Bateas S.A.C.</w:t>
      </w:r>
    </w:p>
    <w:p w14:paraId="68293765" w14:textId="69885D82" w:rsidR="00666434" w:rsidRPr="00666434" w:rsidRDefault="00666434" w:rsidP="000A1FB5">
      <w:pPr>
        <w:pStyle w:val="Prrafodelista"/>
        <w:numPr>
          <w:ilvl w:val="0"/>
          <w:numId w:val="2"/>
        </w:numPr>
        <w:spacing w:line="360" w:lineRule="auto"/>
        <w:ind w:left="1134"/>
        <w:contextualSpacing w:val="0"/>
        <w:jc w:val="both"/>
        <w:rPr>
          <w:rFonts w:ascii="Arial" w:hAnsi="Arial" w:cs="Arial"/>
        </w:rPr>
      </w:pPr>
      <w:r w:rsidRPr="00666434">
        <w:rPr>
          <w:rFonts w:ascii="Arial" w:hAnsi="Arial" w:cs="Arial"/>
        </w:rPr>
        <w:t>C</w:t>
      </w:r>
      <w:r w:rsidRPr="00666434">
        <w:rPr>
          <w:rFonts w:ascii="Arial" w:hAnsi="Arial" w:cs="Arial"/>
        </w:rPr>
        <w:t>argo</w:t>
      </w:r>
      <w:r w:rsidRPr="00666434">
        <w:rPr>
          <w:rFonts w:ascii="Arial" w:hAnsi="Arial" w:cs="Arial"/>
        </w:rPr>
        <w:t>: Jefe de Permisos</w:t>
      </w:r>
    </w:p>
    <w:p w14:paraId="07A35FAF" w14:textId="74BFC916" w:rsidR="00666434" w:rsidRPr="00666434" w:rsidRDefault="00666434" w:rsidP="000A1FB5">
      <w:pPr>
        <w:pStyle w:val="Prrafodelista"/>
        <w:numPr>
          <w:ilvl w:val="0"/>
          <w:numId w:val="2"/>
        </w:numPr>
        <w:spacing w:line="360" w:lineRule="auto"/>
        <w:ind w:left="1134"/>
        <w:contextualSpacing w:val="0"/>
        <w:jc w:val="both"/>
        <w:rPr>
          <w:rFonts w:ascii="Arial" w:hAnsi="Arial" w:cs="Arial"/>
        </w:rPr>
      </w:pPr>
      <w:r w:rsidRPr="00666434">
        <w:rPr>
          <w:rFonts w:ascii="Arial" w:hAnsi="Arial" w:cs="Arial"/>
        </w:rPr>
        <w:t>D</w:t>
      </w:r>
      <w:r w:rsidRPr="00666434">
        <w:rPr>
          <w:rFonts w:ascii="Arial" w:hAnsi="Arial" w:cs="Arial"/>
        </w:rPr>
        <w:t>irección</w:t>
      </w:r>
      <w:r w:rsidRPr="00666434">
        <w:rPr>
          <w:rFonts w:ascii="Arial" w:hAnsi="Arial" w:cs="Arial"/>
        </w:rPr>
        <w:t>: Av. Jorge Chávez 154, piso 5, Miraflores</w:t>
      </w:r>
    </w:p>
    <w:p w14:paraId="5E35486E" w14:textId="5F9D9328" w:rsidR="00666434" w:rsidRPr="00666434" w:rsidRDefault="00666434" w:rsidP="000A1FB5">
      <w:pPr>
        <w:pStyle w:val="Prrafodelista"/>
        <w:numPr>
          <w:ilvl w:val="0"/>
          <w:numId w:val="2"/>
        </w:numPr>
        <w:spacing w:line="360" w:lineRule="auto"/>
        <w:ind w:left="1134"/>
        <w:contextualSpacing w:val="0"/>
        <w:jc w:val="both"/>
        <w:rPr>
          <w:rFonts w:ascii="Arial" w:hAnsi="Arial" w:cs="Arial"/>
        </w:rPr>
      </w:pPr>
      <w:r w:rsidRPr="00666434">
        <w:rPr>
          <w:rFonts w:ascii="Arial" w:hAnsi="Arial" w:cs="Arial"/>
        </w:rPr>
        <w:t>C</w:t>
      </w:r>
      <w:r w:rsidRPr="00666434">
        <w:rPr>
          <w:rFonts w:ascii="Arial" w:hAnsi="Arial" w:cs="Arial"/>
        </w:rPr>
        <w:t>orreo corporativo</w:t>
      </w:r>
      <w:r w:rsidRPr="00666434">
        <w:rPr>
          <w:rFonts w:ascii="Arial" w:hAnsi="Arial" w:cs="Arial"/>
        </w:rPr>
        <w:t xml:space="preserve">: </w:t>
      </w:r>
      <w:hyperlink r:id="rId5" w:history="1">
        <w:r w:rsidRPr="00666434">
          <w:rPr>
            <w:rStyle w:val="Hipervnculo"/>
            <w:rFonts w:ascii="Arial" w:hAnsi="Arial" w:cs="Arial"/>
          </w:rPr>
          <w:t>equintanilla@mibsac.com</w:t>
        </w:r>
      </w:hyperlink>
    </w:p>
    <w:p w14:paraId="1C8D7695" w14:textId="6A0C8765" w:rsidR="00666434" w:rsidRPr="00666434" w:rsidRDefault="00666434" w:rsidP="000A1FB5">
      <w:pPr>
        <w:pStyle w:val="Prrafodelista"/>
        <w:numPr>
          <w:ilvl w:val="0"/>
          <w:numId w:val="2"/>
        </w:numPr>
        <w:spacing w:line="360" w:lineRule="auto"/>
        <w:ind w:left="1134"/>
        <w:contextualSpacing w:val="0"/>
        <w:jc w:val="both"/>
        <w:rPr>
          <w:rFonts w:ascii="Arial" w:hAnsi="Arial" w:cs="Arial"/>
        </w:rPr>
      </w:pPr>
      <w:r w:rsidRPr="00666434">
        <w:rPr>
          <w:rFonts w:ascii="Arial" w:hAnsi="Arial" w:cs="Arial"/>
        </w:rPr>
        <w:t>C</w:t>
      </w:r>
      <w:r w:rsidRPr="00666434">
        <w:rPr>
          <w:rFonts w:ascii="Arial" w:hAnsi="Arial" w:cs="Arial"/>
        </w:rPr>
        <w:t>orreo personal</w:t>
      </w:r>
      <w:r w:rsidRPr="00666434">
        <w:rPr>
          <w:rFonts w:ascii="Arial" w:hAnsi="Arial" w:cs="Arial"/>
        </w:rPr>
        <w:t>:</w:t>
      </w:r>
      <w:r w:rsidRPr="00666434">
        <w:rPr>
          <w:rFonts w:ascii="Arial" w:hAnsi="Arial" w:cs="Arial"/>
        </w:rPr>
        <w:t xml:space="preserve"> </w:t>
      </w:r>
      <w:hyperlink r:id="rId6" w:history="1">
        <w:r w:rsidRPr="00666434">
          <w:rPr>
            <w:rStyle w:val="Hipervnculo"/>
            <w:rFonts w:ascii="Arial" w:hAnsi="Arial" w:cs="Arial"/>
          </w:rPr>
          <w:t>equintanilla.tavara@gmail.com</w:t>
        </w:r>
      </w:hyperlink>
    </w:p>
    <w:p w14:paraId="18D6A26E" w14:textId="55AF8E85" w:rsidR="00666434" w:rsidRDefault="00666434" w:rsidP="000A1FB5">
      <w:pPr>
        <w:pStyle w:val="Prrafodelista"/>
        <w:numPr>
          <w:ilvl w:val="0"/>
          <w:numId w:val="2"/>
        </w:numPr>
        <w:spacing w:line="360" w:lineRule="auto"/>
        <w:ind w:left="1134"/>
        <w:contextualSpacing w:val="0"/>
        <w:jc w:val="both"/>
        <w:rPr>
          <w:rFonts w:ascii="Arial" w:hAnsi="Arial" w:cs="Arial"/>
        </w:rPr>
      </w:pPr>
      <w:r w:rsidRPr="00666434">
        <w:rPr>
          <w:rFonts w:ascii="Arial" w:hAnsi="Arial" w:cs="Arial"/>
        </w:rPr>
        <w:t>C</w:t>
      </w:r>
      <w:r w:rsidRPr="00666434">
        <w:rPr>
          <w:rFonts w:ascii="Arial" w:hAnsi="Arial" w:cs="Arial"/>
        </w:rPr>
        <w:t>elular</w:t>
      </w:r>
      <w:r w:rsidRPr="00666434">
        <w:rPr>
          <w:rFonts w:ascii="Arial" w:hAnsi="Arial" w:cs="Arial"/>
        </w:rPr>
        <w:t>: 954-188-877</w:t>
      </w:r>
    </w:p>
    <w:p w14:paraId="09A78650" w14:textId="77777777" w:rsidR="000A1FB5" w:rsidRDefault="000A1FB5" w:rsidP="000A1FB5">
      <w:pPr>
        <w:pStyle w:val="Prrafodelista"/>
        <w:numPr>
          <w:ilvl w:val="0"/>
          <w:numId w:val="2"/>
        </w:numPr>
        <w:spacing w:line="360" w:lineRule="auto"/>
        <w:ind w:left="1134"/>
        <w:contextualSpacing w:val="0"/>
        <w:jc w:val="both"/>
        <w:rPr>
          <w:rFonts w:ascii="Arial" w:hAnsi="Arial" w:cs="Arial"/>
        </w:rPr>
      </w:pPr>
      <w:r>
        <w:rPr>
          <w:rFonts w:ascii="Arial" w:hAnsi="Arial" w:cs="Arial"/>
        </w:rPr>
        <w:t>Reseña:</w:t>
      </w:r>
    </w:p>
    <w:p w14:paraId="6C983B56" w14:textId="3A168F84" w:rsidR="000A1FB5" w:rsidRPr="000A1FB5" w:rsidRDefault="000A1FB5" w:rsidP="000A1FB5">
      <w:pPr>
        <w:pStyle w:val="Prrafodelista"/>
        <w:spacing w:line="360" w:lineRule="auto"/>
        <w:ind w:left="1134"/>
        <w:contextualSpacing w:val="0"/>
        <w:jc w:val="both"/>
        <w:rPr>
          <w:rFonts w:ascii="Arial" w:hAnsi="Arial" w:cs="Arial"/>
        </w:rPr>
      </w:pPr>
      <w:r w:rsidRPr="000A1FB5">
        <w:rPr>
          <w:rFonts w:ascii="Arial" w:hAnsi="Arial" w:cs="Arial"/>
        </w:rPr>
        <w:t xml:space="preserve">Abogado por la Universidad Peruana de Ciencias Aplicadas, con más de 12 años de experiencia en el sector minero. Maestrando en Regulación, Gestión y Economía Minera por la Pontificia Universidad Católica del Perú (ganador de la beca Mitsubishi </w:t>
      </w:r>
      <w:proofErr w:type="spellStart"/>
      <w:r w:rsidRPr="000A1FB5">
        <w:rPr>
          <w:rFonts w:ascii="Arial" w:hAnsi="Arial" w:cs="Arial"/>
        </w:rPr>
        <w:t>Corporation</w:t>
      </w:r>
      <w:proofErr w:type="spellEnd"/>
      <w:r>
        <w:rPr>
          <w:rFonts w:ascii="Arial" w:hAnsi="Arial" w:cs="Arial"/>
        </w:rPr>
        <w:t xml:space="preserve"> – MC Inversiones Perú</w:t>
      </w:r>
      <w:r w:rsidRPr="000A1FB5">
        <w:rPr>
          <w:rFonts w:ascii="Arial" w:hAnsi="Arial" w:cs="Arial"/>
        </w:rPr>
        <w:t xml:space="preserve">). Cuenta </w:t>
      </w:r>
      <w:r>
        <w:rPr>
          <w:rFonts w:ascii="Arial" w:hAnsi="Arial" w:cs="Arial"/>
        </w:rPr>
        <w:t>con</w:t>
      </w:r>
      <w:r w:rsidRPr="000A1FB5">
        <w:rPr>
          <w:rFonts w:ascii="Arial" w:hAnsi="Arial" w:cs="Arial"/>
        </w:rPr>
        <w:t xml:space="preserve"> una Diplomatura en Derecho Minero, Gestión y Responsabilidad Socioambiental por la Universidad del Pacífico</w:t>
      </w:r>
      <w:r w:rsidRPr="000A1FB5">
        <w:rPr>
          <w:rFonts w:ascii="Arial" w:hAnsi="Arial" w:cs="Arial"/>
        </w:rPr>
        <w:t xml:space="preserve"> </w:t>
      </w:r>
      <w:r>
        <w:rPr>
          <w:rFonts w:ascii="Arial" w:hAnsi="Arial" w:cs="Arial"/>
        </w:rPr>
        <w:t xml:space="preserve">y </w:t>
      </w:r>
      <w:r w:rsidRPr="000A1FB5">
        <w:rPr>
          <w:rFonts w:ascii="Arial" w:hAnsi="Arial" w:cs="Arial"/>
        </w:rPr>
        <w:t xml:space="preserve">una Diplomatura en Gestión de Proyectos Ágiles </w:t>
      </w:r>
      <w:r>
        <w:rPr>
          <w:rFonts w:ascii="Arial" w:hAnsi="Arial" w:cs="Arial"/>
        </w:rPr>
        <w:t xml:space="preserve">por la Escuela de Negocios </w:t>
      </w:r>
      <w:r w:rsidRPr="000A1FB5">
        <w:rPr>
          <w:rFonts w:ascii="Arial" w:hAnsi="Arial" w:cs="Arial"/>
        </w:rPr>
        <w:t xml:space="preserve">CENTRUM </w:t>
      </w:r>
      <w:r>
        <w:rPr>
          <w:rFonts w:ascii="Arial" w:hAnsi="Arial" w:cs="Arial"/>
        </w:rPr>
        <w:t xml:space="preserve">de la </w:t>
      </w:r>
      <w:proofErr w:type="spellStart"/>
      <w:r w:rsidRPr="000A1FB5">
        <w:rPr>
          <w:rFonts w:ascii="Arial" w:hAnsi="Arial" w:cs="Arial"/>
        </w:rPr>
        <w:t>la</w:t>
      </w:r>
      <w:proofErr w:type="spellEnd"/>
      <w:r w:rsidRPr="000A1FB5">
        <w:rPr>
          <w:rFonts w:ascii="Arial" w:hAnsi="Arial" w:cs="Arial"/>
        </w:rPr>
        <w:t xml:space="preserve"> Pontificia Universidad Católica del Perú. Ha sido becario del programa de Fortalecimiento de la gestión para la remediación de daños de minas en el Perú </w:t>
      </w:r>
      <w:r w:rsidRPr="000A1FB5">
        <w:rPr>
          <w:rFonts w:ascii="Arial" w:hAnsi="Arial" w:cs="Arial"/>
          <w:i/>
          <w:iCs/>
        </w:rPr>
        <w:t>("</w:t>
      </w:r>
      <w:proofErr w:type="spellStart"/>
      <w:r w:rsidRPr="000A1FB5">
        <w:rPr>
          <w:rFonts w:ascii="Arial" w:hAnsi="Arial" w:cs="Arial"/>
          <w:i/>
          <w:iCs/>
        </w:rPr>
        <w:t>Strengthening</w:t>
      </w:r>
      <w:proofErr w:type="spellEnd"/>
      <w:r w:rsidRPr="000A1FB5">
        <w:rPr>
          <w:rFonts w:ascii="Arial" w:hAnsi="Arial" w:cs="Arial"/>
          <w:i/>
          <w:iCs/>
        </w:rPr>
        <w:t xml:space="preserve"> </w:t>
      </w:r>
      <w:proofErr w:type="spellStart"/>
      <w:r w:rsidRPr="000A1FB5">
        <w:rPr>
          <w:rFonts w:ascii="Arial" w:hAnsi="Arial" w:cs="Arial"/>
          <w:i/>
          <w:iCs/>
        </w:rPr>
        <w:t>of</w:t>
      </w:r>
      <w:proofErr w:type="spellEnd"/>
      <w:r w:rsidRPr="000A1FB5">
        <w:rPr>
          <w:rFonts w:ascii="Arial" w:hAnsi="Arial" w:cs="Arial"/>
          <w:i/>
          <w:iCs/>
        </w:rPr>
        <w:t xml:space="preserve"> </w:t>
      </w:r>
      <w:proofErr w:type="spellStart"/>
      <w:r w:rsidRPr="000A1FB5">
        <w:rPr>
          <w:rFonts w:ascii="Arial" w:hAnsi="Arial" w:cs="Arial"/>
          <w:i/>
          <w:iCs/>
        </w:rPr>
        <w:t>the</w:t>
      </w:r>
      <w:proofErr w:type="spellEnd"/>
      <w:r w:rsidRPr="000A1FB5">
        <w:rPr>
          <w:rFonts w:ascii="Arial" w:hAnsi="Arial" w:cs="Arial"/>
          <w:i/>
          <w:iCs/>
        </w:rPr>
        <w:t xml:space="preserve"> management </w:t>
      </w:r>
      <w:proofErr w:type="spellStart"/>
      <w:r w:rsidRPr="000A1FB5">
        <w:rPr>
          <w:rFonts w:ascii="Arial" w:hAnsi="Arial" w:cs="Arial"/>
          <w:i/>
          <w:iCs/>
        </w:rPr>
        <w:t>for</w:t>
      </w:r>
      <w:proofErr w:type="spellEnd"/>
      <w:r w:rsidRPr="000A1FB5">
        <w:rPr>
          <w:rFonts w:ascii="Arial" w:hAnsi="Arial" w:cs="Arial"/>
          <w:i/>
          <w:iCs/>
        </w:rPr>
        <w:t xml:space="preserve"> </w:t>
      </w:r>
      <w:proofErr w:type="spellStart"/>
      <w:r w:rsidRPr="000A1FB5">
        <w:rPr>
          <w:rFonts w:ascii="Arial" w:hAnsi="Arial" w:cs="Arial"/>
          <w:i/>
          <w:iCs/>
        </w:rPr>
        <w:t>the</w:t>
      </w:r>
      <w:proofErr w:type="spellEnd"/>
      <w:r w:rsidRPr="000A1FB5">
        <w:rPr>
          <w:rFonts w:ascii="Arial" w:hAnsi="Arial" w:cs="Arial"/>
          <w:i/>
          <w:iCs/>
        </w:rPr>
        <w:t xml:space="preserve"> mine </w:t>
      </w:r>
      <w:proofErr w:type="spellStart"/>
      <w:r w:rsidRPr="000A1FB5">
        <w:rPr>
          <w:rFonts w:ascii="Arial" w:hAnsi="Arial" w:cs="Arial"/>
          <w:i/>
          <w:iCs/>
        </w:rPr>
        <w:t>hazard</w:t>
      </w:r>
      <w:proofErr w:type="spellEnd"/>
      <w:r w:rsidRPr="000A1FB5">
        <w:rPr>
          <w:rFonts w:ascii="Arial" w:hAnsi="Arial" w:cs="Arial"/>
          <w:i/>
          <w:iCs/>
        </w:rPr>
        <w:t xml:space="preserve"> </w:t>
      </w:r>
      <w:proofErr w:type="spellStart"/>
      <w:r w:rsidRPr="000A1FB5">
        <w:rPr>
          <w:rFonts w:ascii="Arial" w:hAnsi="Arial" w:cs="Arial"/>
          <w:i/>
          <w:iCs/>
        </w:rPr>
        <w:t>remediation</w:t>
      </w:r>
      <w:proofErr w:type="spellEnd"/>
      <w:r w:rsidRPr="000A1FB5">
        <w:rPr>
          <w:rFonts w:ascii="Arial" w:hAnsi="Arial" w:cs="Arial"/>
          <w:i/>
          <w:iCs/>
        </w:rPr>
        <w:t xml:space="preserve"> in Peru")</w:t>
      </w:r>
      <w:r w:rsidRPr="000A1FB5">
        <w:rPr>
          <w:rFonts w:ascii="Arial" w:hAnsi="Arial" w:cs="Arial"/>
        </w:rPr>
        <w:t xml:space="preserve">, organizado por el Gobierno de la República de Corea y realizado en dicho país. Se ha desempeñado como asesor legal de la Dirección General de Asuntos Ambientales Mineros del Ministerio de Energía y Minas del Perú, y ha sido abogado de asuntos legales mineros y regulatorios de empresas </w:t>
      </w:r>
      <w:r w:rsidRPr="000A1FB5">
        <w:rPr>
          <w:rFonts w:ascii="Arial" w:hAnsi="Arial" w:cs="Arial"/>
        </w:rPr>
        <w:lastRenderedPageBreak/>
        <w:t xml:space="preserve">de gran y mediana minería como </w:t>
      </w:r>
      <w:proofErr w:type="spellStart"/>
      <w:r w:rsidRPr="000A1FB5">
        <w:rPr>
          <w:rFonts w:ascii="Arial" w:hAnsi="Arial" w:cs="Arial"/>
        </w:rPr>
        <w:t>Nexa</w:t>
      </w:r>
      <w:proofErr w:type="spellEnd"/>
      <w:r w:rsidRPr="000A1FB5">
        <w:rPr>
          <w:rFonts w:ascii="Arial" w:hAnsi="Arial" w:cs="Arial"/>
        </w:rPr>
        <w:t xml:space="preserve"> </w:t>
      </w:r>
      <w:proofErr w:type="spellStart"/>
      <w:r w:rsidRPr="000A1FB5">
        <w:rPr>
          <w:rFonts w:ascii="Arial" w:hAnsi="Arial" w:cs="Arial"/>
        </w:rPr>
        <w:t>Resources</w:t>
      </w:r>
      <w:proofErr w:type="spellEnd"/>
      <w:r w:rsidRPr="000A1FB5">
        <w:rPr>
          <w:rFonts w:ascii="Arial" w:hAnsi="Arial" w:cs="Arial"/>
        </w:rPr>
        <w:t xml:space="preserve"> y Volcan Compañía Minera, entre otras. Actualmente, se desempeña como Jefe de Permisos de Minera Bateas, donde lidera la gestión de los consentimientos gubernamentales y el cumplimiento de las obligaciones regulatorias de la compañía.</w:t>
      </w:r>
    </w:p>
    <w:p w14:paraId="606DB802" w14:textId="3C9526E5" w:rsidR="00666434" w:rsidRPr="000A1FB5" w:rsidRDefault="000A1FB5" w:rsidP="000A1FB5">
      <w:pPr>
        <w:numPr>
          <w:ilvl w:val="0"/>
          <w:numId w:val="1"/>
        </w:numPr>
        <w:spacing w:line="360" w:lineRule="auto"/>
        <w:jc w:val="both"/>
        <w:rPr>
          <w:rFonts w:ascii="Arial" w:hAnsi="Arial" w:cs="Arial"/>
          <w:b/>
          <w:bCs/>
        </w:rPr>
      </w:pPr>
      <w:r w:rsidRPr="000A1FB5">
        <w:rPr>
          <w:rFonts w:ascii="Arial" w:hAnsi="Arial" w:cs="Arial"/>
          <w:b/>
          <w:bCs/>
        </w:rPr>
        <w:t>PALABRAS CLAVES:</w:t>
      </w:r>
    </w:p>
    <w:p w14:paraId="5C985331" w14:textId="77777777" w:rsidR="000E2A66" w:rsidRPr="000E2A66" w:rsidRDefault="000E2A66" w:rsidP="000A1FB5">
      <w:pPr>
        <w:pStyle w:val="Prrafodelista"/>
        <w:numPr>
          <w:ilvl w:val="0"/>
          <w:numId w:val="3"/>
        </w:numPr>
        <w:spacing w:line="360" w:lineRule="auto"/>
        <w:ind w:left="1134" w:hanging="425"/>
        <w:contextualSpacing w:val="0"/>
        <w:jc w:val="both"/>
        <w:rPr>
          <w:rFonts w:ascii="Arial" w:hAnsi="Arial" w:cs="Arial"/>
        </w:rPr>
      </w:pPr>
      <w:r w:rsidRPr="000E2A66">
        <w:rPr>
          <w:rFonts w:ascii="Arial" w:hAnsi="Arial" w:cs="Arial"/>
        </w:rPr>
        <w:t>Minería</w:t>
      </w:r>
    </w:p>
    <w:p w14:paraId="627CCC61" w14:textId="1F3558B1" w:rsidR="00666434" w:rsidRPr="000E2A66" w:rsidRDefault="000A1FB5" w:rsidP="000A1FB5">
      <w:pPr>
        <w:pStyle w:val="Prrafodelista"/>
        <w:numPr>
          <w:ilvl w:val="0"/>
          <w:numId w:val="3"/>
        </w:numPr>
        <w:spacing w:line="360" w:lineRule="auto"/>
        <w:ind w:left="1134" w:hanging="425"/>
        <w:contextualSpacing w:val="0"/>
        <w:jc w:val="both"/>
        <w:rPr>
          <w:rFonts w:ascii="Arial" w:hAnsi="Arial" w:cs="Arial"/>
        </w:rPr>
      </w:pPr>
      <w:r w:rsidRPr="000E2A66">
        <w:rPr>
          <w:rFonts w:ascii="Arial" w:hAnsi="Arial" w:cs="Arial"/>
        </w:rPr>
        <w:t>Formalización minera</w:t>
      </w:r>
    </w:p>
    <w:p w14:paraId="533EF04C" w14:textId="28C96596" w:rsidR="00666434" w:rsidRPr="000E2A66" w:rsidRDefault="000A1FB5" w:rsidP="000A1FB5">
      <w:pPr>
        <w:pStyle w:val="Prrafodelista"/>
        <w:numPr>
          <w:ilvl w:val="0"/>
          <w:numId w:val="3"/>
        </w:numPr>
        <w:spacing w:line="360" w:lineRule="auto"/>
        <w:ind w:left="1134" w:hanging="425"/>
        <w:contextualSpacing w:val="0"/>
        <w:jc w:val="both"/>
        <w:rPr>
          <w:rFonts w:ascii="Arial" w:hAnsi="Arial" w:cs="Arial"/>
        </w:rPr>
      </w:pPr>
      <w:r w:rsidRPr="000E2A66">
        <w:rPr>
          <w:rFonts w:ascii="Arial" w:hAnsi="Arial" w:cs="Arial"/>
        </w:rPr>
        <w:t>Minería informal</w:t>
      </w:r>
    </w:p>
    <w:p w14:paraId="389D12E5" w14:textId="0BD96BCB" w:rsidR="000A1FB5" w:rsidRPr="000E2A66" w:rsidRDefault="000A1FB5" w:rsidP="000A1FB5">
      <w:pPr>
        <w:pStyle w:val="Prrafodelista"/>
        <w:numPr>
          <w:ilvl w:val="0"/>
          <w:numId w:val="3"/>
        </w:numPr>
        <w:spacing w:line="360" w:lineRule="auto"/>
        <w:ind w:left="1134" w:hanging="425"/>
        <w:contextualSpacing w:val="0"/>
        <w:jc w:val="both"/>
        <w:rPr>
          <w:rFonts w:ascii="Arial" w:hAnsi="Arial" w:cs="Arial"/>
        </w:rPr>
      </w:pPr>
      <w:r w:rsidRPr="000E2A66">
        <w:rPr>
          <w:rFonts w:ascii="Arial" w:hAnsi="Arial" w:cs="Arial"/>
        </w:rPr>
        <w:t xml:space="preserve">Minería </w:t>
      </w:r>
      <w:r w:rsidRPr="000E2A66">
        <w:rPr>
          <w:rFonts w:ascii="Arial" w:hAnsi="Arial" w:cs="Arial"/>
        </w:rPr>
        <w:t>ilegal</w:t>
      </w:r>
    </w:p>
    <w:p w14:paraId="79D475E7" w14:textId="130DD7FD" w:rsidR="00666434" w:rsidRPr="000E2A66" w:rsidRDefault="000A1FB5" w:rsidP="000A1FB5">
      <w:pPr>
        <w:pStyle w:val="Prrafodelista"/>
        <w:numPr>
          <w:ilvl w:val="0"/>
          <w:numId w:val="3"/>
        </w:numPr>
        <w:spacing w:line="360" w:lineRule="auto"/>
        <w:ind w:left="1134" w:hanging="425"/>
        <w:contextualSpacing w:val="0"/>
        <w:jc w:val="both"/>
        <w:rPr>
          <w:rFonts w:ascii="Arial" w:hAnsi="Arial" w:cs="Arial"/>
        </w:rPr>
      </w:pPr>
      <w:r w:rsidRPr="000E2A66">
        <w:rPr>
          <w:rFonts w:ascii="Arial" w:hAnsi="Arial" w:cs="Arial"/>
        </w:rPr>
        <w:t>REINFO</w:t>
      </w:r>
    </w:p>
    <w:p w14:paraId="200C6B87" w14:textId="48B9CF61" w:rsidR="00666434" w:rsidRPr="000E2A66" w:rsidRDefault="000E2A66" w:rsidP="000A1FB5">
      <w:pPr>
        <w:pStyle w:val="Prrafodelista"/>
        <w:numPr>
          <w:ilvl w:val="0"/>
          <w:numId w:val="3"/>
        </w:numPr>
        <w:spacing w:line="360" w:lineRule="auto"/>
        <w:ind w:left="1134" w:hanging="425"/>
        <w:contextualSpacing w:val="0"/>
        <w:jc w:val="both"/>
        <w:rPr>
          <w:rFonts w:ascii="Arial" w:hAnsi="Arial" w:cs="Arial"/>
        </w:rPr>
      </w:pPr>
      <w:r w:rsidRPr="000E2A66">
        <w:rPr>
          <w:rFonts w:ascii="Arial" w:hAnsi="Arial" w:cs="Arial"/>
        </w:rPr>
        <w:t>Ley MAPE</w:t>
      </w:r>
    </w:p>
    <w:p w14:paraId="5B02621D" w14:textId="613F1520" w:rsidR="000A1FB5" w:rsidRDefault="000A1FB5" w:rsidP="000A1FB5">
      <w:pPr>
        <w:numPr>
          <w:ilvl w:val="0"/>
          <w:numId w:val="1"/>
        </w:numPr>
        <w:spacing w:line="360" w:lineRule="auto"/>
        <w:jc w:val="both"/>
        <w:rPr>
          <w:rFonts w:ascii="Arial" w:hAnsi="Arial" w:cs="Arial"/>
          <w:b/>
          <w:bCs/>
        </w:rPr>
      </w:pPr>
      <w:r w:rsidRPr="000A1FB5">
        <w:rPr>
          <w:rFonts w:ascii="Arial" w:hAnsi="Arial" w:cs="Arial"/>
          <w:b/>
          <w:bCs/>
        </w:rPr>
        <w:t xml:space="preserve">RESUMEN DE TRABAJO TÉCNICO: </w:t>
      </w:r>
    </w:p>
    <w:p w14:paraId="2C4F5861" w14:textId="6FEE5E65" w:rsidR="000A1FB5" w:rsidRPr="003A1710" w:rsidRDefault="000A1FB5" w:rsidP="001C1290">
      <w:pPr>
        <w:pStyle w:val="Prrafodelista"/>
        <w:numPr>
          <w:ilvl w:val="0"/>
          <w:numId w:val="6"/>
        </w:numPr>
        <w:spacing w:line="360" w:lineRule="auto"/>
        <w:ind w:left="1072"/>
        <w:contextualSpacing w:val="0"/>
        <w:jc w:val="both"/>
        <w:rPr>
          <w:rFonts w:ascii="Arial" w:hAnsi="Arial" w:cs="Arial"/>
          <w:b/>
          <w:bCs/>
        </w:rPr>
      </w:pPr>
      <w:r w:rsidRPr="003A1710">
        <w:rPr>
          <w:rFonts w:ascii="Arial" w:hAnsi="Arial" w:cs="Arial"/>
          <w:b/>
          <w:bCs/>
        </w:rPr>
        <w:t>PRIMERA PARTE</w:t>
      </w:r>
    </w:p>
    <w:p w14:paraId="7C1B4ED8" w14:textId="187231D7" w:rsidR="009A706D" w:rsidRPr="000E2A66" w:rsidRDefault="003A1710" w:rsidP="001C1290">
      <w:pPr>
        <w:pStyle w:val="Prrafodelista"/>
        <w:spacing w:line="360" w:lineRule="auto"/>
        <w:ind w:left="1072"/>
        <w:contextualSpacing w:val="0"/>
        <w:jc w:val="both"/>
        <w:rPr>
          <w:rFonts w:ascii="Arial" w:hAnsi="Arial" w:cs="Arial"/>
        </w:rPr>
      </w:pPr>
      <w:r w:rsidRPr="000E2A66">
        <w:rPr>
          <w:rFonts w:ascii="Arial" w:hAnsi="Arial" w:cs="Arial"/>
        </w:rPr>
        <w:t>El</w:t>
      </w:r>
      <w:r w:rsidR="001C1290">
        <w:rPr>
          <w:rFonts w:ascii="Arial" w:hAnsi="Arial" w:cs="Arial"/>
        </w:rPr>
        <w:t xml:space="preserve"> </w:t>
      </w:r>
      <w:r w:rsidRPr="000E2A66">
        <w:rPr>
          <w:rFonts w:ascii="Arial" w:hAnsi="Arial" w:cs="Arial"/>
        </w:rPr>
        <w:t xml:space="preserve">proceso de formalización minera en nuestro país se inició hace más de veinte (20) años, </w:t>
      </w:r>
      <w:r w:rsidRPr="000E2A66">
        <w:rPr>
          <w:rFonts w:ascii="Arial" w:hAnsi="Arial" w:cs="Arial"/>
        </w:rPr>
        <w:t xml:space="preserve">con la </w:t>
      </w:r>
      <w:r w:rsidRPr="000E2A66">
        <w:rPr>
          <w:rFonts w:ascii="Arial" w:hAnsi="Arial" w:cs="Arial"/>
        </w:rPr>
        <w:t xml:space="preserve">emisión de la </w:t>
      </w:r>
      <w:r w:rsidRPr="000E2A66">
        <w:rPr>
          <w:rFonts w:ascii="Arial" w:hAnsi="Arial" w:cs="Arial"/>
        </w:rPr>
        <w:t>Ley N° 27651, Ley de Formalización y Promoción de la Pequeña Minería y la Minería Artesanal</w:t>
      </w:r>
      <w:r w:rsidRPr="000E2A66">
        <w:rPr>
          <w:rFonts w:ascii="Arial" w:hAnsi="Arial" w:cs="Arial"/>
        </w:rPr>
        <w:t>, y hasta el momento no ha concluido</w:t>
      </w:r>
      <w:r w:rsidR="009A706D" w:rsidRPr="000E2A66">
        <w:rPr>
          <w:rFonts w:ascii="Arial" w:hAnsi="Arial" w:cs="Arial"/>
        </w:rPr>
        <w:t xml:space="preserve">, por lo que </w:t>
      </w:r>
      <w:r w:rsidR="003D093C">
        <w:rPr>
          <w:rFonts w:ascii="Arial" w:hAnsi="Arial" w:cs="Arial"/>
        </w:rPr>
        <w:t>estamos en condiciones de decir que</w:t>
      </w:r>
      <w:r w:rsidR="009A706D" w:rsidRPr="000E2A66">
        <w:rPr>
          <w:rFonts w:ascii="Arial" w:hAnsi="Arial" w:cs="Arial"/>
        </w:rPr>
        <w:t xml:space="preserve"> </w:t>
      </w:r>
      <w:r w:rsidR="003D093C">
        <w:rPr>
          <w:rFonts w:ascii="Arial" w:hAnsi="Arial" w:cs="Arial"/>
        </w:rPr>
        <w:t xml:space="preserve">nos encontramos frente a </w:t>
      </w:r>
      <w:r w:rsidR="009A706D" w:rsidRPr="000E2A66">
        <w:rPr>
          <w:rFonts w:ascii="Arial" w:hAnsi="Arial" w:cs="Arial"/>
        </w:rPr>
        <w:t>un proceso fallido</w:t>
      </w:r>
      <w:r w:rsidR="003D093C">
        <w:rPr>
          <w:rFonts w:ascii="Arial" w:hAnsi="Arial" w:cs="Arial"/>
        </w:rPr>
        <w:t>.</w:t>
      </w:r>
    </w:p>
    <w:p w14:paraId="0F39064A" w14:textId="01CDF8B2" w:rsidR="000E2A66" w:rsidRPr="000E2A66" w:rsidRDefault="009A706D" w:rsidP="001C1290">
      <w:pPr>
        <w:pStyle w:val="Prrafodelista"/>
        <w:spacing w:line="360" w:lineRule="auto"/>
        <w:ind w:left="1072"/>
        <w:contextualSpacing w:val="0"/>
        <w:jc w:val="both"/>
        <w:rPr>
          <w:rFonts w:ascii="Arial" w:hAnsi="Arial" w:cs="Arial"/>
        </w:rPr>
      </w:pPr>
      <w:r w:rsidRPr="000E2A66">
        <w:rPr>
          <w:rFonts w:ascii="Arial" w:hAnsi="Arial" w:cs="Arial"/>
        </w:rPr>
        <w:t>Inclusive, s</w:t>
      </w:r>
      <w:r w:rsidR="003A1710" w:rsidRPr="000E2A66">
        <w:rPr>
          <w:rFonts w:ascii="Arial" w:hAnsi="Arial" w:cs="Arial"/>
        </w:rPr>
        <w:t xml:space="preserve">abemos que </w:t>
      </w:r>
      <w:r w:rsidRPr="000E2A66">
        <w:rPr>
          <w:rFonts w:ascii="Arial" w:hAnsi="Arial" w:cs="Arial"/>
        </w:rPr>
        <w:t>este proceso continuará</w:t>
      </w:r>
      <w:r w:rsidR="003A1710" w:rsidRPr="000E2A66">
        <w:rPr>
          <w:rFonts w:ascii="Arial" w:hAnsi="Arial" w:cs="Arial"/>
        </w:rPr>
        <w:t xml:space="preserve">, </w:t>
      </w:r>
      <w:r w:rsidR="003A1710" w:rsidRPr="000E2A66">
        <w:rPr>
          <w:rFonts w:ascii="Arial" w:hAnsi="Arial" w:cs="Arial"/>
        </w:rPr>
        <w:t xml:space="preserve">al menos, </w:t>
      </w:r>
      <w:r w:rsidR="003A1710" w:rsidRPr="000E2A66">
        <w:rPr>
          <w:rFonts w:ascii="Arial" w:hAnsi="Arial" w:cs="Arial"/>
        </w:rPr>
        <w:t xml:space="preserve">hasta el 31 de diciembre de este año, </w:t>
      </w:r>
      <w:r w:rsidRPr="000E2A66">
        <w:rPr>
          <w:rFonts w:ascii="Arial" w:hAnsi="Arial" w:cs="Arial"/>
        </w:rPr>
        <w:t xml:space="preserve">y contamos con </w:t>
      </w:r>
      <w:r w:rsidR="003A1710" w:rsidRPr="000E2A66">
        <w:rPr>
          <w:rFonts w:ascii="Arial" w:hAnsi="Arial" w:cs="Arial"/>
        </w:rPr>
        <w:t xml:space="preserve">indicios de </w:t>
      </w:r>
      <w:r w:rsidRPr="000E2A66">
        <w:rPr>
          <w:rFonts w:ascii="Arial" w:hAnsi="Arial" w:cs="Arial"/>
        </w:rPr>
        <w:t xml:space="preserve">que se mantendrá luego de esta fecha, aunque </w:t>
      </w:r>
      <w:r w:rsidR="003D093C">
        <w:rPr>
          <w:rFonts w:ascii="Arial" w:hAnsi="Arial" w:cs="Arial"/>
        </w:rPr>
        <w:t xml:space="preserve">dentro de </w:t>
      </w:r>
      <w:r w:rsidR="003A1710" w:rsidRPr="000E2A66">
        <w:rPr>
          <w:rFonts w:ascii="Arial" w:hAnsi="Arial" w:cs="Arial"/>
        </w:rPr>
        <w:t xml:space="preserve">un nuevo marco normativo: la Ley </w:t>
      </w:r>
      <w:r w:rsidRPr="000E2A66">
        <w:rPr>
          <w:rFonts w:ascii="Arial" w:hAnsi="Arial" w:cs="Arial"/>
        </w:rPr>
        <w:t xml:space="preserve">de Minería Artesanal y Pequeña Minería, </w:t>
      </w:r>
      <w:r w:rsidRPr="000E2A66">
        <w:rPr>
          <w:rFonts w:ascii="Arial" w:hAnsi="Arial" w:cs="Arial"/>
        </w:rPr>
        <w:t xml:space="preserve">conocida también como </w:t>
      </w:r>
      <w:r w:rsidRPr="000E2A66">
        <w:rPr>
          <w:rFonts w:ascii="Arial" w:hAnsi="Arial" w:cs="Arial"/>
        </w:rPr>
        <w:t xml:space="preserve">“Ley </w:t>
      </w:r>
      <w:r w:rsidRPr="000E2A66">
        <w:rPr>
          <w:rFonts w:ascii="Arial" w:hAnsi="Arial" w:cs="Arial"/>
        </w:rPr>
        <w:t>MAPE”.</w:t>
      </w:r>
    </w:p>
    <w:p w14:paraId="459F9EE3" w14:textId="77777777" w:rsidR="000A1FB5" w:rsidRPr="000E2A66" w:rsidRDefault="000A1FB5" w:rsidP="001C1290">
      <w:pPr>
        <w:pStyle w:val="Prrafodelista"/>
        <w:numPr>
          <w:ilvl w:val="0"/>
          <w:numId w:val="6"/>
        </w:numPr>
        <w:spacing w:line="360" w:lineRule="auto"/>
        <w:ind w:left="1072"/>
        <w:contextualSpacing w:val="0"/>
        <w:jc w:val="both"/>
        <w:rPr>
          <w:rFonts w:ascii="Arial" w:hAnsi="Arial" w:cs="Arial"/>
          <w:b/>
          <w:bCs/>
        </w:rPr>
      </w:pPr>
      <w:r w:rsidRPr="000E2A66">
        <w:rPr>
          <w:rFonts w:ascii="Arial" w:hAnsi="Arial" w:cs="Arial"/>
          <w:b/>
          <w:bCs/>
        </w:rPr>
        <w:t>SEGUNDA PARTE</w:t>
      </w:r>
    </w:p>
    <w:p w14:paraId="3AB60755" w14:textId="0136CC81" w:rsidR="009A706D" w:rsidRPr="000E2A66" w:rsidRDefault="009A706D" w:rsidP="001C1290">
      <w:pPr>
        <w:pStyle w:val="Prrafodelista"/>
        <w:spacing w:line="360" w:lineRule="auto"/>
        <w:ind w:left="1072"/>
        <w:contextualSpacing w:val="0"/>
        <w:jc w:val="both"/>
        <w:rPr>
          <w:rFonts w:ascii="Arial" w:hAnsi="Arial" w:cs="Arial"/>
        </w:rPr>
      </w:pPr>
      <w:r w:rsidRPr="000E2A66">
        <w:rPr>
          <w:rFonts w:ascii="Arial" w:hAnsi="Arial" w:cs="Arial"/>
        </w:rPr>
        <w:t>Los objetivos del presente trabajo son los siguientes:</w:t>
      </w:r>
    </w:p>
    <w:p w14:paraId="49105C04" w14:textId="205FE7BD" w:rsidR="000E2A66" w:rsidRPr="000E2A66" w:rsidRDefault="000E2A66" w:rsidP="001C1290">
      <w:pPr>
        <w:pStyle w:val="Prrafodelista"/>
        <w:numPr>
          <w:ilvl w:val="0"/>
          <w:numId w:val="7"/>
        </w:numPr>
        <w:spacing w:line="360" w:lineRule="auto"/>
        <w:contextualSpacing w:val="0"/>
        <w:jc w:val="both"/>
        <w:rPr>
          <w:rFonts w:ascii="Arial" w:hAnsi="Arial" w:cs="Arial"/>
        </w:rPr>
      </w:pPr>
      <w:r w:rsidRPr="000E2A66">
        <w:rPr>
          <w:rFonts w:ascii="Arial" w:hAnsi="Arial" w:cs="Arial"/>
        </w:rPr>
        <w:t>Analizar la evolución del proceso de formalización minera en el Perú</w:t>
      </w:r>
      <w:r>
        <w:rPr>
          <w:rFonts w:ascii="Arial" w:hAnsi="Arial" w:cs="Arial"/>
        </w:rPr>
        <w:t>.</w:t>
      </w:r>
    </w:p>
    <w:p w14:paraId="566B8817" w14:textId="4310AE24" w:rsidR="000E2A66" w:rsidRPr="000E2A66" w:rsidRDefault="000E2A66" w:rsidP="001C1290">
      <w:pPr>
        <w:pStyle w:val="Prrafodelista"/>
        <w:numPr>
          <w:ilvl w:val="0"/>
          <w:numId w:val="7"/>
        </w:numPr>
        <w:spacing w:line="360" w:lineRule="auto"/>
        <w:contextualSpacing w:val="0"/>
        <w:jc w:val="both"/>
        <w:rPr>
          <w:rFonts w:ascii="Arial" w:hAnsi="Arial" w:cs="Arial"/>
        </w:rPr>
      </w:pPr>
      <w:r w:rsidRPr="000E2A66">
        <w:rPr>
          <w:rFonts w:ascii="Arial" w:hAnsi="Arial" w:cs="Arial"/>
        </w:rPr>
        <w:t>Identificar las razones del fracaso en la culminación del proceso de formalización minera.</w:t>
      </w:r>
    </w:p>
    <w:p w14:paraId="15263C2B" w14:textId="77777777" w:rsidR="000E2A66" w:rsidRPr="000E2A66" w:rsidRDefault="000E2A66" w:rsidP="001C1290">
      <w:pPr>
        <w:pStyle w:val="Prrafodelista"/>
        <w:numPr>
          <w:ilvl w:val="0"/>
          <w:numId w:val="7"/>
        </w:numPr>
        <w:spacing w:line="360" w:lineRule="auto"/>
        <w:contextualSpacing w:val="0"/>
        <w:jc w:val="both"/>
        <w:rPr>
          <w:rFonts w:ascii="Arial" w:hAnsi="Arial" w:cs="Arial"/>
        </w:rPr>
      </w:pPr>
      <w:r w:rsidRPr="000E2A66">
        <w:rPr>
          <w:rFonts w:ascii="Arial" w:hAnsi="Arial" w:cs="Arial"/>
        </w:rPr>
        <w:t xml:space="preserve">Proponer estrategias y recomendaciones para </w:t>
      </w:r>
      <w:r w:rsidRPr="000E2A66">
        <w:rPr>
          <w:rFonts w:ascii="Arial" w:hAnsi="Arial" w:cs="Arial"/>
        </w:rPr>
        <w:t>garantizar la efectividad d</w:t>
      </w:r>
      <w:r w:rsidRPr="000E2A66">
        <w:rPr>
          <w:rFonts w:ascii="Arial" w:hAnsi="Arial" w:cs="Arial"/>
        </w:rPr>
        <w:t>el proceso de formalización minera y su sostenibilidad en el tiempo.</w:t>
      </w:r>
    </w:p>
    <w:p w14:paraId="6F962F36" w14:textId="77777777" w:rsidR="000E2A66" w:rsidRPr="009A706D" w:rsidRDefault="000E2A66" w:rsidP="001C1290">
      <w:pPr>
        <w:pStyle w:val="Prrafodelista"/>
        <w:spacing w:line="360" w:lineRule="auto"/>
        <w:ind w:left="1495"/>
        <w:contextualSpacing w:val="0"/>
        <w:jc w:val="both"/>
        <w:rPr>
          <w:rFonts w:ascii="Arial" w:hAnsi="Arial" w:cs="Arial"/>
        </w:rPr>
      </w:pPr>
    </w:p>
    <w:p w14:paraId="085B3B45" w14:textId="03015FFC" w:rsidR="000A1FB5" w:rsidRDefault="000A1FB5" w:rsidP="001C1290">
      <w:pPr>
        <w:pStyle w:val="Prrafodelista"/>
        <w:numPr>
          <w:ilvl w:val="0"/>
          <w:numId w:val="6"/>
        </w:numPr>
        <w:spacing w:line="360" w:lineRule="auto"/>
        <w:contextualSpacing w:val="0"/>
        <w:jc w:val="both"/>
        <w:rPr>
          <w:rFonts w:ascii="Arial" w:hAnsi="Arial" w:cs="Arial"/>
          <w:b/>
          <w:bCs/>
        </w:rPr>
      </w:pPr>
      <w:r>
        <w:rPr>
          <w:rFonts w:ascii="Arial" w:hAnsi="Arial" w:cs="Arial"/>
          <w:b/>
          <w:bCs/>
        </w:rPr>
        <w:lastRenderedPageBreak/>
        <w:t>TERCERA PARTE</w:t>
      </w:r>
    </w:p>
    <w:p w14:paraId="1F6A7C8E" w14:textId="569F9042" w:rsidR="000E2A66" w:rsidRDefault="000E2A66" w:rsidP="001C1290">
      <w:pPr>
        <w:pStyle w:val="Prrafodelista"/>
        <w:numPr>
          <w:ilvl w:val="0"/>
          <w:numId w:val="7"/>
        </w:numPr>
        <w:spacing w:line="360" w:lineRule="auto"/>
        <w:contextualSpacing w:val="0"/>
        <w:jc w:val="both"/>
        <w:rPr>
          <w:rFonts w:ascii="Arial" w:hAnsi="Arial" w:cs="Arial"/>
        </w:rPr>
      </w:pPr>
      <w:r>
        <w:rPr>
          <w:rFonts w:ascii="Arial" w:hAnsi="Arial" w:cs="Arial"/>
        </w:rPr>
        <w:t>Análisis normativo. Estudio del marco jurídico, desde el inicio del proceso de formalización minera</w:t>
      </w:r>
      <w:r w:rsidR="001C1290">
        <w:rPr>
          <w:rFonts w:ascii="Arial" w:hAnsi="Arial" w:cs="Arial"/>
        </w:rPr>
        <w:t xml:space="preserve"> hasta la actualidad</w:t>
      </w:r>
      <w:r>
        <w:rPr>
          <w:rFonts w:ascii="Arial" w:hAnsi="Arial" w:cs="Arial"/>
        </w:rPr>
        <w:t>.</w:t>
      </w:r>
    </w:p>
    <w:p w14:paraId="2E2B7914" w14:textId="22D4D67F" w:rsidR="000E2A66" w:rsidRDefault="000E2A66" w:rsidP="001C1290">
      <w:pPr>
        <w:pStyle w:val="Prrafodelista"/>
        <w:numPr>
          <w:ilvl w:val="0"/>
          <w:numId w:val="7"/>
        </w:numPr>
        <w:spacing w:line="360" w:lineRule="auto"/>
        <w:contextualSpacing w:val="0"/>
        <w:jc w:val="both"/>
        <w:rPr>
          <w:rFonts w:ascii="Arial" w:hAnsi="Arial" w:cs="Arial"/>
        </w:rPr>
      </w:pPr>
      <w:r>
        <w:rPr>
          <w:rFonts w:ascii="Arial" w:hAnsi="Arial" w:cs="Arial"/>
        </w:rPr>
        <w:t>Análisis de datos y estadísticas del proceso de formalización minera.</w:t>
      </w:r>
    </w:p>
    <w:p w14:paraId="23858C70" w14:textId="77777777" w:rsidR="000A1FB5" w:rsidRPr="003D093C" w:rsidRDefault="000A1FB5" w:rsidP="001C1290">
      <w:pPr>
        <w:pStyle w:val="Prrafodelista"/>
        <w:numPr>
          <w:ilvl w:val="0"/>
          <w:numId w:val="6"/>
        </w:numPr>
        <w:spacing w:line="360" w:lineRule="auto"/>
        <w:contextualSpacing w:val="0"/>
        <w:jc w:val="both"/>
        <w:rPr>
          <w:rFonts w:ascii="Arial" w:hAnsi="Arial" w:cs="Arial"/>
          <w:b/>
          <w:bCs/>
        </w:rPr>
      </w:pPr>
      <w:r w:rsidRPr="003D093C">
        <w:rPr>
          <w:rFonts w:ascii="Arial" w:hAnsi="Arial" w:cs="Arial"/>
          <w:b/>
          <w:bCs/>
        </w:rPr>
        <w:t>CUARTA PARTE</w:t>
      </w:r>
    </w:p>
    <w:p w14:paraId="5BDEA252" w14:textId="063CC08C" w:rsidR="003D093C" w:rsidRPr="003D093C" w:rsidRDefault="003D093C" w:rsidP="003D093C">
      <w:pPr>
        <w:pStyle w:val="Prrafodelista"/>
        <w:spacing w:line="360" w:lineRule="auto"/>
        <w:ind w:left="1069"/>
        <w:contextualSpacing w:val="0"/>
        <w:jc w:val="both"/>
        <w:rPr>
          <w:rFonts w:ascii="Arial" w:hAnsi="Arial" w:cs="Arial"/>
        </w:rPr>
      </w:pPr>
      <w:r>
        <w:rPr>
          <w:rFonts w:ascii="Arial" w:hAnsi="Arial" w:cs="Arial"/>
        </w:rPr>
        <w:t>Existe una serie de causas que han derivado en que el proceso de formalización minera aún no concluya. El objetivo del presente trabajo es detallarlos como consecuencia de los análisis que se efectuarán.</w:t>
      </w:r>
    </w:p>
    <w:p w14:paraId="6456DBBB" w14:textId="73387630" w:rsidR="003D093C" w:rsidRDefault="000A1FB5" w:rsidP="003D093C">
      <w:pPr>
        <w:pStyle w:val="Prrafodelista"/>
        <w:numPr>
          <w:ilvl w:val="0"/>
          <w:numId w:val="6"/>
        </w:numPr>
        <w:spacing w:line="360" w:lineRule="auto"/>
        <w:contextualSpacing w:val="0"/>
        <w:jc w:val="both"/>
        <w:rPr>
          <w:rFonts w:ascii="Arial" w:hAnsi="Arial" w:cs="Arial"/>
          <w:b/>
          <w:bCs/>
        </w:rPr>
      </w:pPr>
      <w:r>
        <w:rPr>
          <w:rFonts w:ascii="Arial" w:hAnsi="Arial" w:cs="Arial"/>
          <w:b/>
          <w:bCs/>
        </w:rPr>
        <w:t>CONCLUSIONES Y RECOMENDACIONE</w:t>
      </w:r>
      <w:r w:rsidR="003D093C">
        <w:rPr>
          <w:rFonts w:ascii="Arial" w:hAnsi="Arial" w:cs="Arial"/>
          <w:b/>
          <w:bCs/>
        </w:rPr>
        <w:t>S</w:t>
      </w:r>
    </w:p>
    <w:p w14:paraId="36C35274" w14:textId="2EED6560" w:rsidR="000A1FB5" w:rsidRPr="003D093C" w:rsidRDefault="001C1290" w:rsidP="003D093C">
      <w:pPr>
        <w:pStyle w:val="Prrafodelista"/>
        <w:spacing w:line="360" w:lineRule="auto"/>
        <w:ind w:left="1069"/>
        <w:contextualSpacing w:val="0"/>
        <w:jc w:val="both"/>
        <w:rPr>
          <w:rFonts w:ascii="Arial" w:hAnsi="Arial" w:cs="Arial"/>
          <w:b/>
          <w:bCs/>
        </w:rPr>
      </w:pPr>
      <w:r w:rsidRPr="003D093C">
        <w:rPr>
          <w:rFonts w:ascii="Arial" w:hAnsi="Arial" w:cs="Arial"/>
        </w:rPr>
        <w:t>De manera preliminar, dentro de las recomendaciones, se propone fortalecer las capacidades de entidades como la Dirección General de Formalización Minera –una vez que el proceso de formalización minera se centralice en esta entidad</w:t>
      </w:r>
      <w:r w:rsidRPr="003D093C">
        <w:rPr>
          <w:rFonts w:ascii="Arial" w:hAnsi="Arial" w:cs="Arial"/>
        </w:rPr>
        <w:t>–</w:t>
      </w:r>
      <w:r w:rsidRPr="003D093C">
        <w:rPr>
          <w:rFonts w:ascii="Arial" w:hAnsi="Arial" w:cs="Arial"/>
        </w:rPr>
        <w:t xml:space="preserve"> así como en las entidades de fiscalización.</w:t>
      </w:r>
    </w:p>
    <w:sectPr w:rsidR="000A1FB5" w:rsidRPr="003D093C" w:rsidSect="000A1FB5">
      <w:pgSz w:w="11906" w:h="17338"/>
      <w:pgMar w:top="1417" w:right="1701" w:bottom="1417" w:left="1701"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7C75"/>
    <w:multiLevelType w:val="hybridMultilevel"/>
    <w:tmpl w:val="E4AE9AC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0FE2EAE"/>
    <w:multiLevelType w:val="hybridMultilevel"/>
    <w:tmpl w:val="1F9CE53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28F0E8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7A60EB3"/>
    <w:multiLevelType w:val="hybridMultilevel"/>
    <w:tmpl w:val="4988460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0A6E3EF4"/>
    <w:multiLevelType w:val="hybridMultilevel"/>
    <w:tmpl w:val="4142FDF0"/>
    <w:lvl w:ilvl="0" w:tplc="72F49B96">
      <w:start w:val="1"/>
      <w:numFmt w:val="decimal"/>
      <w:lvlText w:val="%1)"/>
      <w:lvlJc w:val="left"/>
      <w:pPr>
        <w:ind w:left="1069" w:hanging="360"/>
      </w:pPr>
      <w:rPr>
        <w:rFonts w:hint="default"/>
      </w:rPr>
    </w:lvl>
    <w:lvl w:ilvl="1" w:tplc="280A0019" w:tentative="1">
      <w:start w:val="1"/>
      <w:numFmt w:val="lowerLetter"/>
      <w:lvlText w:val="%2."/>
      <w:lvlJc w:val="left"/>
      <w:pPr>
        <w:ind w:left="1789" w:hanging="360"/>
      </w:pPr>
    </w:lvl>
    <w:lvl w:ilvl="2" w:tplc="280A001B" w:tentative="1">
      <w:start w:val="1"/>
      <w:numFmt w:val="lowerRoman"/>
      <w:lvlText w:val="%3."/>
      <w:lvlJc w:val="right"/>
      <w:pPr>
        <w:ind w:left="2509" w:hanging="180"/>
      </w:pPr>
    </w:lvl>
    <w:lvl w:ilvl="3" w:tplc="280A000F" w:tentative="1">
      <w:start w:val="1"/>
      <w:numFmt w:val="decimal"/>
      <w:lvlText w:val="%4."/>
      <w:lvlJc w:val="left"/>
      <w:pPr>
        <w:ind w:left="3229" w:hanging="360"/>
      </w:pPr>
    </w:lvl>
    <w:lvl w:ilvl="4" w:tplc="280A0019" w:tentative="1">
      <w:start w:val="1"/>
      <w:numFmt w:val="lowerLetter"/>
      <w:lvlText w:val="%5."/>
      <w:lvlJc w:val="left"/>
      <w:pPr>
        <w:ind w:left="3949" w:hanging="360"/>
      </w:pPr>
    </w:lvl>
    <w:lvl w:ilvl="5" w:tplc="280A001B" w:tentative="1">
      <w:start w:val="1"/>
      <w:numFmt w:val="lowerRoman"/>
      <w:lvlText w:val="%6."/>
      <w:lvlJc w:val="right"/>
      <w:pPr>
        <w:ind w:left="4669" w:hanging="180"/>
      </w:pPr>
    </w:lvl>
    <w:lvl w:ilvl="6" w:tplc="280A000F" w:tentative="1">
      <w:start w:val="1"/>
      <w:numFmt w:val="decimal"/>
      <w:lvlText w:val="%7."/>
      <w:lvlJc w:val="left"/>
      <w:pPr>
        <w:ind w:left="5389" w:hanging="360"/>
      </w:pPr>
    </w:lvl>
    <w:lvl w:ilvl="7" w:tplc="280A0019" w:tentative="1">
      <w:start w:val="1"/>
      <w:numFmt w:val="lowerLetter"/>
      <w:lvlText w:val="%8."/>
      <w:lvlJc w:val="left"/>
      <w:pPr>
        <w:ind w:left="6109" w:hanging="360"/>
      </w:pPr>
    </w:lvl>
    <w:lvl w:ilvl="8" w:tplc="280A001B" w:tentative="1">
      <w:start w:val="1"/>
      <w:numFmt w:val="lowerRoman"/>
      <w:lvlText w:val="%9."/>
      <w:lvlJc w:val="right"/>
      <w:pPr>
        <w:ind w:left="6829" w:hanging="180"/>
      </w:pPr>
    </w:lvl>
  </w:abstractNum>
  <w:abstractNum w:abstractNumId="5" w15:restartNumberingAfterBreak="0">
    <w:nsid w:val="1F0A6894"/>
    <w:multiLevelType w:val="hybridMultilevel"/>
    <w:tmpl w:val="6A5E320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7E1D80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403625C5"/>
    <w:multiLevelType w:val="hybridMultilevel"/>
    <w:tmpl w:val="494A217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44721A50"/>
    <w:multiLevelType w:val="hybridMultilevel"/>
    <w:tmpl w:val="3962E59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4DAF09C7"/>
    <w:multiLevelType w:val="hybridMultilevel"/>
    <w:tmpl w:val="D60ADD38"/>
    <w:lvl w:ilvl="0" w:tplc="280A0011">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4E780CCF"/>
    <w:multiLevelType w:val="hybridMultilevel"/>
    <w:tmpl w:val="011CCAEC"/>
    <w:lvl w:ilvl="0" w:tplc="280A0001">
      <w:start w:val="1"/>
      <w:numFmt w:val="bullet"/>
      <w:lvlText w:val=""/>
      <w:lvlJc w:val="left"/>
      <w:pPr>
        <w:ind w:left="1070" w:hanging="360"/>
      </w:pPr>
      <w:rPr>
        <w:rFonts w:ascii="Symbol" w:hAnsi="Symbol" w:hint="default"/>
      </w:rPr>
    </w:lvl>
    <w:lvl w:ilvl="1" w:tplc="280A0003" w:tentative="1">
      <w:start w:val="1"/>
      <w:numFmt w:val="bullet"/>
      <w:lvlText w:val="o"/>
      <w:lvlJc w:val="left"/>
      <w:pPr>
        <w:ind w:left="1790" w:hanging="360"/>
      </w:pPr>
      <w:rPr>
        <w:rFonts w:ascii="Courier New" w:hAnsi="Courier New" w:cs="Courier New" w:hint="default"/>
      </w:rPr>
    </w:lvl>
    <w:lvl w:ilvl="2" w:tplc="280A0005" w:tentative="1">
      <w:start w:val="1"/>
      <w:numFmt w:val="bullet"/>
      <w:lvlText w:val=""/>
      <w:lvlJc w:val="left"/>
      <w:pPr>
        <w:ind w:left="2510" w:hanging="360"/>
      </w:pPr>
      <w:rPr>
        <w:rFonts w:ascii="Wingdings" w:hAnsi="Wingdings" w:hint="default"/>
      </w:rPr>
    </w:lvl>
    <w:lvl w:ilvl="3" w:tplc="280A0001" w:tentative="1">
      <w:start w:val="1"/>
      <w:numFmt w:val="bullet"/>
      <w:lvlText w:val=""/>
      <w:lvlJc w:val="left"/>
      <w:pPr>
        <w:ind w:left="3230" w:hanging="360"/>
      </w:pPr>
      <w:rPr>
        <w:rFonts w:ascii="Symbol" w:hAnsi="Symbol" w:hint="default"/>
      </w:rPr>
    </w:lvl>
    <w:lvl w:ilvl="4" w:tplc="280A0003" w:tentative="1">
      <w:start w:val="1"/>
      <w:numFmt w:val="bullet"/>
      <w:lvlText w:val="o"/>
      <w:lvlJc w:val="left"/>
      <w:pPr>
        <w:ind w:left="3950" w:hanging="360"/>
      </w:pPr>
      <w:rPr>
        <w:rFonts w:ascii="Courier New" w:hAnsi="Courier New" w:cs="Courier New" w:hint="default"/>
      </w:rPr>
    </w:lvl>
    <w:lvl w:ilvl="5" w:tplc="280A0005" w:tentative="1">
      <w:start w:val="1"/>
      <w:numFmt w:val="bullet"/>
      <w:lvlText w:val=""/>
      <w:lvlJc w:val="left"/>
      <w:pPr>
        <w:ind w:left="4670" w:hanging="360"/>
      </w:pPr>
      <w:rPr>
        <w:rFonts w:ascii="Wingdings" w:hAnsi="Wingdings" w:hint="default"/>
      </w:rPr>
    </w:lvl>
    <w:lvl w:ilvl="6" w:tplc="280A0001" w:tentative="1">
      <w:start w:val="1"/>
      <w:numFmt w:val="bullet"/>
      <w:lvlText w:val=""/>
      <w:lvlJc w:val="left"/>
      <w:pPr>
        <w:ind w:left="5390" w:hanging="360"/>
      </w:pPr>
      <w:rPr>
        <w:rFonts w:ascii="Symbol" w:hAnsi="Symbol" w:hint="default"/>
      </w:rPr>
    </w:lvl>
    <w:lvl w:ilvl="7" w:tplc="280A0003" w:tentative="1">
      <w:start w:val="1"/>
      <w:numFmt w:val="bullet"/>
      <w:lvlText w:val="o"/>
      <w:lvlJc w:val="left"/>
      <w:pPr>
        <w:ind w:left="6110" w:hanging="360"/>
      </w:pPr>
      <w:rPr>
        <w:rFonts w:ascii="Courier New" w:hAnsi="Courier New" w:cs="Courier New" w:hint="default"/>
      </w:rPr>
    </w:lvl>
    <w:lvl w:ilvl="8" w:tplc="280A0005" w:tentative="1">
      <w:start w:val="1"/>
      <w:numFmt w:val="bullet"/>
      <w:lvlText w:val=""/>
      <w:lvlJc w:val="left"/>
      <w:pPr>
        <w:ind w:left="6830" w:hanging="360"/>
      </w:pPr>
      <w:rPr>
        <w:rFonts w:ascii="Wingdings" w:hAnsi="Wingdings" w:hint="default"/>
      </w:rPr>
    </w:lvl>
  </w:abstractNum>
  <w:abstractNum w:abstractNumId="11" w15:restartNumberingAfterBreak="0">
    <w:nsid w:val="5B616186"/>
    <w:multiLevelType w:val="multilevel"/>
    <w:tmpl w:val="20F0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6FB3DE6"/>
    <w:multiLevelType w:val="hybridMultilevel"/>
    <w:tmpl w:val="BC34C440"/>
    <w:lvl w:ilvl="0" w:tplc="280A0001">
      <w:start w:val="1"/>
      <w:numFmt w:val="bullet"/>
      <w:lvlText w:val=""/>
      <w:lvlJc w:val="left"/>
      <w:pPr>
        <w:ind w:left="1495" w:hanging="360"/>
      </w:pPr>
      <w:rPr>
        <w:rFonts w:ascii="Symbol" w:hAnsi="Symbol" w:hint="default"/>
      </w:rPr>
    </w:lvl>
    <w:lvl w:ilvl="1" w:tplc="280A0003" w:tentative="1">
      <w:start w:val="1"/>
      <w:numFmt w:val="bullet"/>
      <w:lvlText w:val="o"/>
      <w:lvlJc w:val="left"/>
      <w:pPr>
        <w:ind w:left="2215" w:hanging="360"/>
      </w:pPr>
      <w:rPr>
        <w:rFonts w:ascii="Courier New" w:hAnsi="Courier New" w:cs="Courier New" w:hint="default"/>
      </w:rPr>
    </w:lvl>
    <w:lvl w:ilvl="2" w:tplc="280A0005" w:tentative="1">
      <w:start w:val="1"/>
      <w:numFmt w:val="bullet"/>
      <w:lvlText w:val=""/>
      <w:lvlJc w:val="left"/>
      <w:pPr>
        <w:ind w:left="2935" w:hanging="360"/>
      </w:pPr>
      <w:rPr>
        <w:rFonts w:ascii="Wingdings" w:hAnsi="Wingdings" w:hint="default"/>
      </w:rPr>
    </w:lvl>
    <w:lvl w:ilvl="3" w:tplc="280A0001" w:tentative="1">
      <w:start w:val="1"/>
      <w:numFmt w:val="bullet"/>
      <w:lvlText w:val=""/>
      <w:lvlJc w:val="left"/>
      <w:pPr>
        <w:ind w:left="3655" w:hanging="360"/>
      </w:pPr>
      <w:rPr>
        <w:rFonts w:ascii="Symbol" w:hAnsi="Symbol" w:hint="default"/>
      </w:rPr>
    </w:lvl>
    <w:lvl w:ilvl="4" w:tplc="280A0003" w:tentative="1">
      <w:start w:val="1"/>
      <w:numFmt w:val="bullet"/>
      <w:lvlText w:val="o"/>
      <w:lvlJc w:val="left"/>
      <w:pPr>
        <w:ind w:left="4375" w:hanging="360"/>
      </w:pPr>
      <w:rPr>
        <w:rFonts w:ascii="Courier New" w:hAnsi="Courier New" w:cs="Courier New" w:hint="default"/>
      </w:rPr>
    </w:lvl>
    <w:lvl w:ilvl="5" w:tplc="280A0005" w:tentative="1">
      <w:start w:val="1"/>
      <w:numFmt w:val="bullet"/>
      <w:lvlText w:val=""/>
      <w:lvlJc w:val="left"/>
      <w:pPr>
        <w:ind w:left="5095" w:hanging="360"/>
      </w:pPr>
      <w:rPr>
        <w:rFonts w:ascii="Wingdings" w:hAnsi="Wingdings" w:hint="default"/>
      </w:rPr>
    </w:lvl>
    <w:lvl w:ilvl="6" w:tplc="280A0001" w:tentative="1">
      <w:start w:val="1"/>
      <w:numFmt w:val="bullet"/>
      <w:lvlText w:val=""/>
      <w:lvlJc w:val="left"/>
      <w:pPr>
        <w:ind w:left="5815" w:hanging="360"/>
      </w:pPr>
      <w:rPr>
        <w:rFonts w:ascii="Symbol" w:hAnsi="Symbol" w:hint="default"/>
      </w:rPr>
    </w:lvl>
    <w:lvl w:ilvl="7" w:tplc="280A0003" w:tentative="1">
      <w:start w:val="1"/>
      <w:numFmt w:val="bullet"/>
      <w:lvlText w:val="o"/>
      <w:lvlJc w:val="left"/>
      <w:pPr>
        <w:ind w:left="6535" w:hanging="360"/>
      </w:pPr>
      <w:rPr>
        <w:rFonts w:ascii="Courier New" w:hAnsi="Courier New" w:cs="Courier New" w:hint="default"/>
      </w:rPr>
    </w:lvl>
    <w:lvl w:ilvl="8" w:tplc="280A0005" w:tentative="1">
      <w:start w:val="1"/>
      <w:numFmt w:val="bullet"/>
      <w:lvlText w:val=""/>
      <w:lvlJc w:val="left"/>
      <w:pPr>
        <w:ind w:left="7255" w:hanging="360"/>
      </w:pPr>
      <w:rPr>
        <w:rFonts w:ascii="Wingdings" w:hAnsi="Wingdings" w:hint="default"/>
      </w:rPr>
    </w:lvl>
  </w:abstractNum>
  <w:abstractNum w:abstractNumId="13" w15:restartNumberingAfterBreak="0">
    <w:nsid w:val="7BAA05FE"/>
    <w:multiLevelType w:val="hybridMultilevel"/>
    <w:tmpl w:val="FE80061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0106606">
    <w:abstractNumId w:val="2"/>
  </w:num>
  <w:num w:numId="2" w16cid:durableId="474415428">
    <w:abstractNumId w:val="8"/>
  </w:num>
  <w:num w:numId="3" w16cid:durableId="573509932">
    <w:abstractNumId w:val="9"/>
  </w:num>
  <w:num w:numId="4" w16cid:durableId="40829799">
    <w:abstractNumId w:val="6"/>
  </w:num>
  <w:num w:numId="5" w16cid:durableId="117993154">
    <w:abstractNumId w:val="10"/>
  </w:num>
  <w:num w:numId="6" w16cid:durableId="623122711">
    <w:abstractNumId w:val="4"/>
  </w:num>
  <w:num w:numId="7" w16cid:durableId="1282571348">
    <w:abstractNumId w:val="12"/>
  </w:num>
  <w:num w:numId="8" w16cid:durableId="986209224">
    <w:abstractNumId w:val="7"/>
  </w:num>
  <w:num w:numId="9" w16cid:durableId="1943100539">
    <w:abstractNumId w:val="5"/>
  </w:num>
  <w:num w:numId="10" w16cid:durableId="1698122483">
    <w:abstractNumId w:val="3"/>
  </w:num>
  <w:num w:numId="11" w16cid:durableId="1197157291">
    <w:abstractNumId w:val="13"/>
  </w:num>
  <w:num w:numId="12" w16cid:durableId="639773945">
    <w:abstractNumId w:val="0"/>
  </w:num>
  <w:num w:numId="13" w16cid:durableId="1917862172">
    <w:abstractNumId w:val="1"/>
  </w:num>
  <w:num w:numId="14" w16cid:durableId="157150479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434"/>
    <w:rsid w:val="000A1FB5"/>
    <w:rsid w:val="000E2A66"/>
    <w:rsid w:val="00122991"/>
    <w:rsid w:val="001C1290"/>
    <w:rsid w:val="003A1710"/>
    <w:rsid w:val="003D093C"/>
    <w:rsid w:val="00666434"/>
    <w:rsid w:val="00870B0C"/>
    <w:rsid w:val="009A706D"/>
    <w:rsid w:val="00EF63F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B2016"/>
  <w15:chartTrackingRefBased/>
  <w15:docId w15:val="{147967FC-030C-4836-8F9D-52CEC94DF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664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664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664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664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664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664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664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664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664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643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6643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6643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6643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6643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664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664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664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66434"/>
    <w:rPr>
      <w:rFonts w:eastAsiaTheme="majorEastAsia" w:cstheme="majorBidi"/>
      <w:color w:val="272727" w:themeColor="text1" w:themeTint="D8"/>
    </w:rPr>
  </w:style>
  <w:style w:type="paragraph" w:styleId="Ttulo">
    <w:name w:val="Title"/>
    <w:basedOn w:val="Normal"/>
    <w:next w:val="Normal"/>
    <w:link w:val="TtuloCar"/>
    <w:uiPriority w:val="10"/>
    <w:qFormat/>
    <w:rsid w:val="006664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64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664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664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66434"/>
    <w:pPr>
      <w:spacing w:before="160"/>
      <w:jc w:val="center"/>
    </w:pPr>
    <w:rPr>
      <w:i/>
      <w:iCs/>
      <w:color w:val="404040" w:themeColor="text1" w:themeTint="BF"/>
    </w:rPr>
  </w:style>
  <w:style w:type="character" w:customStyle="1" w:styleId="CitaCar">
    <w:name w:val="Cita Car"/>
    <w:basedOn w:val="Fuentedeprrafopredeter"/>
    <w:link w:val="Cita"/>
    <w:uiPriority w:val="29"/>
    <w:rsid w:val="00666434"/>
    <w:rPr>
      <w:i/>
      <w:iCs/>
      <w:color w:val="404040" w:themeColor="text1" w:themeTint="BF"/>
    </w:rPr>
  </w:style>
  <w:style w:type="paragraph" w:styleId="Prrafodelista">
    <w:name w:val="List Paragraph"/>
    <w:basedOn w:val="Normal"/>
    <w:uiPriority w:val="34"/>
    <w:qFormat/>
    <w:rsid w:val="00666434"/>
    <w:pPr>
      <w:ind w:left="720"/>
      <w:contextualSpacing/>
    </w:pPr>
  </w:style>
  <w:style w:type="character" w:styleId="nfasisintenso">
    <w:name w:val="Intense Emphasis"/>
    <w:basedOn w:val="Fuentedeprrafopredeter"/>
    <w:uiPriority w:val="21"/>
    <w:qFormat/>
    <w:rsid w:val="00666434"/>
    <w:rPr>
      <w:i/>
      <w:iCs/>
      <w:color w:val="0F4761" w:themeColor="accent1" w:themeShade="BF"/>
    </w:rPr>
  </w:style>
  <w:style w:type="paragraph" w:styleId="Citadestacada">
    <w:name w:val="Intense Quote"/>
    <w:basedOn w:val="Normal"/>
    <w:next w:val="Normal"/>
    <w:link w:val="CitadestacadaCar"/>
    <w:uiPriority w:val="30"/>
    <w:qFormat/>
    <w:rsid w:val="006664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66434"/>
    <w:rPr>
      <w:i/>
      <w:iCs/>
      <w:color w:val="0F4761" w:themeColor="accent1" w:themeShade="BF"/>
    </w:rPr>
  </w:style>
  <w:style w:type="character" w:styleId="Referenciaintensa">
    <w:name w:val="Intense Reference"/>
    <w:basedOn w:val="Fuentedeprrafopredeter"/>
    <w:uiPriority w:val="32"/>
    <w:qFormat/>
    <w:rsid w:val="00666434"/>
    <w:rPr>
      <w:b/>
      <w:bCs/>
      <w:smallCaps/>
      <w:color w:val="0F4761" w:themeColor="accent1" w:themeShade="BF"/>
      <w:spacing w:val="5"/>
    </w:rPr>
  </w:style>
  <w:style w:type="character" w:styleId="Hipervnculo">
    <w:name w:val="Hyperlink"/>
    <w:basedOn w:val="Fuentedeprrafopredeter"/>
    <w:uiPriority w:val="99"/>
    <w:unhideWhenUsed/>
    <w:rsid w:val="00666434"/>
    <w:rPr>
      <w:color w:val="467886" w:themeColor="hyperlink"/>
      <w:u w:val="single"/>
    </w:rPr>
  </w:style>
  <w:style w:type="character" w:styleId="Mencinsinresolver">
    <w:name w:val="Unresolved Mention"/>
    <w:basedOn w:val="Fuentedeprrafopredeter"/>
    <w:uiPriority w:val="99"/>
    <w:semiHidden/>
    <w:unhideWhenUsed/>
    <w:rsid w:val="006664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343917">
      <w:bodyDiv w:val="1"/>
      <w:marLeft w:val="0"/>
      <w:marRight w:val="0"/>
      <w:marTop w:val="0"/>
      <w:marBottom w:val="0"/>
      <w:divBdr>
        <w:top w:val="none" w:sz="0" w:space="0" w:color="auto"/>
        <w:left w:val="none" w:sz="0" w:space="0" w:color="auto"/>
        <w:bottom w:val="none" w:sz="0" w:space="0" w:color="auto"/>
        <w:right w:val="none" w:sz="0" w:space="0" w:color="auto"/>
      </w:divBdr>
    </w:div>
    <w:div w:id="574050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equintanilla.tavara@gmail.com" TargetMode="External"/><Relationship Id="rId5" Type="http://schemas.openxmlformats.org/officeDocument/2006/relationships/hyperlink" Target="mailto:equintanilla@mibsac.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3</Pages>
  <Words>583</Words>
  <Characters>3209</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Quintanilla</dc:creator>
  <cp:keywords/>
  <dc:description/>
  <cp:lastModifiedBy>Edwin Quintanilla</cp:lastModifiedBy>
  <cp:revision>1</cp:revision>
  <dcterms:created xsi:type="dcterms:W3CDTF">2025-05-19T19:52:00Z</dcterms:created>
  <dcterms:modified xsi:type="dcterms:W3CDTF">2025-05-19T21:02:00Z</dcterms:modified>
</cp:coreProperties>
</file>