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B592"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14:paraId="5F0ED47C" w14:textId="52962A46" w:rsidR="00A64CF5" w:rsidRDefault="00A64CF5" w:rsidP="001D6CA0">
      <w:pPr>
        <w:spacing w:line="360" w:lineRule="auto"/>
        <w:jc w:val="both"/>
        <w:rPr>
          <w:rFonts w:ascii="Arial" w:hAnsi="Arial" w:cs="Arial"/>
          <w:sz w:val="22"/>
          <w:szCs w:val="22"/>
          <w:lang w:val="es-ES"/>
        </w:rPr>
      </w:pPr>
      <w:r w:rsidRPr="00A64CF5">
        <w:rPr>
          <w:rFonts w:ascii="Arial" w:hAnsi="Arial" w:cs="Arial"/>
          <w:sz w:val="22"/>
          <w:szCs w:val="22"/>
          <w:lang w:val="es-ES"/>
        </w:rPr>
        <w:t xml:space="preserve">Monitoreo </w:t>
      </w:r>
      <w:r w:rsidR="00323274">
        <w:rPr>
          <w:rFonts w:ascii="Arial" w:hAnsi="Arial" w:cs="Arial"/>
          <w:sz w:val="22"/>
          <w:szCs w:val="22"/>
          <w:lang w:val="es-ES"/>
        </w:rPr>
        <w:t>ocupacional de radón en actividades mineras</w:t>
      </w:r>
    </w:p>
    <w:p w14:paraId="0619DA53" w14:textId="77777777" w:rsidR="002565D4" w:rsidRPr="001D6CA0" w:rsidRDefault="002565D4" w:rsidP="001D6CA0">
      <w:pPr>
        <w:spacing w:line="360" w:lineRule="auto"/>
        <w:jc w:val="both"/>
        <w:rPr>
          <w:rFonts w:ascii="Arial" w:hAnsi="Arial" w:cs="Arial"/>
          <w:sz w:val="22"/>
          <w:szCs w:val="22"/>
          <w:lang w:val="es-ES"/>
        </w:rPr>
      </w:pPr>
    </w:p>
    <w:p w14:paraId="786657FF" w14:textId="77777777"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14:paraId="094ABB84" w14:textId="32AB3CEC" w:rsidR="002652EF"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Tecnología e innovaciones en seguridad</w:t>
      </w:r>
    </w:p>
    <w:p w14:paraId="13085D65" w14:textId="77777777" w:rsidR="00AA3D9A" w:rsidRPr="001D6CA0" w:rsidRDefault="00AA3D9A" w:rsidP="001D6CA0">
      <w:pPr>
        <w:spacing w:line="360" w:lineRule="auto"/>
        <w:jc w:val="both"/>
        <w:rPr>
          <w:rFonts w:ascii="Arial" w:hAnsi="Arial" w:cs="Arial"/>
          <w:sz w:val="22"/>
          <w:szCs w:val="22"/>
          <w:lang w:val="es-ES"/>
        </w:rPr>
      </w:pPr>
    </w:p>
    <w:p w14:paraId="42F3A62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14:paraId="18395A45" w14:textId="6C5F534D" w:rsidR="00AA3D9A"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Minería 4.0</w:t>
      </w:r>
    </w:p>
    <w:p w14:paraId="6B48BC77" w14:textId="77777777" w:rsidR="00AA3D9A" w:rsidRPr="001D6CA0" w:rsidRDefault="00AA3D9A" w:rsidP="001D6CA0">
      <w:pPr>
        <w:spacing w:line="360" w:lineRule="auto"/>
        <w:jc w:val="both"/>
        <w:rPr>
          <w:rFonts w:ascii="Arial" w:hAnsi="Arial" w:cs="Arial"/>
          <w:sz w:val="22"/>
          <w:szCs w:val="22"/>
          <w:lang w:val="es-ES"/>
        </w:rPr>
      </w:pPr>
    </w:p>
    <w:p w14:paraId="6073124C"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14:paraId="3991CB32" w14:textId="77777777" w:rsidR="00AA3D9A"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14:paraId="1E7EDD1E"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Cesar Jheferson Guevara Pillaca, Investigador Científico,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942456500.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4" w:history="1">
        <w:r w:rsidRPr="001D6CA0">
          <w:rPr>
            <w:rStyle w:val="Hyperlink"/>
            <w:rFonts w:ascii="Arial" w:hAnsi="Arial" w:cs="Arial"/>
            <w:sz w:val="22"/>
            <w:szCs w:val="22"/>
            <w:lang w:val="es-ES"/>
          </w:rPr>
          <w:t>cesar.guevara@anphysrad.com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5" w:history="1">
        <w:r w:rsidRPr="001D6CA0">
          <w:rPr>
            <w:rStyle w:val="Hyperlink"/>
            <w:rFonts w:ascii="Arial" w:hAnsi="Arial" w:cs="Arial"/>
            <w:sz w:val="22"/>
            <w:szCs w:val="22"/>
            <w:lang w:val="es-ES"/>
          </w:rPr>
          <w:t>cesarj.guevara@pucp.edu.pe</w:t>
        </w:r>
      </w:hyperlink>
      <w:r w:rsidRPr="001D6CA0">
        <w:rPr>
          <w:rFonts w:ascii="Arial" w:hAnsi="Arial" w:cs="Arial"/>
          <w:sz w:val="22"/>
          <w:szCs w:val="22"/>
          <w:lang w:val="es-ES"/>
        </w:rPr>
        <w:t xml:space="preserve">. </w:t>
      </w:r>
    </w:p>
    <w:p w14:paraId="03F593A8"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7F2E39A4" w14:textId="0F112640" w:rsidR="00115458"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geológicos y ambientales, tanto en el sector público como privado. Como investigador de posgrado, ha participado como expositor en eventos científicos nacionales e internacionales, y es coautor de diversas publicaciones técnicas y científica</w:t>
      </w:r>
      <w:r>
        <w:rPr>
          <w:rFonts w:ascii="Arial" w:hAnsi="Arial" w:cs="Arial"/>
          <w:sz w:val="22"/>
          <w:szCs w:val="22"/>
          <w:lang w:val="es-ES"/>
        </w:rPr>
        <w:t>s.</w:t>
      </w:r>
    </w:p>
    <w:p w14:paraId="5B9E261B" w14:textId="77777777" w:rsidR="00115458" w:rsidRPr="001D6CA0" w:rsidRDefault="00115458" w:rsidP="001D6CA0">
      <w:pPr>
        <w:spacing w:line="360" w:lineRule="auto"/>
        <w:jc w:val="both"/>
        <w:rPr>
          <w:rFonts w:ascii="Arial" w:hAnsi="Arial" w:cs="Arial"/>
          <w:b/>
          <w:bCs/>
          <w:sz w:val="22"/>
          <w:szCs w:val="22"/>
          <w:lang w:val="es-ES"/>
        </w:rPr>
      </w:pPr>
    </w:p>
    <w:p w14:paraId="02E1790A" w14:textId="77777777" w:rsidR="008124A9" w:rsidRPr="001D6CA0" w:rsidRDefault="008124A9" w:rsidP="001D6CA0">
      <w:pPr>
        <w:spacing w:line="360" w:lineRule="auto"/>
        <w:jc w:val="both"/>
        <w:rPr>
          <w:rFonts w:ascii="Arial" w:hAnsi="Arial" w:cs="Arial"/>
          <w:sz w:val="22"/>
          <w:szCs w:val="22"/>
          <w:lang w:val="es-ES_tradnl"/>
        </w:rPr>
      </w:pPr>
    </w:p>
    <w:p w14:paraId="1EED1FCB"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14:paraId="70A01CBC"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Dr. </w:t>
      </w:r>
      <w:proofErr w:type="spellStart"/>
      <w:r w:rsidRPr="001D6CA0">
        <w:rPr>
          <w:rFonts w:ascii="Arial" w:hAnsi="Arial" w:cs="Arial"/>
          <w:sz w:val="22"/>
          <w:szCs w:val="22"/>
          <w:lang w:val="es-ES"/>
        </w:rPr>
        <w:t>Bertin</w:t>
      </w:r>
      <w:proofErr w:type="spellEnd"/>
      <w:r w:rsidRPr="001D6CA0">
        <w:rPr>
          <w:rFonts w:ascii="Arial" w:hAnsi="Arial" w:cs="Arial"/>
          <w:sz w:val="22"/>
          <w:szCs w:val="22"/>
          <w:lang w:val="es-ES"/>
        </w:rPr>
        <w:t xml:space="preserve"> Pérez, Gerente General,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997970007.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info@anphysrad.com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bertin.perez@anphysrad.com</w:t>
        </w:r>
      </w:hyperlink>
      <w:r w:rsidRPr="001D6CA0">
        <w:rPr>
          <w:rFonts w:ascii="Arial" w:hAnsi="Arial" w:cs="Arial"/>
          <w:sz w:val="22"/>
          <w:szCs w:val="22"/>
          <w:lang w:val="es-ES"/>
        </w:rPr>
        <w:t xml:space="preserve">. </w:t>
      </w:r>
    </w:p>
    <w:p w14:paraId="497B5820"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1BF098F9" w14:textId="77777777" w:rsidR="00115458" w:rsidRDefault="00115458" w:rsidP="00115458">
      <w:pPr>
        <w:spacing w:line="360" w:lineRule="auto"/>
        <w:jc w:val="both"/>
        <w:rPr>
          <w:rFonts w:ascii="Arial" w:hAnsi="Arial" w:cs="Arial"/>
          <w:sz w:val="22"/>
          <w:szCs w:val="22"/>
          <w:lang w:val="es-ES_tradnl"/>
        </w:rPr>
      </w:pPr>
      <w:r w:rsidRPr="008124A9">
        <w:rPr>
          <w:rFonts w:ascii="Arial" w:hAnsi="Arial" w:cs="Arial"/>
          <w:sz w:val="22"/>
          <w:szCs w:val="22"/>
          <w:lang w:val="es-ES_tradnl"/>
        </w:rPr>
        <w:t xml:space="preserve">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rentables y la agricultura de precisión. Líder de equipos de investigación y participante activo en </w:t>
      </w:r>
      <w:r w:rsidRPr="008124A9">
        <w:rPr>
          <w:rFonts w:ascii="Arial" w:hAnsi="Arial" w:cs="Arial"/>
          <w:sz w:val="22"/>
          <w:szCs w:val="22"/>
          <w:lang w:val="es-ES_tradnl"/>
        </w:rPr>
        <w:lastRenderedPageBreak/>
        <w:t>proyectos interdisciplinarios. Enfocado en el planteamiento de soluciones estratégicas que integran ciencia de datos para generar impacto ambiental, industrial y científico.</w:t>
      </w:r>
    </w:p>
    <w:p w14:paraId="5B48EC08" w14:textId="77777777" w:rsidR="001D6CA0" w:rsidRPr="00115458" w:rsidRDefault="001D6CA0" w:rsidP="001D6CA0">
      <w:pPr>
        <w:spacing w:line="360" w:lineRule="auto"/>
        <w:jc w:val="both"/>
        <w:rPr>
          <w:rFonts w:ascii="Arial" w:hAnsi="Arial" w:cs="Arial"/>
          <w:sz w:val="22"/>
          <w:szCs w:val="22"/>
          <w:lang w:val="es-ES_tradnl"/>
        </w:rPr>
      </w:pPr>
    </w:p>
    <w:p w14:paraId="2DDF7534" w14:textId="77777777" w:rsidR="00115458" w:rsidRPr="001D6CA0" w:rsidRDefault="00115458" w:rsidP="001D6CA0">
      <w:pPr>
        <w:spacing w:line="360" w:lineRule="auto"/>
        <w:jc w:val="both"/>
        <w:rPr>
          <w:rFonts w:ascii="Arial" w:hAnsi="Arial" w:cs="Arial"/>
          <w:sz w:val="22"/>
          <w:szCs w:val="22"/>
          <w:lang w:val="es-ES"/>
        </w:rPr>
      </w:pPr>
    </w:p>
    <w:p w14:paraId="1793D290"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14:paraId="1D01A81F" w14:textId="77777777"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w:t>
      </w:r>
      <w:proofErr w:type="spellStart"/>
      <w:r w:rsidRPr="001D6CA0">
        <w:rPr>
          <w:rFonts w:ascii="Arial" w:hAnsi="Arial" w:cs="Arial"/>
          <w:sz w:val="22"/>
          <w:szCs w:val="22"/>
          <w:lang w:val="es-ES"/>
        </w:rPr>
        <w:t>Amanca</w:t>
      </w:r>
      <w:proofErr w:type="spellEnd"/>
      <w:r w:rsidRPr="001D6CA0">
        <w:rPr>
          <w:rFonts w:ascii="Arial" w:hAnsi="Arial" w:cs="Arial"/>
          <w:sz w:val="22"/>
          <w:szCs w:val="22"/>
          <w:lang w:val="es-ES"/>
        </w:rPr>
        <w:t xml:space="preserve">, </w:t>
      </w:r>
      <w:r w:rsidR="00D33FC2">
        <w:rPr>
          <w:rFonts w:ascii="Arial" w:hAnsi="Arial" w:cs="Arial"/>
          <w:sz w:val="22"/>
          <w:szCs w:val="22"/>
          <w:lang w:val="es-ES"/>
        </w:rPr>
        <w:t>Investigador</w:t>
      </w:r>
      <w:r w:rsidRPr="001D6CA0">
        <w:rPr>
          <w:rFonts w:ascii="Arial" w:hAnsi="Arial" w:cs="Arial"/>
          <w:sz w:val="22"/>
          <w:szCs w:val="22"/>
          <w:lang w:val="es-ES"/>
        </w:rPr>
        <w:t xml:space="preserve">,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14:paraId="639B5D84" w14:textId="77777777" w:rsidR="002652EF" w:rsidRPr="00D33FC2" w:rsidRDefault="002652EF" w:rsidP="001D6CA0">
      <w:pPr>
        <w:spacing w:line="360" w:lineRule="auto"/>
        <w:jc w:val="both"/>
        <w:rPr>
          <w:rFonts w:ascii="Arial" w:hAnsi="Arial" w:cs="Arial"/>
          <w:sz w:val="22"/>
          <w:szCs w:val="22"/>
          <w:lang w:val="es-ES"/>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5A5F69E4" w14:textId="24EC07FF"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8156DD"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w:t>
      </w:r>
      <w:proofErr w:type="spellStart"/>
      <w:r w:rsidRPr="00D33FC2">
        <w:rPr>
          <w:rFonts w:ascii="Arial" w:hAnsi="Arial" w:cs="Arial"/>
          <w:sz w:val="22"/>
          <w:szCs w:val="22"/>
          <w:lang w:val="es-ES"/>
        </w:rPr>
        <w:t>neotectónica</w:t>
      </w:r>
      <w:proofErr w:type="spellEnd"/>
      <w:r w:rsidRPr="00D33FC2">
        <w:rPr>
          <w:rFonts w:ascii="Arial" w:hAnsi="Arial" w:cs="Arial"/>
          <w:sz w:val="22"/>
          <w:szCs w:val="22"/>
          <w:lang w:val="es-ES"/>
        </w:rPr>
        <w:t xml:space="preserve"> aplicando técnicas radiométricas,</w:t>
      </w:r>
      <w:r w:rsidR="008156DD">
        <w:rPr>
          <w:rFonts w:ascii="Arial" w:hAnsi="Arial" w:cs="Arial"/>
          <w:sz w:val="22"/>
          <w:szCs w:val="22"/>
          <w:lang w:val="es-ES"/>
        </w:rPr>
        <w:t xml:space="preserve"> </w:t>
      </w:r>
      <w:r w:rsidRPr="00D33FC2">
        <w:rPr>
          <w:rFonts w:ascii="Arial" w:hAnsi="Arial" w:cs="Arial"/>
          <w:sz w:val="22"/>
          <w:szCs w:val="22"/>
          <w:lang w:val="es-ES"/>
        </w:rPr>
        <w:t xml:space="preserve">monitoreo de la calidad ambiental y aplicación de técnicas de machine </w:t>
      </w:r>
      <w:proofErr w:type="spellStart"/>
      <w:r w:rsidRPr="00D33FC2">
        <w:rPr>
          <w:rFonts w:ascii="Arial" w:hAnsi="Arial" w:cs="Arial"/>
          <w:sz w:val="22"/>
          <w:szCs w:val="22"/>
          <w:lang w:val="es-ES"/>
        </w:rPr>
        <w:t>learning</w:t>
      </w:r>
      <w:proofErr w:type="spellEnd"/>
      <w:r w:rsidRPr="00D33FC2">
        <w:rPr>
          <w:rFonts w:ascii="Arial" w:hAnsi="Arial" w:cs="Arial"/>
          <w:sz w:val="22"/>
          <w:szCs w:val="22"/>
          <w:lang w:val="es-ES"/>
        </w:rPr>
        <w:t>.</w:t>
      </w:r>
    </w:p>
    <w:p w14:paraId="196E40F9" w14:textId="77777777" w:rsidR="001D6CA0" w:rsidRPr="001D6CA0" w:rsidRDefault="001D6CA0" w:rsidP="001D6CA0">
      <w:pPr>
        <w:spacing w:line="360" w:lineRule="auto"/>
        <w:jc w:val="both"/>
        <w:rPr>
          <w:rFonts w:ascii="Arial" w:hAnsi="Arial" w:cs="Arial"/>
          <w:sz w:val="22"/>
          <w:szCs w:val="22"/>
          <w:lang w:val="es-ES"/>
        </w:rPr>
      </w:pPr>
    </w:p>
    <w:p w14:paraId="35BF4E9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14:paraId="43881300" w14:textId="69E0C811" w:rsidR="00AA3D9A" w:rsidRDefault="002565D4" w:rsidP="001D6CA0">
      <w:pPr>
        <w:spacing w:line="360" w:lineRule="auto"/>
        <w:jc w:val="both"/>
        <w:rPr>
          <w:rFonts w:ascii="Arial" w:hAnsi="Arial" w:cs="Arial"/>
          <w:sz w:val="22"/>
          <w:szCs w:val="22"/>
          <w:lang w:val="es-ES"/>
        </w:rPr>
      </w:pPr>
      <w:r w:rsidRPr="002565D4">
        <w:rPr>
          <w:rFonts w:ascii="Arial" w:hAnsi="Arial" w:cs="Arial"/>
          <w:sz w:val="22"/>
          <w:szCs w:val="22"/>
          <w:lang w:val="es-ES"/>
        </w:rPr>
        <w:t>Exposición al radón, minería subterránea, monitoreo de aire, seguridad</w:t>
      </w:r>
      <w:r>
        <w:rPr>
          <w:rFonts w:ascii="Arial" w:hAnsi="Arial" w:cs="Arial"/>
          <w:sz w:val="22"/>
          <w:szCs w:val="22"/>
          <w:lang w:val="es-ES"/>
        </w:rPr>
        <w:t xml:space="preserve"> y </w:t>
      </w:r>
      <w:r w:rsidRPr="002565D4">
        <w:rPr>
          <w:rFonts w:ascii="Arial" w:hAnsi="Arial" w:cs="Arial"/>
          <w:sz w:val="22"/>
          <w:szCs w:val="22"/>
          <w:lang w:val="es-ES"/>
        </w:rPr>
        <w:t>salud ocupacional</w:t>
      </w:r>
      <w:r>
        <w:rPr>
          <w:rFonts w:ascii="Arial" w:hAnsi="Arial" w:cs="Arial"/>
          <w:sz w:val="22"/>
          <w:szCs w:val="22"/>
          <w:lang w:val="es-ES"/>
        </w:rPr>
        <w:t xml:space="preserve">, riesgo radiológico, </w:t>
      </w:r>
      <w:r w:rsidR="00E27770">
        <w:rPr>
          <w:rFonts w:ascii="Arial" w:hAnsi="Arial" w:cs="Arial"/>
          <w:sz w:val="22"/>
          <w:szCs w:val="22"/>
          <w:lang w:val="es-ES"/>
        </w:rPr>
        <w:t>cáncer pulmonar</w:t>
      </w:r>
    </w:p>
    <w:p w14:paraId="341FABEE" w14:textId="77777777" w:rsidR="002565D4" w:rsidRPr="001D6CA0" w:rsidRDefault="002565D4" w:rsidP="001D6CA0">
      <w:pPr>
        <w:spacing w:line="360" w:lineRule="auto"/>
        <w:jc w:val="both"/>
        <w:rPr>
          <w:rFonts w:ascii="Arial" w:hAnsi="Arial" w:cs="Arial"/>
          <w:sz w:val="22"/>
          <w:szCs w:val="22"/>
          <w:lang w:val="es-ES"/>
        </w:rPr>
      </w:pPr>
    </w:p>
    <w:p w14:paraId="564DC40F"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14:paraId="66DCC5F7"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minería subterránea implica condiciones laborales de alto riesgo, principalmente por la exposición a ambientes confinados con ventilación limitada y la presencia de gases nocivos que pueden comprometer gravemente la salud de los trabajadores. Entre estos gases se encuentran el monóxido de carbono, el dióxido de carbono, los óxidos de nitrógeno, el metano y el dióxido de azufre, los cuales pueden causar efectos agudos como asfixia, intoxicación o explosiones. En este contexto, el gas radón representa un agente menos perceptible, ya que es inodoro e incoloro, pero igualmente peligroso debido a su carácter radiactivo y a sus efectos crónicos sobre el sistema respiratorio.</w:t>
      </w:r>
    </w:p>
    <w:p w14:paraId="3EA38439" w14:textId="77777777" w:rsidR="00A64CF5" w:rsidRPr="00A64CF5" w:rsidRDefault="00A64CF5" w:rsidP="00A64CF5">
      <w:pPr>
        <w:spacing w:line="360" w:lineRule="auto"/>
        <w:jc w:val="both"/>
        <w:rPr>
          <w:rFonts w:ascii="Arial" w:hAnsi="Arial" w:cs="Arial"/>
          <w:sz w:val="22"/>
          <w:szCs w:val="22"/>
          <w:lang w:val="es-ES"/>
        </w:rPr>
      </w:pPr>
    </w:p>
    <w:p w14:paraId="22146356"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Este estudio se enmarca en el ámbito de la salud ocupacional y la seguridad minera, centrándose en la exposición al gas radón en actividades subterráneas. El radón constituye una de las principales fuentes de radiación ionizante natural a las que puede estar expuesto un trabajador, y ha sido identificado como la segunda causa de cáncer pulmonar después del tabaquismo. Por </w:t>
      </w:r>
      <w:r w:rsidRPr="00A64CF5">
        <w:rPr>
          <w:rFonts w:ascii="Arial" w:hAnsi="Arial" w:cs="Arial"/>
          <w:sz w:val="22"/>
          <w:szCs w:val="22"/>
          <w:lang w:val="es-ES"/>
        </w:rPr>
        <w:lastRenderedPageBreak/>
        <w:t>su impacto potencial en la salud, se le considera un agente prioritario en la evaluación de riesgos laborales, recomendándose su monitoreo periódico para asegurar que las concentraciones se mantengan por debajo de los límites establecidos por la normativa vigente. En el caso del Perú, el nivel de intervención frente a una exposición prolongada al radón en ambientes laborales corresponde a una concentración media anual de 1000 Bq/m³ de Rn-222 en el aire.</w:t>
      </w:r>
    </w:p>
    <w:p w14:paraId="0333B1EA" w14:textId="77777777" w:rsidR="00A64CF5" w:rsidRPr="00A64CF5" w:rsidRDefault="00A64CF5" w:rsidP="00A64CF5">
      <w:pPr>
        <w:spacing w:line="360" w:lineRule="auto"/>
        <w:jc w:val="both"/>
        <w:rPr>
          <w:rFonts w:ascii="Arial" w:hAnsi="Arial" w:cs="Arial"/>
          <w:sz w:val="22"/>
          <w:szCs w:val="22"/>
          <w:lang w:val="es-ES"/>
        </w:rPr>
      </w:pPr>
    </w:p>
    <w:p w14:paraId="713CFF0C"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El objetivo principal de este trabajo es presentar los niveles de exposición al gas radón que pueden registrarse en labores mineras subterráneas, analizar sus efectos sobre la salud de los trabajadores y destacar la importancia de implementar sistemas de monitoreo ambiental, ya sean continuos o periódicos, para su control. Como objetivos específicos se plantean: i) describir los factores que favorecen la acumulación de radón en entornos mineros; </w:t>
      </w:r>
      <w:proofErr w:type="spellStart"/>
      <w:r w:rsidRPr="00A64CF5">
        <w:rPr>
          <w:rFonts w:ascii="Arial" w:hAnsi="Arial" w:cs="Arial"/>
          <w:sz w:val="22"/>
          <w:szCs w:val="22"/>
          <w:lang w:val="es-ES"/>
        </w:rPr>
        <w:t>ii</w:t>
      </w:r>
      <w:proofErr w:type="spellEnd"/>
      <w:r w:rsidRPr="00A64CF5">
        <w:rPr>
          <w:rFonts w:ascii="Arial" w:hAnsi="Arial" w:cs="Arial"/>
          <w:sz w:val="22"/>
          <w:szCs w:val="22"/>
          <w:lang w:val="es-ES"/>
        </w:rPr>
        <w:t xml:space="preserve">) analizar los efectos sobre la salud derivados de exposiciones prolongadas; y </w:t>
      </w:r>
      <w:proofErr w:type="spellStart"/>
      <w:r w:rsidRPr="00A64CF5">
        <w:rPr>
          <w:rFonts w:ascii="Arial" w:hAnsi="Arial" w:cs="Arial"/>
          <w:sz w:val="22"/>
          <w:szCs w:val="22"/>
          <w:lang w:val="es-ES"/>
        </w:rPr>
        <w:t>iii</w:t>
      </w:r>
      <w:proofErr w:type="spellEnd"/>
      <w:r w:rsidRPr="00A64CF5">
        <w:rPr>
          <w:rFonts w:ascii="Arial" w:hAnsi="Arial" w:cs="Arial"/>
          <w:sz w:val="22"/>
          <w:szCs w:val="22"/>
          <w:lang w:val="es-ES"/>
        </w:rPr>
        <w:t>) proponer medidas técnicas y organizativas orientadas a la prevención y mitigación del riesgo.</w:t>
      </w:r>
    </w:p>
    <w:p w14:paraId="4C117389" w14:textId="77777777" w:rsidR="00A64CF5" w:rsidRPr="00A64CF5" w:rsidRDefault="00A64CF5" w:rsidP="00A64CF5">
      <w:pPr>
        <w:spacing w:line="360" w:lineRule="auto"/>
        <w:jc w:val="both"/>
        <w:rPr>
          <w:rFonts w:ascii="Arial" w:hAnsi="Arial" w:cs="Arial"/>
          <w:sz w:val="22"/>
          <w:szCs w:val="22"/>
          <w:lang w:val="es-ES"/>
        </w:rPr>
      </w:pPr>
    </w:p>
    <w:p w14:paraId="548A2935"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metodología se basa en la recopilación y análisis de literatura técnica y científica sobre mediciones de radón en operaciones subterráneas, estudios epidemiológicos y normativas vigentes en materia de exposición ocupacional. Se consideran diferentes tecnologías de detección y monitoreo, tanto pasivas como activas, así como sistemas integrados que permiten el seguimiento en tiempo real de las concentraciones de radón en el aire respirable. Asimismo, se analizan medidas complementarias como la ventilación forzada, el sellado de fracturas geológicas y la capacitación del personal en riesgos radiológicos.</w:t>
      </w:r>
    </w:p>
    <w:p w14:paraId="535BB94F" w14:textId="77777777" w:rsidR="00A64CF5" w:rsidRPr="00A64CF5" w:rsidRDefault="00A64CF5" w:rsidP="00A64CF5">
      <w:pPr>
        <w:spacing w:line="360" w:lineRule="auto"/>
        <w:jc w:val="both"/>
        <w:rPr>
          <w:rFonts w:ascii="Arial" w:hAnsi="Arial" w:cs="Arial"/>
          <w:sz w:val="22"/>
          <w:szCs w:val="22"/>
          <w:lang w:val="es-ES"/>
        </w:rPr>
      </w:pPr>
    </w:p>
    <w:p w14:paraId="56F01117" w14:textId="00E0EA7D" w:rsidR="00AA3D9A" w:rsidRPr="001D6CA0"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Aunque el enfoque adoptado es preventivo y orientado a la gestión del riesgo, este estudio evidencia la necesidad de incorporar el monitoreo del radón como parte del sistema integral de seguridad en minería subterránea. La implementación de estrategias de vigilancia ambiental no solo protege la salud de los trabajadores, sino que también optimiza el rendimiento operativo y refuerza el cumplimiento de estándares internacionales. Incluir al radón en los protocolos rutinarios de monitoreo representa un paso esencial hacia una minería más segura, sostenible y responsable.</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15458"/>
    <w:rsid w:val="00191392"/>
    <w:rsid w:val="001D6CA0"/>
    <w:rsid w:val="002565D4"/>
    <w:rsid w:val="002652EF"/>
    <w:rsid w:val="002719B2"/>
    <w:rsid w:val="00277313"/>
    <w:rsid w:val="00323274"/>
    <w:rsid w:val="004A02F5"/>
    <w:rsid w:val="004A5940"/>
    <w:rsid w:val="00502F27"/>
    <w:rsid w:val="00733D73"/>
    <w:rsid w:val="00765B6D"/>
    <w:rsid w:val="008124A9"/>
    <w:rsid w:val="008156DD"/>
    <w:rsid w:val="00853E16"/>
    <w:rsid w:val="00A64CF5"/>
    <w:rsid w:val="00A907E6"/>
    <w:rsid w:val="00AA3D9A"/>
    <w:rsid w:val="00B916D7"/>
    <w:rsid w:val="00D33FC2"/>
    <w:rsid w:val="00E277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961D"/>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5875">
      <w:bodyDiv w:val="1"/>
      <w:marLeft w:val="0"/>
      <w:marRight w:val="0"/>
      <w:marTop w:val="0"/>
      <w:marBottom w:val="0"/>
      <w:divBdr>
        <w:top w:val="none" w:sz="0" w:space="0" w:color="auto"/>
        <w:left w:val="none" w:sz="0" w:space="0" w:color="auto"/>
        <w:bottom w:val="none" w:sz="0" w:space="0" w:color="auto"/>
        <w:right w:val="none" w:sz="0" w:space="0" w:color="auto"/>
      </w:divBdr>
      <w:divsChild>
        <w:div w:id="1905946679">
          <w:marLeft w:val="0"/>
          <w:marRight w:val="0"/>
          <w:marTop w:val="0"/>
          <w:marBottom w:val="0"/>
          <w:divBdr>
            <w:top w:val="none" w:sz="0" w:space="0" w:color="auto"/>
            <w:left w:val="none" w:sz="0" w:space="0" w:color="auto"/>
            <w:bottom w:val="none" w:sz="0" w:space="0" w:color="auto"/>
            <w:right w:val="none" w:sz="0" w:space="0" w:color="auto"/>
          </w:divBdr>
          <w:divsChild>
            <w:div w:id="558443579">
              <w:marLeft w:val="0"/>
              <w:marRight w:val="0"/>
              <w:marTop w:val="0"/>
              <w:marBottom w:val="0"/>
              <w:divBdr>
                <w:top w:val="none" w:sz="0" w:space="0" w:color="auto"/>
                <w:left w:val="none" w:sz="0" w:space="0" w:color="auto"/>
                <w:bottom w:val="none" w:sz="0" w:space="0" w:color="auto"/>
                <w:right w:val="none" w:sz="0" w:space="0" w:color="auto"/>
              </w:divBdr>
              <w:divsChild>
                <w:div w:id="15888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3051">
      <w:bodyDiv w:val="1"/>
      <w:marLeft w:val="0"/>
      <w:marRight w:val="0"/>
      <w:marTop w:val="0"/>
      <w:marBottom w:val="0"/>
      <w:divBdr>
        <w:top w:val="none" w:sz="0" w:space="0" w:color="auto"/>
        <w:left w:val="none" w:sz="0" w:space="0" w:color="auto"/>
        <w:bottom w:val="none" w:sz="0" w:space="0" w:color="auto"/>
        <w:right w:val="none" w:sz="0" w:space="0" w:color="auto"/>
      </w:divBdr>
      <w:divsChild>
        <w:div w:id="2064602038">
          <w:marLeft w:val="0"/>
          <w:marRight w:val="0"/>
          <w:marTop w:val="0"/>
          <w:marBottom w:val="0"/>
          <w:divBdr>
            <w:top w:val="none" w:sz="0" w:space="0" w:color="auto"/>
            <w:left w:val="none" w:sz="0" w:space="0" w:color="auto"/>
            <w:bottom w:val="none" w:sz="0" w:space="0" w:color="auto"/>
            <w:right w:val="none" w:sz="0" w:space="0" w:color="auto"/>
          </w:divBdr>
          <w:divsChild>
            <w:div w:id="2145998310">
              <w:marLeft w:val="0"/>
              <w:marRight w:val="0"/>
              <w:marTop w:val="0"/>
              <w:marBottom w:val="0"/>
              <w:divBdr>
                <w:top w:val="none" w:sz="0" w:space="0" w:color="auto"/>
                <w:left w:val="none" w:sz="0" w:space="0" w:color="auto"/>
                <w:bottom w:val="none" w:sz="0" w:space="0" w:color="auto"/>
                <w:right w:val="none" w:sz="0" w:space="0" w:color="auto"/>
              </w:divBdr>
              <w:divsChild>
                <w:div w:id="13063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1073">
      <w:bodyDiv w:val="1"/>
      <w:marLeft w:val="0"/>
      <w:marRight w:val="0"/>
      <w:marTop w:val="0"/>
      <w:marBottom w:val="0"/>
      <w:divBdr>
        <w:top w:val="none" w:sz="0" w:space="0" w:color="auto"/>
        <w:left w:val="none" w:sz="0" w:space="0" w:color="auto"/>
        <w:bottom w:val="none" w:sz="0" w:space="0" w:color="auto"/>
        <w:right w:val="none" w:sz="0" w:space="0" w:color="auto"/>
      </w:divBdr>
      <w:divsChild>
        <w:div w:id="1153260683">
          <w:marLeft w:val="0"/>
          <w:marRight w:val="0"/>
          <w:marTop w:val="0"/>
          <w:marBottom w:val="0"/>
          <w:divBdr>
            <w:top w:val="none" w:sz="0" w:space="0" w:color="auto"/>
            <w:left w:val="none" w:sz="0" w:space="0" w:color="auto"/>
            <w:bottom w:val="none" w:sz="0" w:space="0" w:color="auto"/>
            <w:right w:val="none" w:sz="0" w:space="0" w:color="auto"/>
          </w:divBdr>
          <w:divsChild>
            <w:div w:id="1124887007">
              <w:marLeft w:val="0"/>
              <w:marRight w:val="0"/>
              <w:marTop w:val="0"/>
              <w:marBottom w:val="0"/>
              <w:divBdr>
                <w:top w:val="none" w:sz="0" w:space="0" w:color="auto"/>
                <w:left w:val="none" w:sz="0" w:space="0" w:color="auto"/>
                <w:bottom w:val="none" w:sz="0" w:space="0" w:color="auto"/>
                <w:right w:val="none" w:sz="0" w:space="0" w:color="auto"/>
              </w:divBdr>
              <w:divsChild>
                <w:div w:id="2650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bertin.perez@anphysra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nphysrad.com" TargetMode="External"/><Relationship Id="rId11" Type="http://schemas.openxmlformats.org/officeDocument/2006/relationships/theme" Target="theme/theme1.xml"/><Relationship Id="rId5" Type="http://schemas.openxmlformats.org/officeDocument/2006/relationships/hyperlink" Target="mailto:cesarj.guevara@pucp.edu.pe.m" TargetMode="External"/><Relationship Id="rId10" Type="http://schemas.openxmlformats.org/officeDocument/2006/relationships/fontTable" Target="fontTable.xml"/><Relationship Id="rId4" Type="http://schemas.openxmlformats.org/officeDocument/2006/relationships/hyperlink" Target="mailto:cesar.guevara@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960</Words>
  <Characters>5476</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4</cp:revision>
  <dcterms:created xsi:type="dcterms:W3CDTF">2025-05-12T01:54:00Z</dcterms:created>
  <dcterms:modified xsi:type="dcterms:W3CDTF">2025-05-12T04:29:00Z</dcterms:modified>
</cp:coreProperties>
</file>