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A2E" w:rsidRPr="002C1A2E" w:rsidRDefault="002C1A2E" w:rsidP="002C1A2E">
      <w:pPr>
        <w:spacing w:line="360" w:lineRule="auto"/>
        <w:rPr>
          <w:rFonts w:ascii="Arial" w:hAnsi="Arial" w:cs="Arial"/>
        </w:rPr>
      </w:pPr>
      <w:r w:rsidRPr="002C1A2E">
        <w:rPr>
          <w:rFonts w:ascii="Arial" w:hAnsi="Arial" w:cs="Arial"/>
        </w:rPr>
        <w:t>Título del trabajo:</w:t>
      </w:r>
    </w:p>
    <w:p w:rsidR="002C1A2E" w:rsidRPr="002C1A2E" w:rsidRDefault="002C1A2E" w:rsidP="002C1A2E">
      <w:pPr>
        <w:spacing w:line="360" w:lineRule="auto"/>
        <w:rPr>
          <w:rFonts w:ascii="Arial" w:hAnsi="Arial" w:cs="Arial"/>
        </w:rPr>
      </w:pPr>
      <w:r>
        <w:rPr>
          <w:rFonts w:ascii="Arial" w:hAnsi="Arial" w:cs="Arial"/>
        </w:rPr>
        <w:t>De la Obligación al Compromiso: Revolucionando las Capacitaciones Mineras con Gamificación.</w:t>
      </w:r>
    </w:p>
    <w:p w:rsidR="002C1A2E" w:rsidRPr="002C1A2E" w:rsidRDefault="002C1A2E" w:rsidP="002C1A2E">
      <w:pPr>
        <w:spacing w:line="360" w:lineRule="auto"/>
        <w:rPr>
          <w:rFonts w:ascii="Arial" w:hAnsi="Arial" w:cs="Arial"/>
        </w:rPr>
      </w:pPr>
    </w:p>
    <w:p w:rsidR="002C1A2E" w:rsidRPr="002C1A2E" w:rsidRDefault="002C1A2E" w:rsidP="002C1A2E">
      <w:pPr>
        <w:spacing w:line="360" w:lineRule="auto"/>
        <w:rPr>
          <w:rFonts w:ascii="Arial" w:hAnsi="Arial" w:cs="Arial"/>
        </w:rPr>
      </w:pPr>
      <w:r w:rsidRPr="002C1A2E">
        <w:rPr>
          <w:rFonts w:ascii="Arial" w:hAnsi="Arial" w:cs="Arial"/>
        </w:rPr>
        <w:t>Categoría:</w:t>
      </w:r>
    </w:p>
    <w:p w:rsidR="002C1A2E" w:rsidRPr="002C1A2E" w:rsidRDefault="002C1A2E" w:rsidP="002C1A2E">
      <w:pPr>
        <w:spacing w:line="360" w:lineRule="auto"/>
        <w:rPr>
          <w:rFonts w:ascii="Arial" w:hAnsi="Arial" w:cs="Arial"/>
        </w:rPr>
      </w:pPr>
      <w:r w:rsidRPr="002C1A2E">
        <w:rPr>
          <w:rFonts w:ascii="Arial" w:hAnsi="Arial" w:cs="Arial"/>
        </w:rPr>
        <w:t>Minería 4.0</w:t>
      </w:r>
    </w:p>
    <w:p w:rsidR="002C1A2E" w:rsidRPr="002C1A2E" w:rsidRDefault="002C1A2E" w:rsidP="002C1A2E">
      <w:pPr>
        <w:spacing w:line="360" w:lineRule="auto"/>
        <w:rPr>
          <w:rFonts w:ascii="Arial" w:hAnsi="Arial" w:cs="Arial"/>
        </w:rPr>
      </w:pPr>
    </w:p>
    <w:p w:rsidR="002C1A2E" w:rsidRPr="002C1A2E" w:rsidRDefault="002C1A2E" w:rsidP="002C1A2E">
      <w:pPr>
        <w:spacing w:line="360" w:lineRule="auto"/>
        <w:rPr>
          <w:rFonts w:ascii="Arial" w:hAnsi="Arial" w:cs="Arial"/>
        </w:rPr>
      </w:pPr>
      <w:r w:rsidRPr="002C1A2E">
        <w:rPr>
          <w:rFonts w:ascii="Arial" w:hAnsi="Arial" w:cs="Arial"/>
        </w:rPr>
        <w:t>Tema:</w:t>
      </w:r>
    </w:p>
    <w:p w:rsidR="002C1A2E" w:rsidRDefault="002C1A2E" w:rsidP="002C1A2E">
      <w:pPr>
        <w:pBdr>
          <w:bottom w:val="single" w:sz="12" w:space="1" w:color="auto"/>
        </w:pBdr>
        <w:spacing w:line="360" w:lineRule="auto"/>
        <w:rPr>
          <w:rFonts w:ascii="Arial" w:hAnsi="Arial" w:cs="Arial"/>
        </w:rPr>
      </w:pPr>
      <w:r w:rsidRPr="002C1A2E">
        <w:rPr>
          <w:rFonts w:ascii="Arial" w:hAnsi="Arial" w:cs="Arial"/>
        </w:rPr>
        <w:t>Tecnología e innovaciones en seguridad</w:t>
      </w:r>
    </w:p>
    <w:p w:rsidR="002C1A2E" w:rsidRDefault="002C1A2E" w:rsidP="002C1A2E">
      <w:pPr>
        <w:spacing w:line="360" w:lineRule="auto"/>
        <w:rPr>
          <w:rFonts w:ascii="Arial" w:hAnsi="Arial" w:cs="Arial"/>
        </w:rPr>
      </w:pPr>
    </w:p>
    <w:p w:rsidR="002C1A2E" w:rsidRPr="00275A47" w:rsidRDefault="002C1A2E" w:rsidP="002C1A2E">
      <w:pPr>
        <w:spacing w:line="360" w:lineRule="auto"/>
        <w:rPr>
          <w:rFonts w:ascii="Arial" w:hAnsi="Arial" w:cs="Arial"/>
          <w:b/>
        </w:rPr>
      </w:pPr>
      <w:r w:rsidRPr="00275A47">
        <w:rPr>
          <w:rFonts w:ascii="Arial" w:hAnsi="Arial" w:cs="Arial"/>
          <w:b/>
        </w:rPr>
        <w:t>Resumen técnico:</w:t>
      </w:r>
    </w:p>
    <w:p w:rsidR="004B12A2" w:rsidRPr="004B12A2" w:rsidRDefault="004B12A2" w:rsidP="004B12A2">
      <w:pPr>
        <w:spacing w:line="360" w:lineRule="auto"/>
        <w:rPr>
          <w:rFonts w:ascii="Arial" w:hAnsi="Arial" w:cs="Arial"/>
        </w:rPr>
      </w:pPr>
      <w:r w:rsidRPr="004B12A2">
        <w:rPr>
          <w:rFonts w:ascii="Arial" w:hAnsi="Arial" w:cs="Arial"/>
        </w:rPr>
        <w:t xml:space="preserve">La minería peruana es una de las industrias más relevantes para la economía del país, pero también una de las más peligrosas. Cada día, miles de trabajadores se enfrentan a un entorno lleno de riesgos que ponen en peligro su vida y salud. A pesar de los esfuerzos por mejorar las condiciones laborales y los protocolos de seguridad, las cifras de accidentes y fatalidades siguen siendo preocupantes, lo que revela una falencia en los métodos tradicionales de capacitación. En 2024, el Ministerio de Energía y Minas (MINEM) reportó un total de </w:t>
      </w:r>
      <w:r>
        <w:rPr>
          <w:rFonts w:ascii="Arial" w:hAnsi="Arial" w:cs="Arial"/>
        </w:rPr>
        <w:t>22</w:t>
      </w:r>
      <w:r w:rsidRPr="004B12A2">
        <w:rPr>
          <w:rFonts w:ascii="Arial" w:hAnsi="Arial" w:cs="Arial"/>
        </w:rPr>
        <w:t xml:space="preserve"> víctimas mortales </w:t>
      </w:r>
      <w:r>
        <w:rPr>
          <w:rFonts w:ascii="Arial" w:hAnsi="Arial" w:cs="Arial"/>
        </w:rPr>
        <w:t xml:space="preserve">en </w:t>
      </w:r>
      <w:r w:rsidR="00275A47">
        <w:rPr>
          <w:rFonts w:ascii="Arial" w:hAnsi="Arial" w:cs="Arial"/>
        </w:rPr>
        <w:t xml:space="preserve">las estadísticas de accidentes mortales </w:t>
      </w:r>
      <w:r w:rsidR="00275A47" w:rsidRPr="004B12A2">
        <w:rPr>
          <w:rFonts w:ascii="Arial" w:hAnsi="Arial" w:cs="Arial"/>
        </w:rPr>
        <w:t xml:space="preserve">en el sector </w:t>
      </w:r>
      <w:r w:rsidR="00275A47" w:rsidRPr="004B12A2">
        <w:rPr>
          <w:rFonts w:ascii="Arial" w:hAnsi="Arial" w:cs="Arial"/>
        </w:rPr>
        <w:t>minero</w:t>
      </w:r>
      <w:r w:rsidR="00275A47">
        <w:rPr>
          <w:rFonts w:ascii="Arial" w:hAnsi="Arial" w:cs="Arial"/>
        </w:rPr>
        <w:t xml:space="preserve">. </w:t>
      </w:r>
      <w:r w:rsidR="00275A47" w:rsidRPr="004B12A2">
        <w:rPr>
          <w:rFonts w:ascii="Arial" w:hAnsi="Arial" w:cs="Arial"/>
        </w:rPr>
        <w:t>Esta</w:t>
      </w:r>
      <w:bookmarkStart w:id="0" w:name="_GoBack"/>
      <w:bookmarkEnd w:id="0"/>
      <w:r w:rsidRPr="004B12A2">
        <w:rPr>
          <w:rFonts w:ascii="Arial" w:hAnsi="Arial" w:cs="Arial"/>
        </w:rPr>
        <w:t xml:space="preserve"> cifra, resalta la necesidad de seguir innovando en las estrategias de formación y prevención en el sector.</w:t>
      </w:r>
    </w:p>
    <w:p w:rsidR="004B12A2" w:rsidRPr="004B12A2" w:rsidRDefault="004B12A2" w:rsidP="004B12A2">
      <w:pPr>
        <w:spacing w:line="360" w:lineRule="auto"/>
        <w:rPr>
          <w:rFonts w:ascii="Arial" w:hAnsi="Arial" w:cs="Arial"/>
        </w:rPr>
      </w:pPr>
    </w:p>
    <w:p w:rsidR="004B12A2" w:rsidRPr="004B12A2" w:rsidRDefault="004B12A2" w:rsidP="004B12A2">
      <w:pPr>
        <w:spacing w:line="360" w:lineRule="auto"/>
        <w:rPr>
          <w:rFonts w:ascii="Arial" w:hAnsi="Arial" w:cs="Arial"/>
        </w:rPr>
      </w:pPr>
      <w:r w:rsidRPr="004B12A2">
        <w:rPr>
          <w:rFonts w:ascii="Arial" w:hAnsi="Arial" w:cs="Arial"/>
        </w:rPr>
        <w:t xml:space="preserve">Las capacitaciones de seguridad obligatorias, si bien esenciales, a menudo caen en la rutina y la pasividad, haciendo que los trabajadores se desconecten y no retengan información crítica que podría salvar sus vidas. Es aquí donde entra en juego una solución innovadora que está cambiando la forma en que enseñamos y aprendemos: la gamificación. Esta estrategia, que incorpora elementos de juego en contextos no lúdicos, se ha utilizado con éxito en diversos campos para mejorar la motivación, la interacción y el aprendizaje. Pero, ¿qué pasaría si lleváramos esta misma herramienta a un ámbito tan crítico como la minería? Imagina un entorno de capacitación en el que los trabajadores no solo “aprenden” sobre seguridad, sino que vivencian situaciones de riesgo de manera interactiva, se enfrentan a desafíos y toman decisiones que impactan directamente en su bienestar y el de sus compañeros. Un entorno donde la </w:t>
      </w:r>
      <w:r w:rsidRPr="004B12A2">
        <w:rPr>
          <w:rFonts w:ascii="Arial" w:hAnsi="Arial" w:cs="Arial"/>
        </w:rPr>
        <w:lastRenderedPageBreak/>
        <w:t>motivación no depende únicamente de una sanción o norma, sino de un juego que activa su sentido de responsabilidad y pertenencia.</w:t>
      </w:r>
    </w:p>
    <w:p w:rsidR="004B12A2" w:rsidRPr="004B12A2" w:rsidRDefault="004B12A2" w:rsidP="004B12A2">
      <w:pPr>
        <w:spacing w:line="360" w:lineRule="auto"/>
        <w:rPr>
          <w:rFonts w:ascii="Arial" w:hAnsi="Arial" w:cs="Arial"/>
        </w:rPr>
      </w:pPr>
    </w:p>
    <w:p w:rsidR="004B12A2" w:rsidRPr="004B12A2" w:rsidRDefault="004B12A2" w:rsidP="004B12A2">
      <w:pPr>
        <w:spacing w:line="360" w:lineRule="auto"/>
        <w:rPr>
          <w:rFonts w:ascii="Arial" w:hAnsi="Arial" w:cs="Arial"/>
        </w:rPr>
      </w:pPr>
      <w:r w:rsidRPr="004B12A2">
        <w:rPr>
          <w:rFonts w:ascii="Arial" w:hAnsi="Arial" w:cs="Arial"/>
        </w:rPr>
        <w:t>Este trabajo tiene como objetivo explorar cómo la gamificación puede transformar las capacitaciones obligatorias de seguridad en la minería peruana, no solo como una herramienta de enseñanza, sino como un motor de cambio cultural en el sector. A través de una revisión de literatura, se analizarán las diversas aplicaciones de la gamificación en sectores laborales de alto riesgo, se identificarán sus beneficios, y se explorarán los retos que representa su implementación en un entorno tan específico como la minería. Pero más allá de los datos y estudios, esta propuesta busca dar un paso hacia un futuro en el que los trabajadores se conviertan en protagonistas de su propia seguridad, enfrentando escenarios de riesgo de forma interactiva, con una capacitación que no sea un simple requisito, sino una verdadera experiencia que los motive a ser más conscientes y comprometidos con su entorno laboral.</w:t>
      </w:r>
    </w:p>
    <w:p w:rsidR="004B12A2" w:rsidRPr="004B12A2" w:rsidRDefault="004B12A2" w:rsidP="004B12A2">
      <w:pPr>
        <w:spacing w:line="360" w:lineRule="auto"/>
        <w:rPr>
          <w:rFonts w:ascii="Arial" w:hAnsi="Arial" w:cs="Arial"/>
        </w:rPr>
      </w:pPr>
    </w:p>
    <w:p w:rsidR="0079598A" w:rsidRPr="002C1A2E" w:rsidRDefault="004B12A2" w:rsidP="004B12A2">
      <w:pPr>
        <w:spacing w:line="360" w:lineRule="auto"/>
        <w:rPr>
          <w:rFonts w:ascii="Arial" w:hAnsi="Arial" w:cs="Arial"/>
        </w:rPr>
      </w:pPr>
      <w:r w:rsidRPr="004B12A2">
        <w:rPr>
          <w:rFonts w:ascii="Arial" w:hAnsi="Arial" w:cs="Arial"/>
        </w:rPr>
        <w:t>La gamificación, al integrar aprendizaje con elementos de interacción, recompensa y competencia, tiene el poder de cambiar la narrativa sobre la seguridad en minería, convirtiéndola en algo más atractivo, memorable y, sobre todo, efectivo. Este enfoque busca no solo mejorar el rendimiento en la capacitación, sino también fomentar una cultura de seguridad sólida y sostenible dentro del sector minero, en donde la prevención de accidentes se convierta en un compromiso personal y colectivo.</w:t>
      </w:r>
    </w:p>
    <w:sectPr w:rsidR="0079598A" w:rsidRPr="002C1A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2E"/>
    <w:rsid w:val="00014243"/>
    <w:rsid w:val="00275A47"/>
    <w:rsid w:val="002C1A2E"/>
    <w:rsid w:val="004B12A2"/>
    <w:rsid w:val="0079598A"/>
    <w:rsid w:val="00900F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CAAD"/>
  <w15:chartTrackingRefBased/>
  <w15:docId w15:val="{D0991BF3-62DC-4EF4-A46B-C36164DC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4438915">
      <w:bodyDiv w:val="1"/>
      <w:marLeft w:val="0"/>
      <w:marRight w:val="0"/>
      <w:marTop w:val="0"/>
      <w:marBottom w:val="0"/>
      <w:divBdr>
        <w:top w:val="none" w:sz="0" w:space="0" w:color="auto"/>
        <w:left w:val="none" w:sz="0" w:space="0" w:color="auto"/>
        <w:bottom w:val="none" w:sz="0" w:space="0" w:color="auto"/>
        <w:right w:val="none" w:sz="0" w:space="0" w:color="auto"/>
      </w:divBdr>
    </w:div>
    <w:div w:id="179832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Tecsup</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Hugo Humpiri Montoya</dc:creator>
  <cp:keywords/>
  <dc:description/>
  <cp:lastModifiedBy>Fernando Hugo Humpiri Montoya</cp:lastModifiedBy>
  <cp:revision>2</cp:revision>
  <dcterms:created xsi:type="dcterms:W3CDTF">2025-05-13T04:10:00Z</dcterms:created>
  <dcterms:modified xsi:type="dcterms:W3CDTF">2025-05-13T04:52:00Z</dcterms:modified>
</cp:coreProperties>
</file>