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ADCE6" w14:textId="77777777" w:rsidR="00493793" w:rsidRPr="00070851" w:rsidRDefault="00493793" w:rsidP="00493793">
      <w:pPr>
        <w:jc w:val="center"/>
        <w:rPr>
          <w:rFonts w:ascii="Arial" w:hAnsi="Arial" w:cs="Arial"/>
          <w:b/>
          <w:bCs/>
          <w:sz w:val="22"/>
          <w:szCs w:val="22"/>
        </w:rPr>
      </w:pPr>
    </w:p>
    <w:p w14:paraId="420936F3" w14:textId="10DC4DFA" w:rsidR="00493793" w:rsidRPr="00070851" w:rsidRDefault="00617CE8" w:rsidP="00617CE8">
      <w:pPr>
        <w:ind w:left="708" w:firstLine="708"/>
        <w:rPr>
          <w:rFonts w:ascii="Arial" w:hAnsi="Arial" w:cs="Arial"/>
          <w:b/>
          <w:bCs/>
          <w:sz w:val="22"/>
          <w:szCs w:val="22"/>
        </w:rPr>
      </w:pPr>
      <w:r>
        <w:rPr>
          <w:rFonts w:ascii="Arial" w:hAnsi="Arial" w:cs="Arial"/>
          <w:b/>
          <w:bCs/>
          <w:sz w:val="22"/>
          <w:szCs w:val="22"/>
        </w:rPr>
        <w:t xml:space="preserve">                 </w:t>
      </w:r>
      <w:r w:rsidR="00493793" w:rsidRPr="00070851">
        <w:rPr>
          <w:rFonts w:ascii="Arial" w:hAnsi="Arial" w:cs="Arial"/>
          <w:b/>
          <w:bCs/>
          <w:sz w:val="22"/>
          <w:szCs w:val="22"/>
        </w:rPr>
        <w:t>PERUMIN 37 Convención Minera</w:t>
      </w:r>
    </w:p>
    <w:p w14:paraId="768DE87B" w14:textId="77777777" w:rsidR="00493793" w:rsidRPr="00070851" w:rsidRDefault="00493793" w:rsidP="00493793">
      <w:pPr>
        <w:jc w:val="center"/>
        <w:rPr>
          <w:rFonts w:ascii="Arial" w:hAnsi="Arial" w:cs="Arial"/>
          <w:b/>
          <w:bCs/>
          <w:sz w:val="22"/>
          <w:szCs w:val="22"/>
        </w:rPr>
      </w:pPr>
      <w:r w:rsidRPr="00070851">
        <w:rPr>
          <w:rFonts w:ascii="Arial" w:hAnsi="Arial" w:cs="Arial"/>
          <w:b/>
          <w:bCs/>
          <w:sz w:val="22"/>
          <w:szCs w:val="22"/>
        </w:rPr>
        <w:t>FORO DE TECNOLOGÍA, INNOVACIÓN Y SOSTENIBILIDAD</w:t>
      </w:r>
    </w:p>
    <w:p w14:paraId="3D1CBF94" w14:textId="77777777" w:rsidR="00493793" w:rsidRPr="00070851" w:rsidRDefault="00493793" w:rsidP="00493793">
      <w:pPr>
        <w:jc w:val="center"/>
        <w:rPr>
          <w:rFonts w:ascii="Arial" w:hAnsi="Arial" w:cs="Arial"/>
          <w:b/>
          <w:bCs/>
          <w:sz w:val="22"/>
          <w:szCs w:val="22"/>
        </w:rPr>
      </w:pPr>
      <w:r w:rsidRPr="00070851">
        <w:rPr>
          <w:rFonts w:ascii="Arial" w:hAnsi="Arial" w:cs="Arial"/>
          <w:b/>
          <w:bCs/>
          <w:sz w:val="22"/>
          <w:szCs w:val="22"/>
        </w:rPr>
        <w:t>CONVOCATORIA DE TRABAJOS TÉCNICOS</w:t>
      </w:r>
    </w:p>
    <w:p w14:paraId="12EE6536" w14:textId="77777777" w:rsidR="00493793" w:rsidRPr="00070851" w:rsidRDefault="00493793" w:rsidP="00493793">
      <w:pPr>
        <w:jc w:val="center"/>
        <w:rPr>
          <w:rFonts w:ascii="Arial" w:hAnsi="Arial" w:cs="Arial"/>
          <w:b/>
          <w:bCs/>
          <w:sz w:val="22"/>
          <w:szCs w:val="22"/>
        </w:rPr>
      </w:pPr>
      <w:r w:rsidRPr="00070851">
        <w:rPr>
          <w:rFonts w:ascii="Arial" w:hAnsi="Arial" w:cs="Arial"/>
          <w:b/>
          <w:bCs/>
          <w:sz w:val="22"/>
          <w:szCs w:val="22"/>
        </w:rPr>
        <w:t>PREMIO NACIONAL DE MINERÍA</w:t>
      </w:r>
    </w:p>
    <w:p w14:paraId="5EAD974A" w14:textId="377D9F84" w:rsidR="00493793" w:rsidRDefault="00493793" w:rsidP="00493793">
      <w:pPr>
        <w:rPr>
          <w:rFonts w:ascii="Arial" w:hAnsi="Arial" w:cs="Arial"/>
          <w:sz w:val="22"/>
          <w:szCs w:val="22"/>
        </w:rPr>
      </w:pPr>
      <w:r w:rsidRPr="00070851">
        <w:rPr>
          <w:rFonts w:ascii="Arial" w:hAnsi="Arial" w:cs="Arial"/>
          <w:b/>
          <w:bCs/>
          <w:sz w:val="22"/>
          <w:szCs w:val="22"/>
        </w:rPr>
        <w:t>Título:</w:t>
      </w:r>
      <w:r w:rsidRPr="00070851">
        <w:rPr>
          <w:rFonts w:ascii="Arial" w:hAnsi="Arial" w:cs="Arial"/>
          <w:sz w:val="22"/>
          <w:szCs w:val="22"/>
        </w:rPr>
        <w:t xml:space="preserve"> </w:t>
      </w:r>
      <w:r w:rsidR="00227BFE" w:rsidRPr="00227BFE">
        <w:rPr>
          <w:rFonts w:ascii="Arial" w:hAnsi="Arial" w:cs="Arial"/>
          <w:sz w:val="22"/>
          <w:szCs w:val="22"/>
        </w:rPr>
        <w:t>Gestión de instalación de almacenamiento de relaves en Volcan Compañía Minera y Aplicación en la Unidad minera de Cerro</w:t>
      </w:r>
    </w:p>
    <w:p w14:paraId="3F524D05" w14:textId="60FF82FF" w:rsidR="00227BFE" w:rsidRPr="00227BFE" w:rsidRDefault="00227BFE" w:rsidP="00493793">
      <w:pPr>
        <w:rPr>
          <w:rFonts w:ascii="Arial" w:hAnsi="Arial" w:cs="Arial"/>
          <w:b/>
          <w:bCs/>
          <w:sz w:val="22"/>
          <w:szCs w:val="22"/>
        </w:rPr>
      </w:pPr>
      <w:r>
        <w:rPr>
          <w:rFonts w:ascii="Arial" w:hAnsi="Arial" w:cs="Arial"/>
          <w:b/>
          <w:bCs/>
          <w:sz w:val="22"/>
          <w:szCs w:val="22"/>
        </w:rPr>
        <w:t xml:space="preserve">Tema: </w:t>
      </w:r>
      <w:r w:rsidRPr="00227BFE">
        <w:rPr>
          <w:rFonts w:ascii="Arial" w:hAnsi="Arial" w:cs="Arial"/>
          <w:sz w:val="22"/>
          <w:szCs w:val="22"/>
        </w:rPr>
        <w:t>Gestión de relaves/Gobernanza/Diseño e ingenierías/PRE y Simulacros/Monitoreos</w:t>
      </w:r>
    </w:p>
    <w:p w14:paraId="6465F2AB" w14:textId="3E15CE38" w:rsidR="00617CE8" w:rsidRPr="00D55E7E" w:rsidRDefault="00493793" w:rsidP="00493793">
      <w:pPr>
        <w:rPr>
          <w:rFonts w:ascii="Arial" w:hAnsi="Arial" w:cs="Arial"/>
          <w:sz w:val="22"/>
          <w:szCs w:val="22"/>
        </w:rPr>
      </w:pPr>
      <w:r w:rsidRPr="00070851">
        <w:rPr>
          <w:rFonts w:ascii="Arial" w:hAnsi="Arial" w:cs="Arial"/>
          <w:b/>
          <w:bCs/>
          <w:sz w:val="22"/>
          <w:szCs w:val="22"/>
        </w:rPr>
        <w:t>Categoría:</w:t>
      </w:r>
      <w:r w:rsidRPr="00070851">
        <w:rPr>
          <w:rFonts w:ascii="Arial" w:hAnsi="Arial" w:cs="Arial"/>
          <w:sz w:val="22"/>
          <w:szCs w:val="22"/>
        </w:rPr>
        <w:t xml:space="preserve"> </w:t>
      </w:r>
      <w:r w:rsidR="00227BFE" w:rsidRPr="00227BFE">
        <w:rPr>
          <w:rFonts w:ascii="Arial" w:hAnsi="Arial" w:cs="Arial"/>
          <w:sz w:val="22"/>
          <w:szCs w:val="22"/>
        </w:rPr>
        <w:t>ESG (</w:t>
      </w:r>
      <w:proofErr w:type="spellStart"/>
      <w:r w:rsidR="00227BFE" w:rsidRPr="00227BFE">
        <w:rPr>
          <w:rFonts w:ascii="Arial" w:hAnsi="Arial" w:cs="Arial"/>
          <w:sz w:val="22"/>
          <w:szCs w:val="22"/>
        </w:rPr>
        <w:t>Environmental</w:t>
      </w:r>
      <w:proofErr w:type="spellEnd"/>
      <w:r w:rsidR="00227BFE" w:rsidRPr="00227BFE">
        <w:rPr>
          <w:rFonts w:ascii="Arial" w:hAnsi="Arial" w:cs="Arial"/>
          <w:sz w:val="22"/>
          <w:szCs w:val="22"/>
        </w:rPr>
        <w:t xml:space="preserve">, Social and </w:t>
      </w:r>
      <w:proofErr w:type="spellStart"/>
      <w:r w:rsidR="00227BFE" w:rsidRPr="00227BFE">
        <w:rPr>
          <w:rFonts w:ascii="Arial" w:hAnsi="Arial" w:cs="Arial"/>
          <w:sz w:val="22"/>
          <w:szCs w:val="22"/>
        </w:rPr>
        <w:t>Governance</w:t>
      </w:r>
      <w:proofErr w:type="spellEnd"/>
      <w:r w:rsidR="00227BFE" w:rsidRPr="00227BFE">
        <w:rPr>
          <w:rFonts w:ascii="Arial" w:hAnsi="Arial" w:cs="Arial"/>
          <w:sz w:val="22"/>
          <w:szCs w:val="22"/>
        </w:rPr>
        <w:t>)</w:t>
      </w:r>
    </w:p>
    <w:p w14:paraId="6DF5A93C" w14:textId="643F1DC5" w:rsidR="00493793" w:rsidRPr="00070851" w:rsidRDefault="00493793" w:rsidP="00493793">
      <w:pPr>
        <w:rPr>
          <w:rFonts w:ascii="Arial" w:hAnsi="Arial" w:cs="Arial"/>
          <w:sz w:val="22"/>
          <w:szCs w:val="22"/>
        </w:rPr>
      </w:pPr>
      <w:r w:rsidRPr="00070851">
        <w:rPr>
          <w:rFonts w:ascii="Arial" w:hAnsi="Arial" w:cs="Arial"/>
          <w:b/>
          <w:bCs/>
          <w:sz w:val="22"/>
          <w:szCs w:val="22"/>
        </w:rPr>
        <w:t>Datos del autor y coautores:</w:t>
      </w:r>
      <w:r w:rsidRPr="00070851">
        <w:rPr>
          <w:rFonts w:ascii="Arial" w:hAnsi="Arial" w:cs="Arial"/>
          <w:sz w:val="22"/>
          <w:szCs w:val="22"/>
        </w:rPr>
        <w:t xml:space="preserve"> </w:t>
      </w:r>
    </w:p>
    <w:p w14:paraId="16A49413" w14:textId="77777777" w:rsidR="00227BFE" w:rsidRPr="00227BFE" w:rsidRDefault="00227BFE" w:rsidP="00227BFE">
      <w:pPr>
        <w:spacing w:after="0"/>
        <w:rPr>
          <w:rFonts w:ascii="Arial" w:hAnsi="Arial" w:cs="Arial"/>
          <w:sz w:val="22"/>
          <w:szCs w:val="22"/>
        </w:rPr>
      </w:pPr>
      <w:r w:rsidRPr="00227BFE">
        <w:rPr>
          <w:rFonts w:ascii="Arial" w:hAnsi="Arial" w:cs="Arial"/>
          <w:sz w:val="22"/>
          <w:szCs w:val="22"/>
        </w:rPr>
        <w:t>Autor: Jainor Cabrera Huaman</w:t>
      </w:r>
    </w:p>
    <w:p w14:paraId="42D15254" w14:textId="77777777" w:rsidR="00227BFE" w:rsidRPr="00227BFE" w:rsidRDefault="00227BFE" w:rsidP="00227BFE">
      <w:pPr>
        <w:spacing w:after="0"/>
        <w:rPr>
          <w:rFonts w:ascii="Arial" w:hAnsi="Arial" w:cs="Arial"/>
          <w:sz w:val="22"/>
          <w:szCs w:val="22"/>
        </w:rPr>
      </w:pPr>
      <w:r w:rsidRPr="00227BFE">
        <w:rPr>
          <w:rFonts w:ascii="Arial" w:hAnsi="Arial" w:cs="Arial"/>
          <w:sz w:val="22"/>
          <w:szCs w:val="22"/>
        </w:rPr>
        <w:t>Empresa: Volcan Compañía Minera SAA</w:t>
      </w:r>
    </w:p>
    <w:p w14:paraId="7350278B" w14:textId="77777777" w:rsidR="00227BFE" w:rsidRPr="00227BFE" w:rsidRDefault="00227BFE" w:rsidP="00227BFE">
      <w:pPr>
        <w:spacing w:after="0"/>
        <w:rPr>
          <w:rFonts w:ascii="Arial" w:hAnsi="Arial" w:cs="Arial"/>
          <w:sz w:val="22"/>
          <w:szCs w:val="22"/>
        </w:rPr>
      </w:pPr>
      <w:r w:rsidRPr="00227BFE">
        <w:rPr>
          <w:rFonts w:ascii="Arial" w:hAnsi="Arial" w:cs="Arial"/>
          <w:sz w:val="22"/>
          <w:szCs w:val="22"/>
        </w:rPr>
        <w:t>Cargo: jefe corporativo de Gestión de Relaves</w:t>
      </w:r>
    </w:p>
    <w:p w14:paraId="650A0730" w14:textId="77777777" w:rsidR="00227BFE" w:rsidRPr="00227BFE" w:rsidRDefault="00227BFE" w:rsidP="00227BFE">
      <w:pPr>
        <w:spacing w:after="0"/>
        <w:rPr>
          <w:rFonts w:ascii="Arial" w:hAnsi="Arial" w:cs="Arial"/>
          <w:sz w:val="22"/>
          <w:szCs w:val="22"/>
        </w:rPr>
      </w:pPr>
      <w:r w:rsidRPr="00227BFE">
        <w:rPr>
          <w:rFonts w:ascii="Arial" w:hAnsi="Arial" w:cs="Arial"/>
          <w:sz w:val="22"/>
          <w:szCs w:val="22"/>
        </w:rPr>
        <w:t xml:space="preserve">Dirección: Av. Manual </w:t>
      </w:r>
      <w:proofErr w:type="spellStart"/>
      <w:r w:rsidRPr="00227BFE">
        <w:rPr>
          <w:rFonts w:ascii="Arial" w:hAnsi="Arial" w:cs="Arial"/>
          <w:sz w:val="22"/>
          <w:szCs w:val="22"/>
        </w:rPr>
        <w:t>Olguin</w:t>
      </w:r>
      <w:proofErr w:type="spellEnd"/>
      <w:r w:rsidRPr="00227BFE">
        <w:rPr>
          <w:rFonts w:ascii="Arial" w:hAnsi="Arial" w:cs="Arial"/>
          <w:sz w:val="22"/>
          <w:szCs w:val="22"/>
        </w:rPr>
        <w:t xml:space="preserve"> 373 – Surco</w:t>
      </w:r>
    </w:p>
    <w:p w14:paraId="4CC2BAD7" w14:textId="77777777" w:rsidR="00227BFE" w:rsidRPr="00227BFE" w:rsidRDefault="00227BFE" w:rsidP="00227BFE">
      <w:pPr>
        <w:spacing w:after="0"/>
        <w:rPr>
          <w:rFonts w:ascii="Arial" w:hAnsi="Arial" w:cs="Arial"/>
          <w:sz w:val="22"/>
          <w:szCs w:val="22"/>
        </w:rPr>
      </w:pPr>
      <w:r w:rsidRPr="00227BFE">
        <w:rPr>
          <w:rFonts w:ascii="Arial" w:hAnsi="Arial" w:cs="Arial"/>
          <w:sz w:val="22"/>
          <w:szCs w:val="22"/>
        </w:rPr>
        <w:t>Correo corporativo: jcabrera@volcan.com.pe</w:t>
      </w:r>
    </w:p>
    <w:p w14:paraId="6586B45A" w14:textId="77777777" w:rsidR="00227BFE" w:rsidRPr="00227BFE" w:rsidRDefault="00227BFE" w:rsidP="00227BFE">
      <w:pPr>
        <w:spacing w:after="0"/>
        <w:rPr>
          <w:rFonts w:ascii="Arial" w:hAnsi="Arial" w:cs="Arial"/>
          <w:sz w:val="22"/>
          <w:szCs w:val="22"/>
        </w:rPr>
      </w:pPr>
      <w:r w:rsidRPr="00227BFE">
        <w:rPr>
          <w:rFonts w:ascii="Arial" w:hAnsi="Arial" w:cs="Arial"/>
          <w:sz w:val="22"/>
          <w:szCs w:val="22"/>
        </w:rPr>
        <w:t>Correo personal: Jainor_5336@hotmail.com</w:t>
      </w:r>
    </w:p>
    <w:p w14:paraId="2B4F24C8" w14:textId="7BC1D043" w:rsidR="00F601EC" w:rsidRDefault="00227BFE" w:rsidP="00227BFE">
      <w:pPr>
        <w:spacing w:after="0"/>
        <w:rPr>
          <w:rFonts w:ascii="Arial" w:hAnsi="Arial" w:cs="Arial"/>
          <w:sz w:val="22"/>
          <w:szCs w:val="22"/>
        </w:rPr>
      </w:pPr>
      <w:r w:rsidRPr="00227BFE">
        <w:rPr>
          <w:rFonts w:ascii="Arial" w:hAnsi="Arial" w:cs="Arial"/>
          <w:sz w:val="22"/>
          <w:szCs w:val="22"/>
        </w:rPr>
        <w:t>Celular: 995234938</w:t>
      </w:r>
    </w:p>
    <w:p w14:paraId="622C2509" w14:textId="77777777" w:rsidR="00393CA9" w:rsidRDefault="00393CA9" w:rsidP="00B537CE">
      <w:pPr>
        <w:spacing w:after="0"/>
        <w:rPr>
          <w:rFonts w:ascii="Arial" w:hAnsi="Arial" w:cs="Arial"/>
          <w:sz w:val="22"/>
          <w:szCs w:val="22"/>
        </w:rPr>
      </w:pPr>
    </w:p>
    <w:p w14:paraId="1ADA1E21" w14:textId="54AA655D" w:rsidR="00F601EC" w:rsidRPr="00B537CE" w:rsidRDefault="00F601EC" w:rsidP="00B537CE">
      <w:pPr>
        <w:spacing w:after="0"/>
        <w:rPr>
          <w:rFonts w:ascii="Arial" w:hAnsi="Arial" w:cs="Arial"/>
          <w:sz w:val="22"/>
          <w:szCs w:val="22"/>
        </w:rPr>
      </w:pPr>
      <w:r w:rsidRPr="00F601EC">
        <w:rPr>
          <w:rFonts w:ascii="Arial" w:hAnsi="Arial" w:cs="Arial"/>
          <w:b/>
          <w:bCs/>
          <w:sz w:val="22"/>
          <w:szCs w:val="22"/>
        </w:rPr>
        <w:t>Palabras claves:</w:t>
      </w:r>
      <w:r w:rsidRPr="00F601EC">
        <w:rPr>
          <w:rFonts w:ascii="Arial" w:hAnsi="Arial" w:cs="Arial"/>
          <w:sz w:val="22"/>
          <w:szCs w:val="22"/>
        </w:rPr>
        <w:t xml:space="preserve"> </w:t>
      </w:r>
      <w:r w:rsidR="00227BFE" w:rsidRPr="00227BFE">
        <w:rPr>
          <w:rFonts w:ascii="Arial" w:hAnsi="Arial" w:cs="Arial"/>
          <w:sz w:val="22"/>
          <w:szCs w:val="22"/>
        </w:rPr>
        <w:t xml:space="preserve">Gestión de relaves, </w:t>
      </w:r>
      <w:proofErr w:type="spellStart"/>
      <w:r w:rsidR="00227BFE" w:rsidRPr="00227BFE">
        <w:rPr>
          <w:rFonts w:ascii="Arial" w:hAnsi="Arial" w:cs="Arial"/>
          <w:sz w:val="22"/>
          <w:szCs w:val="22"/>
        </w:rPr>
        <w:t>EoR</w:t>
      </w:r>
      <w:proofErr w:type="spellEnd"/>
      <w:r w:rsidR="00227BFE" w:rsidRPr="00227BFE">
        <w:rPr>
          <w:rFonts w:ascii="Arial" w:hAnsi="Arial" w:cs="Arial"/>
          <w:sz w:val="22"/>
          <w:szCs w:val="22"/>
        </w:rPr>
        <w:t>, PRE y GISTM</w:t>
      </w:r>
    </w:p>
    <w:p w14:paraId="070E526A" w14:textId="77777777" w:rsidR="00B537CE" w:rsidRPr="00B537CE" w:rsidRDefault="00B537CE" w:rsidP="00B537CE">
      <w:pPr>
        <w:spacing w:after="0"/>
        <w:rPr>
          <w:rFonts w:ascii="Arial" w:hAnsi="Arial" w:cs="Arial"/>
          <w:sz w:val="22"/>
          <w:szCs w:val="22"/>
        </w:rPr>
      </w:pPr>
      <w:r w:rsidRPr="00B537CE">
        <w:rPr>
          <w:rFonts w:ascii="Arial" w:hAnsi="Arial" w:cs="Arial"/>
          <w:sz w:val="22"/>
          <w:szCs w:val="22"/>
        </w:rPr>
        <w:t xml:space="preserve">  </w:t>
      </w:r>
    </w:p>
    <w:p w14:paraId="12A60B90" w14:textId="0CC73511" w:rsidR="00493793" w:rsidRPr="00070851" w:rsidRDefault="00493793" w:rsidP="00493793">
      <w:pPr>
        <w:rPr>
          <w:rFonts w:ascii="Arial" w:hAnsi="Arial" w:cs="Arial"/>
          <w:b/>
          <w:bCs/>
          <w:sz w:val="22"/>
          <w:szCs w:val="22"/>
        </w:rPr>
      </w:pPr>
      <w:r w:rsidRPr="00070851">
        <w:rPr>
          <w:rFonts w:ascii="Arial" w:hAnsi="Arial" w:cs="Arial"/>
          <w:b/>
          <w:bCs/>
          <w:sz w:val="22"/>
          <w:szCs w:val="22"/>
        </w:rPr>
        <w:t>RESUMEN:</w:t>
      </w:r>
    </w:p>
    <w:p w14:paraId="731D4317" w14:textId="77777777" w:rsidR="00227BFE" w:rsidRDefault="00227BFE" w:rsidP="00227BFE">
      <w:pPr>
        <w:jc w:val="both"/>
        <w:rPr>
          <w:rFonts w:ascii="Arial" w:hAnsi="Arial" w:cs="Arial"/>
          <w:sz w:val="22"/>
          <w:szCs w:val="22"/>
        </w:rPr>
      </w:pPr>
      <w:r w:rsidRPr="00227BFE">
        <w:rPr>
          <w:rFonts w:ascii="Arial" w:hAnsi="Arial" w:cs="Arial"/>
          <w:sz w:val="22"/>
          <w:szCs w:val="22"/>
        </w:rPr>
        <w:t xml:space="preserve">A causa de los desastres ocurridos en Brasil y Canadá, las empresas mineras de todo el mundo están implementando enforques para lograr el cumplimiento del Estándar de gestión de relaves (GISTM). Desde el 2020, muchas empresas miembros del ICMM han tomado un rol activo y han emprendido programas agresivos para la implementación del GISTM en sus operaciones. En el 2019, Volcan Compañía Minera inició la verificación y adaptación de sus depósitos de relaves bajos las guías internaciones como el CDA 2014 y posterior a la publicación del GISTM en el 2020 Volcan continuó con el proceso de implementar los 15 principios del estándar en la gestión del manejo de los relaves. El GISTM pretende aumentar el nivel de seguridad de las personas, medio ambiente, las comunidades, el patrimonio cultural y la infraestructura, mediante la mejora de la gobernanza y la gestión de relaves. </w:t>
      </w:r>
    </w:p>
    <w:p w14:paraId="50787B63" w14:textId="645A312C" w:rsidR="00F601EC" w:rsidRPr="00070851" w:rsidRDefault="00F601EC" w:rsidP="00227BFE">
      <w:pPr>
        <w:jc w:val="both"/>
        <w:rPr>
          <w:rFonts w:ascii="Arial" w:hAnsi="Arial" w:cs="Arial"/>
          <w:b/>
          <w:bCs/>
          <w:sz w:val="22"/>
          <w:szCs w:val="22"/>
        </w:rPr>
      </w:pPr>
      <w:r>
        <w:rPr>
          <w:rFonts w:ascii="Arial" w:hAnsi="Arial" w:cs="Arial"/>
          <w:b/>
          <w:bCs/>
          <w:sz w:val="22"/>
          <w:szCs w:val="22"/>
        </w:rPr>
        <w:t>OBJETIVO</w:t>
      </w:r>
      <w:r w:rsidRPr="00070851">
        <w:rPr>
          <w:rFonts w:ascii="Arial" w:hAnsi="Arial" w:cs="Arial"/>
          <w:b/>
          <w:bCs/>
          <w:sz w:val="22"/>
          <w:szCs w:val="22"/>
        </w:rPr>
        <w:t>:</w:t>
      </w:r>
    </w:p>
    <w:p w14:paraId="6C6CA46E" w14:textId="77777777" w:rsidR="00227BFE" w:rsidRDefault="00227BFE" w:rsidP="00227BFE">
      <w:pPr>
        <w:jc w:val="both"/>
        <w:rPr>
          <w:rFonts w:ascii="Arial" w:hAnsi="Arial" w:cs="Arial"/>
          <w:sz w:val="22"/>
          <w:szCs w:val="22"/>
        </w:rPr>
      </w:pPr>
      <w:r w:rsidRPr="00227BFE">
        <w:rPr>
          <w:rFonts w:ascii="Arial" w:hAnsi="Arial" w:cs="Arial"/>
          <w:sz w:val="22"/>
          <w:szCs w:val="22"/>
        </w:rPr>
        <w:t xml:space="preserve">La unidad minera de Cerro de Pasco es una de las </w:t>
      </w:r>
      <w:proofErr w:type="spellStart"/>
      <w:r w:rsidRPr="00227BFE">
        <w:rPr>
          <w:rFonts w:ascii="Arial" w:hAnsi="Arial" w:cs="Arial"/>
          <w:sz w:val="22"/>
          <w:szCs w:val="22"/>
        </w:rPr>
        <w:t>mas</w:t>
      </w:r>
      <w:proofErr w:type="spellEnd"/>
      <w:r w:rsidRPr="00227BFE">
        <w:rPr>
          <w:rFonts w:ascii="Arial" w:hAnsi="Arial" w:cs="Arial"/>
          <w:sz w:val="22"/>
          <w:szCs w:val="22"/>
        </w:rPr>
        <w:t xml:space="preserve"> antiguas del Perú y tiene como estructura de almacenamiento de relaves a la presa </w:t>
      </w:r>
      <w:proofErr w:type="spellStart"/>
      <w:r w:rsidRPr="00227BFE">
        <w:rPr>
          <w:rFonts w:ascii="Arial" w:hAnsi="Arial" w:cs="Arial"/>
          <w:sz w:val="22"/>
          <w:szCs w:val="22"/>
        </w:rPr>
        <w:t>Ocroyoc</w:t>
      </w:r>
      <w:proofErr w:type="spellEnd"/>
      <w:r w:rsidRPr="00227BFE">
        <w:rPr>
          <w:rFonts w:ascii="Arial" w:hAnsi="Arial" w:cs="Arial"/>
          <w:sz w:val="22"/>
          <w:szCs w:val="22"/>
        </w:rPr>
        <w:t xml:space="preserve"> (TSF </w:t>
      </w:r>
      <w:proofErr w:type="spellStart"/>
      <w:r w:rsidRPr="00227BFE">
        <w:rPr>
          <w:rFonts w:ascii="Arial" w:hAnsi="Arial" w:cs="Arial"/>
          <w:sz w:val="22"/>
          <w:szCs w:val="22"/>
        </w:rPr>
        <w:t>Ocroyoc</w:t>
      </w:r>
      <w:proofErr w:type="spellEnd"/>
      <w:r w:rsidRPr="00227BFE">
        <w:rPr>
          <w:rFonts w:ascii="Arial" w:hAnsi="Arial" w:cs="Arial"/>
          <w:sz w:val="22"/>
          <w:szCs w:val="22"/>
        </w:rPr>
        <w:t xml:space="preserve">) Su construcción inició en 1922 y culminó en 2007 hasta la cota 4262 msnm con la empresa COMMSA. Volcan adquirió a Cerro de Pasco en el 2008 e inicio un proyecto de recrecimiento hasta la cota 4287 msnm. Desde el 2020 se viene implementando la gestión de relaves de relaves según el GISTM en la unidad de Cerro de Pasco desde </w:t>
      </w:r>
      <w:r w:rsidRPr="00227BFE">
        <w:rPr>
          <w:rFonts w:ascii="Arial" w:hAnsi="Arial" w:cs="Arial"/>
          <w:sz w:val="22"/>
          <w:szCs w:val="22"/>
        </w:rPr>
        <w:lastRenderedPageBreak/>
        <w:t>los aspectos técnicos, gobernanza, monitoreos en tiempo real y plan de respuesta de emergencia.</w:t>
      </w:r>
    </w:p>
    <w:p w14:paraId="6D8AF4A5" w14:textId="3857625F" w:rsidR="00F601EC" w:rsidRPr="00070851" w:rsidRDefault="00227BFE" w:rsidP="00F601EC">
      <w:pPr>
        <w:rPr>
          <w:rFonts w:ascii="Arial" w:hAnsi="Arial" w:cs="Arial"/>
          <w:b/>
          <w:bCs/>
          <w:sz w:val="22"/>
          <w:szCs w:val="22"/>
        </w:rPr>
      </w:pPr>
      <w:r>
        <w:rPr>
          <w:rFonts w:ascii="Arial" w:hAnsi="Arial" w:cs="Arial"/>
          <w:b/>
          <w:bCs/>
          <w:sz w:val="22"/>
          <w:szCs w:val="22"/>
        </w:rPr>
        <w:t>IMPLEMENTACIÓN</w:t>
      </w:r>
      <w:r w:rsidR="00F601EC" w:rsidRPr="00070851">
        <w:rPr>
          <w:rFonts w:ascii="Arial" w:hAnsi="Arial" w:cs="Arial"/>
          <w:b/>
          <w:bCs/>
          <w:sz w:val="22"/>
          <w:szCs w:val="22"/>
        </w:rPr>
        <w:t>:</w:t>
      </w:r>
    </w:p>
    <w:p w14:paraId="5F324A8F" w14:textId="77777777" w:rsidR="00227BFE" w:rsidRPr="00227BFE" w:rsidRDefault="00227BFE" w:rsidP="00227BFE">
      <w:pPr>
        <w:spacing w:line="360" w:lineRule="auto"/>
        <w:jc w:val="both"/>
        <w:rPr>
          <w:rFonts w:ascii="Arial" w:hAnsi="Arial" w:cs="Arial"/>
          <w:sz w:val="22"/>
          <w:szCs w:val="22"/>
        </w:rPr>
      </w:pPr>
      <w:r w:rsidRPr="00227BFE">
        <w:rPr>
          <w:rFonts w:ascii="Arial" w:hAnsi="Arial" w:cs="Arial"/>
          <w:sz w:val="22"/>
          <w:szCs w:val="22"/>
        </w:rPr>
        <w:t xml:space="preserve">Como parte de la adaptación del TSF </w:t>
      </w:r>
      <w:proofErr w:type="spellStart"/>
      <w:r w:rsidRPr="00227BFE">
        <w:rPr>
          <w:rFonts w:ascii="Arial" w:hAnsi="Arial" w:cs="Arial"/>
          <w:sz w:val="22"/>
          <w:szCs w:val="22"/>
        </w:rPr>
        <w:t>Ocroyoc</w:t>
      </w:r>
      <w:proofErr w:type="spellEnd"/>
      <w:r w:rsidRPr="00227BFE">
        <w:rPr>
          <w:rFonts w:ascii="Arial" w:hAnsi="Arial" w:cs="Arial"/>
          <w:sz w:val="22"/>
          <w:szCs w:val="22"/>
        </w:rPr>
        <w:t xml:space="preserve"> al estándar de gestión de relaves se realizó una actualización de la caracterización de la fundación y el cuerpo de la presa con la finalidad de definir los parámetros de resistencia no drenas y residuales. Posteriormente se desarrolló la verificación de la estabilidad a través de métodos computaciones desde equilibrio limite hasta los modelamientos numéricos en 3D. La verificación de los aspectos técnicos de estabilidad física e hidráulica fueron desarrollados según la clasificación de consecuencias obtenidos de la actualización del estudio de rotura de presa (</w:t>
      </w:r>
      <w:proofErr w:type="spellStart"/>
      <w:r w:rsidRPr="00227BFE">
        <w:rPr>
          <w:rFonts w:ascii="Arial" w:hAnsi="Arial" w:cs="Arial"/>
          <w:sz w:val="22"/>
          <w:szCs w:val="22"/>
        </w:rPr>
        <w:t>Dam</w:t>
      </w:r>
      <w:proofErr w:type="spellEnd"/>
      <w:r w:rsidRPr="00227BFE">
        <w:rPr>
          <w:rFonts w:ascii="Arial" w:hAnsi="Arial" w:cs="Arial"/>
          <w:sz w:val="22"/>
          <w:szCs w:val="22"/>
        </w:rPr>
        <w:t xml:space="preserve"> break) incluyendo el efecto de cambio climático. </w:t>
      </w:r>
    </w:p>
    <w:p w14:paraId="276333E8" w14:textId="77777777" w:rsidR="00227BFE" w:rsidRPr="00227BFE" w:rsidRDefault="00227BFE" w:rsidP="00227BFE">
      <w:pPr>
        <w:spacing w:line="360" w:lineRule="auto"/>
        <w:jc w:val="both"/>
        <w:rPr>
          <w:rFonts w:ascii="Arial" w:hAnsi="Arial" w:cs="Arial"/>
          <w:sz w:val="22"/>
          <w:szCs w:val="22"/>
        </w:rPr>
      </w:pPr>
      <w:r w:rsidRPr="00227BFE">
        <w:rPr>
          <w:rFonts w:ascii="Arial" w:hAnsi="Arial" w:cs="Arial"/>
          <w:sz w:val="22"/>
          <w:szCs w:val="22"/>
        </w:rPr>
        <w:t xml:space="preserve">También se </w:t>
      </w:r>
      <w:proofErr w:type="spellStart"/>
      <w:r w:rsidRPr="00227BFE">
        <w:rPr>
          <w:rFonts w:ascii="Arial" w:hAnsi="Arial" w:cs="Arial"/>
          <w:sz w:val="22"/>
          <w:szCs w:val="22"/>
        </w:rPr>
        <w:t>implemento</w:t>
      </w:r>
      <w:proofErr w:type="spellEnd"/>
      <w:r w:rsidRPr="00227BFE">
        <w:rPr>
          <w:rFonts w:ascii="Arial" w:hAnsi="Arial" w:cs="Arial"/>
          <w:sz w:val="22"/>
          <w:szCs w:val="22"/>
        </w:rPr>
        <w:t xml:space="preserve"> un equipo de </w:t>
      </w:r>
      <w:proofErr w:type="spellStart"/>
      <w:r w:rsidRPr="00227BFE">
        <w:rPr>
          <w:rFonts w:ascii="Arial" w:hAnsi="Arial" w:cs="Arial"/>
          <w:sz w:val="22"/>
          <w:szCs w:val="22"/>
        </w:rPr>
        <w:t>EoR</w:t>
      </w:r>
      <w:proofErr w:type="spellEnd"/>
      <w:r w:rsidRPr="00227BFE">
        <w:rPr>
          <w:rFonts w:ascii="Arial" w:hAnsi="Arial" w:cs="Arial"/>
          <w:sz w:val="22"/>
          <w:szCs w:val="22"/>
        </w:rPr>
        <w:t xml:space="preserve"> conformado por ingenieros especialistas en el desarrollo de ingenierías, construcción y monitoreo. Además, se definieron el ingeniero responsable de la instalación de relaves, el dueño de la presa, el ejecutivo responsable y los revisores independientes.</w:t>
      </w:r>
    </w:p>
    <w:p w14:paraId="23CB0A99" w14:textId="77777777" w:rsidR="00227BFE" w:rsidRPr="00227BFE" w:rsidRDefault="00227BFE" w:rsidP="00227BFE">
      <w:pPr>
        <w:spacing w:line="360" w:lineRule="auto"/>
        <w:jc w:val="both"/>
        <w:rPr>
          <w:rFonts w:ascii="Arial" w:hAnsi="Arial" w:cs="Arial"/>
          <w:sz w:val="22"/>
          <w:szCs w:val="22"/>
        </w:rPr>
      </w:pPr>
      <w:r w:rsidRPr="00227BFE">
        <w:rPr>
          <w:rFonts w:ascii="Arial" w:hAnsi="Arial" w:cs="Arial"/>
          <w:sz w:val="22"/>
          <w:szCs w:val="22"/>
        </w:rPr>
        <w:t xml:space="preserve">Se implemento un sistema de monitoreo en tiempo real (telemetría) a la instrumentación geotécnica como piezómetros de cuerva vibrante, Casagrande, inclinómetros y celdas de asentamientos. El sistema de monitoreo satelital (INSAR) fue incluido dentro del monitoreo del TSF </w:t>
      </w:r>
      <w:proofErr w:type="spellStart"/>
      <w:r w:rsidRPr="00227BFE">
        <w:rPr>
          <w:rFonts w:ascii="Arial" w:hAnsi="Arial" w:cs="Arial"/>
          <w:sz w:val="22"/>
          <w:szCs w:val="22"/>
        </w:rPr>
        <w:t>Ocroyoc</w:t>
      </w:r>
      <w:proofErr w:type="spellEnd"/>
      <w:r w:rsidRPr="00227BFE">
        <w:rPr>
          <w:rFonts w:ascii="Arial" w:hAnsi="Arial" w:cs="Arial"/>
          <w:sz w:val="22"/>
          <w:szCs w:val="22"/>
        </w:rPr>
        <w:t>.</w:t>
      </w:r>
    </w:p>
    <w:p w14:paraId="07838DBB" w14:textId="3F6255B7" w:rsidR="00227BFE" w:rsidRDefault="00227BFE" w:rsidP="00227BFE">
      <w:pPr>
        <w:spacing w:line="360" w:lineRule="auto"/>
        <w:jc w:val="both"/>
        <w:rPr>
          <w:rFonts w:ascii="Arial" w:hAnsi="Arial" w:cs="Arial"/>
          <w:sz w:val="22"/>
          <w:szCs w:val="22"/>
        </w:rPr>
      </w:pPr>
      <w:r w:rsidRPr="00227BFE">
        <w:rPr>
          <w:rFonts w:ascii="Arial" w:hAnsi="Arial" w:cs="Arial"/>
          <w:sz w:val="22"/>
          <w:szCs w:val="22"/>
        </w:rPr>
        <w:t xml:space="preserve">Los planes de preparación y respuesta ante emergencias se comunican con nuestros vecinos y comunidades (partes interesadas) a través del SAT que es un conjunto de acciones para advertir a la población sobre el desarrollo de una emergencia relacionada con la falla del TSF </w:t>
      </w:r>
      <w:proofErr w:type="spellStart"/>
      <w:r w:rsidRPr="00227BFE">
        <w:rPr>
          <w:rFonts w:ascii="Arial" w:hAnsi="Arial" w:cs="Arial"/>
          <w:sz w:val="22"/>
          <w:szCs w:val="22"/>
        </w:rPr>
        <w:t>Ocroyoc</w:t>
      </w:r>
      <w:proofErr w:type="spellEnd"/>
      <w:r w:rsidRPr="00227BFE">
        <w:rPr>
          <w:rFonts w:ascii="Arial" w:hAnsi="Arial" w:cs="Arial"/>
          <w:sz w:val="22"/>
          <w:szCs w:val="22"/>
        </w:rPr>
        <w:t xml:space="preserve"> a través de capacitaciones, talleres y simulacros. Se implemento estaciones sonoras y repetidoras en zonas estratégicas como parte del SAT.</w:t>
      </w:r>
    </w:p>
    <w:p w14:paraId="2C5991D3" w14:textId="2FA2DFA0" w:rsidR="00227BFE" w:rsidRPr="00070851" w:rsidRDefault="00227BFE" w:rsidP="00227BFE">
      <w:pPr>
        <w:rPr>
          <w:rFonts w:ascii="Arial" w:hAnsi="Arial" w:cs="Arial"/>
          <w:b/>
          <w:bCs/>
          <w:sz w:val="22"/>
          <w:szCs w:val="22"/>
        </w:rPr>
      </w:pPr>
      <w:r>
        <w:rPr>
          <w:rFonts w:ascii="Arial" w:hAnsi="Arial" w:cs="Arial"/>
          <w:b/>
          <w:bCs/>
          <w:sz w:val="22"/>
          <w:szCs w:val="22"/>
        </w:rPr>
        <w:t>RESULTADOS ALCANZADOS</w:t>
      </w:r>
      <w:r w:rsidRPr="00070851">
        <w:rPr>
          <w:rFonts w:ascii="Arial" w:hAnsi="Arial" w:cs="Arial"/>
          <w:b/>
          <w:bCs/>
          <w:sz w:val="22"/>
          <w:szCs w:val="22"/>
        </w:rPr>
        <w:t>:</w:t>
      </w:r>
    </w:p>
    <w:p w14:paraId="3B2B456D" w14:textId="5E936F79" w:rsidR="00227BFE" w:rsidRDefault="00227BFE" w:rsidP="00227BFE">
      <w:pPr>
        <w:spacing w:line="360" w:lineRule="auto"/>
        <w:jc w:val="both"/>
        <w:rPr>
          <w:rFonts w:ascii="Arial" w:hAnsi="Arial" w:cs="Arial"/>
          <w:sz w:val="22"/>
          <w:szCs w:val="22"/>
        </w:rPr>
      </w:pPr>
      <w:r w:rsidRPr="00227BFE">
        <w:rPr>
          <w:rFonts w:ascii="Arial" w:hAnsi="Arial" w:cs="Arial"/>
          <w:sz w:val="22"/>
          <w:szCs w:val="22"/>
        </w:rPr>
        <w:t xml:space="preserve">Como parte del principio 15 del GISTM, en agosto del 2023 se publicó, en la web de Glencore, las características del depósito de relaves de </w:t>
      </w:r>
      <w:proofErr w:type="spellStart"/>
      <w:r w:rsidRPr="00227BFE">
        <w:rPr>
          <w:rFonts w:ascii="Arial" w:hAnsi="Arial" w:cs="Arial"/>
          <w:sz w:val="22"/>
          <w:szCs w:val="22"/>
        </w:rPr>
        <w:t>Ocroyoc</w:t>
      </w:r>
      <w:proofErr w:type="spellEnd"/>
      <w:r w:rsidRPr="00227BFE">
        <w:rPr>
          <w:rFonts w:ascii="Arial" w:hAnsi="Arial" w:cs="Arial"/>
          <w:sz w:val="22"/>
          <w:szCs w:val="22"/>
        </w:rPr>
        <w:t xml:space="preserve"> cuya clasificación de consecuencias es “Extrema” y los resultados de los revisores independientes durante las auditorias. En la publicación se presenta un avance de la implementación del estándar en la unidad minera de Cerro de Pasco.</w:t>
      </w:r>
    </w:p>
    <w:p w14:paraId="6F377AB0" w14:textId="18D9DD7C" w:rsidR="00227BFE" w:rsidRPr="00070851" w:rsidRDefault="00227BFE" w:rsidP="00227BFE">
      <w:pPr>
        <w:rPr>
          <w:rFonts w:ascii="Arial" w:hAnsi="Arial" w:cs="Arial"/>
          <w:b/>
          <w:bCs/>
          <w:sz w:val="22"/>
          <w:szCs w:val="22"/>
        </w:rPr>
      </w:pPr>
      <w:r>
        <w:rPr>
          <w:rFonts w:ascii="Arial" w:hAnsi="Arial" w:cs="Arial"/>
          <w:b/>
          <w:bCs/>
          <w:sz w:val="22"/>
          <w:szCs w:val="22"/>
        </w:rPr>
        <w:t>CONCLUSIONES</w:t>
      </w:r>
      <w:r w:rsidRPr="00070851">
        <w:rPr>
          <w:rFonts w:ascii="Arial" w:hAnsi="Arial" w:cs="Arial"/>
          <w:b/>
          <w:bCs/>
          <w:sz w:val="22"/>
          <w:szCs w:val="22"/>
        </w:rPr>
        <w:t>:</w:t>
      </w:r>
    </w:p>
    <w:p w14:paraId="31C41E57" w14:textId="51C06FDA" w:rsidR="00227BFE" w:rsidRPr="00227BFE" w:rsidRDefault="00227BFE" w:rsidP="00227BFE">
      <w:pPr>
        <w:pStyle w:val="Prrafodelista"/>
        <w:numPr>
          <w:ilvl w:val="0"/>
          <w:numId w:val="3"/>
        </w:numPr>
        <w:spacing w:line="360" w:lineRule="auto"/>
        <w:jc w:val="both"/>
        <w:rPr>
          <w:rFonts w:ascii="Arial" w:hAnsi="Arial" w:cs="Arial"/>
          <w:sz w:val="22"/>
          <w:szCs w:val="22"/>
        </w:rPr>
      </w:pPr>
      <w:r w:rsidRPr="00227BFE">
        <w:rPr>
          <w:rFonts w:ascii="Arial" w:hAnsi="Arial" w:cs="Arial"/>
          <w:sz w:val="22"/>
          <w:szCs w:val="22"/>
        </w:rPr>
        <w:t xml:space="preserve">Es necesario una adecuada selección y caracterización del sitio que incluya profundas investigación geológica y geotécnica. Para ello es necesario continuar </w:t>
      </w:r>
      <w:r w:rsidRPr="00227BFE">
        <w:rPr>
          <w:rFonts w:ascii="Arial" w:hAnsi="Arial" w:cs="Arial"/>
          <w:sz w:val="22"/>
          <w:szCs w:val="22"/>
        </w:rPr>
        <w:lastRenderedPageBreak/>
        <w:t xml:space="preserve">desarrollando el cierre de brechas del </w:t>
      </w:r>
      <w:r w:rsidRPr="00227BFE">
        <w:rPr>
          <w:rFonts w:ascii="Arial" w:hAnsi="Arial" w:cs="Arial"/>
          <w:sz w:val="22"/>
          <w:szCs w:val="22"/>
        </w:rPr>
        <w:t>Depósito</w:t>
      </w:r>
      <w:r w:rsidRPr="00227BFE">
        <w:rPr>
          <w:rFonts w:ascii="Arial" w:hAnsi="Arial" w:cs="Arial"/>
          <w:sz w:val="22"/>
          <w:szCs w:val="22"/>
        </w:rPr>
        <w:t xml:space="preserve"> de relaves de acuerdo al estándar de </w:t>
      </w:r>
      <w:r w:rsidRPr="00227BFE">
        <w:rPr>
          <w:rFonts w:ascii="Arial" w:hAnsi="Arial" w:cs="Arial"/>
          <w:sz w:val="22"/>
          <w:szCs w:val="22"/>
        </w:rPr>
        <w:t>gestión</w:t>
      </w:r>
      <w:r w:rsidRPr="00227BFE">
        <w:rPr>
          <w:rFonts w:ascii="Arial" w:hAnsi="Arial" w:cs="Arial"/>
          <w:sz w:val="22"/>
          <w:szCs w:val="22"/>
        </w:rPr>
        <w:t xml:space="preserve"> de relaves.</w:t>
      </w:r>
    </w:p>
    <w:p w14:paraId="4BCCCA7E" w14:textId="63E827DD" w:rsidR="00227BFE" w:rsidRPr="00227BFE" w:rsidRDefault="00227BFE" w:rsidP="00227BFE">
      <w:pPr>
        <w:pStyle w:val="Prrafodelista"/>
        <w:numPr>
          <w:ilvl w:val="0"/>
          <w:numId w:val="3"/>
        </w:numPr>
        <w:spacing w:line="360" w:lineRule="auto"/>
        <w:jc w:val="both"/>
        <w:rPr>
          <w:rFonts w:ascii="Arial" w:hAnsi="Arial" w:cs="Arial"/>
          <w:sz w:val="22"/>
          <w:szCs w:val="22"/>
        </w:rPr>
      </w:pPr>
      <w:r w:rsidRPr="00227BFE">
        <w:rPr>
          <w:rFonts w:ascii="Arial" w:hAnsi="Arial" w:cs="Arial"/>
          <w:sz w:val="22"/>
          <w:szCs w:val="22"/>
        </w:rPr>
        <w:t>Requiere sistemas de gobernanza solidos que involucren a todas las personas que trabajan en los Depósitos de Relave</w:t>
      </w:r>
    </w:p>
    <w:p w14:paraId="0A812A47" w14:textId="3E2A62D7" w:rsidR="00227BFE" w:rsidRPr="00227BFE" w:rsidRDefault="00227BFE" w:rsidP="00227BFE">
      <w:pPr>
        <w:pStyle w:val="Prrafodelista"/>
        <w:numPr>
          <w:ilvl w:val="0"/>
          <w:numId w:val="3"/>
        </w:numPr>
        <w:spacing w:line="360" w:lineRule="auto"/>
        <w:jc w:val="both"/>
        <w:rPr>
          <w:rFonts w:ascii="Arial" w:hAnsi="Arial" w:cs="Arial"/>
          <w:sz w:val="22"/>
          <w:szCs w:val="22"/>
        </w:rPr>
      </w:pPr>
      <w:r w:rsidRPr="00227BFE">
        <w:rPr>
          <w:rFonts w:ascii="Arial" w:hAnsi="Arial" w:cs="Arial"/>
          <w:sz w:val="22"/>
          <w:szCs w:val="22"/>
        </w:rPr>
        <w:t>Continuar gestionando nuestros depósitos de relaves a lo largo de su ciclo de vida de forma segura y ambientalmente responsable, alineado a nuestra normativa, la del GISTM además de la normativa nacional.</w:t>
      </w:r>
    </w:p>
    <w:p w14:paraId="3330B90A" w14:textId="462FC2F2" w:rsidR="00227BFE" w:rsidRPr="00227BFE" w:rsidRDefault="00227BFE" w:rsidP="00227BFE">
      <w:pPr>
        <w:pStyle w:val="Prrafodelista"/>
        <w:numPr>
          <w:ilvl w:val="0"/>
          <w:numId w:val="3"/>
        </w:numPr>
        <w:spacing w:line="360" w:lineRule="auto"/>
        <w:jc w:val="both"/>
        <w:rPr>
          <w:rFonts w:ascii="Arial" w:hAnsi="Arial" w:cs="Arial"/>
          <w:sz w:val="22"/>
          <w:szCs w:val="22"/>
        </w:rPr>
      </w:pPr>
      <w:r w:rsidRPr="00227BFE">
        <w:rPr>
          <w:rFonts w:ascii="Arial" w:hAnsi="Arial" w:cs="Arial"/>
          <w:sz w:val="22"/>
          <w:szCs w:val="22"/>
        </w:rPr>
        <w:t xml:space="preserve">Mantener estrategia de innovación en </w:t>
      </w:r>
      <w:r w:rsidRPr="00227BFE">
        <w:rPr>
          <w:rFonts w:ascii="Arial" w:hAnsi="Arial" w:cs="Arial"/>
          <w:sz w:val="22"/>
          <w:szCs w:val="22"/>
        </w:rPr>
        <w:t>las ampliaciones</w:t>
      </w:r>
      <w:r w:rsidRPr="00227BFE">
        <w:rPr>
          <w:rFonts w:ascii="Arial" w:hAnsi="Arial" w:cs="Arial"/>
          <w:sz w:val="22"/>
          <w:szCs w:val="22"/>
        </w:rPr>
        <w:t xml:space="preserve"> de nuestros depósitos de relaves y en los nuevos que se requieran.</w:t>
      </w:r>
    </w:p>
    <w:sectPr w:rsidR="00227BFE" w:rsidRPr="00227BFE">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D3931" w14:textId="77777777" w:rsidR="00F71528" w:rsidRDefault="00F71528" w:rsidP="00493793">
      <w:pPr>
        <w:spacing w:after="0" w:line="240" w:lineRule="auto"/>
      </w:pPr>
      <w:r>
        <w:separator/>
      </w:r>
    </w:p>
  </w:endnote>
  <w:endnote w:type="continuationSeparator" w:id="0">
    <w:p w14:paraId="7AFC2D4C" w14:textId="77777777" w:rsidR="00F71528" w:rsidRDefault="00F71528" w:rsidP="004937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A4210" w14:textId="77777777" w:rsidR="00F71528" w:rsidRDefault="00F71528" w:rsidP="00493793">
      <w:pPr>
        <w:spacing w:after="0" w:line="240" w:lineRule="auto"/>
      </w:pPr>
      <w:r>
        <w:separator/>
      </w:r>
    </w:p>
  </w:footnote>
  <w:footnote w:type="continuationSeparator" w:id="0">
    <w:p w14:paraId="02E58B55" w14:textId="77777777" w:rsidR="00F71528" w:rsidRDefault="00F71528" w:rsidP="004937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7B4FE" w14:textId="77777777" w:rsidR="00493793" w:rsidRDefault="00493793" w:rsidP="00493793">
    <w:pPr>
      <w:pStyle w:val="Encabezado"/>
    </w:pPr>
    <w:r>
      <w:rPr>
        <w:noProof/>
      </w:rPr>
      <w:drawing>
        <wp:inline distT="0" distB="0" distL="0" distR="0" wp14:anchorId="71272DF7" wp14:editId="071B57B1">
          <wp:extent cx="1638300" cy="367111"/>
          <wp:effectExtent l="0" t="0" r="0" b="0"/>
          <wp:docPr id="142062160"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62160" name="Imagen 1" descr="Imagen que contiene Texto&#10;&#10;Descripción generada automáticamente"/>
                  <pic:cNvPicPr/>
                </pic:nvPicPr>
                <pic:blipFill>
                  <a:blip r:embed="rId1"/>
                  <a:stretch>
                    <a:fillRect/>
                  </a:stretch>
                </pic:blipFill>
                <pic:spPr>
                  <a:xfrm>
                    <a:off x="0" y="0"/>
                    <a:ext cx="1646611" cy="368973"/>
                  </a:xfrm>
                  <a:prstGeom prst="rect">
                    <a:avLst/>
                  </a:prstGeom>
                </pic:spPr>
              </pic:pic>
            </a:graphicData>
          </a:graphic>
        </wp:inline>
      </w:drawing>
    </w:r>
    <w:r>
      <w:tab/>
    </w:r>
    <w:r>
      <w:tab/>
    </w:r>
    <w:r>
      <w:rPr>
        <w:noProof/>
      </w:rPr>
      <w:drawing>
        <wp:inline distT="0" distB="0" distL="0" distR="0" wp14:anchorId="3EFFD7A0" wp14:editId="77FFE30C">
          <wp:extent cx="1150620" cy="380069"/>
          <wp:effectExtent l="0" t="0" r="0" b="1270"/>
          <wp:docPr id="211538824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388241" name="Imagen 1" descr="Texto&#10;&#10;Descripción generada automáticamente"/>
                  <pic:cNvPicPr/>
                </pic:nvPicPr>
                <pic:blipFill>
                  <a:blip r:embed="rId2"/>
                  <a:stretch>
                    <a:fillRect/>
                  </a:stretch>
                </pic:blipFill>
                <pic:spPr>
                  <a:xfrm>
                    <a:off x="0" y="0"/>
                    <a:ext cx="1165622" cy="385024"/>
                  </a:xfrm>
                  <a:prstGeom prst="rect">
                    <a:avLst/>
                  </a:prstGeom>
                </pic:spPr>
              </pic:pic>
            </a:graphicData>
          </a:graphic>
        </wp:inline>
      </w:drawing>
    </w:r>
  </w:p>
  <w:p w14:paraId="17193A02" w14:textId="77777777" w:rsidR="00493793" w:rsidRDefault="0049379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2F3390"/>
    <w:multiLevelType w:val="hybridMultilevel"/>
    <w:tmpl w:val="3384A33A"/>
    <w:lvl w:ilvl="0" w:tplc="C8587648">
      <w:start w:val="2"/>
      <w:numFmt w:val="bullet"/>
      <w:lvlText w:val="-"/>
      <w:lvlJc w:val="left"/>
      <w:pPr>
        <w:ind w:left="1068" w:hanging="360"/>
      </w:pPr>
      <w:rPr>
        <w:rFonts w:ascii="Aptos" w:eastAsiaTheme="minorHAnsi" w:hAnsi="Aptos" w:cstheme="minorBidi"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1" w15:restartNumberingAfterBreak="0">
    <w:nsid w:val="46166AA1"/>
    <w:multiLevelType w:val="hybridMultilevel"/>
    <w:tmpl w:val="DC10EE0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6E92388E"/>
    <w:multiLevelType w:val="hybridMultilevel"/>
    <w:tmpl w:val="9FA62806"/>
    <w:lvl w:ilvl="0" w:tplc="B12EA5C2">
      <w:numFmt w:val="bullet"/>
      <w:lvlText w:val="-"/>
      <w:lvlJc w:val="left"/>
      <w:pPr>
        <w:ind w:left="720" w:hanging="360"/>
      </w:pPr>
      <w:rPr>
        <w:rFonts w:ascii="Aptos" w:eastAsia="Aptos" w:hAnsi="Aptos" w:cs="Times New Roman"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num w:numId="1" w16cid:durableId="1197892717">
    <w:abstractNumId w:val="0"/>
  </w:num>
  <w:num w:numId="2" w16cid:durableId="1937669989">
    <w:abstractNumId w:val="2"/>
  </w:num>
  <w:num w:numId="3" w16cid:durableId="18088906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793"/>
    <w:rsid w:val="00207F96"/>
    <w:rsid w:val="00227BFE"/>
    <w:rsid w:val="00244366"/>
    <w:rsid w:val="00261D77"/>
    <w:rsid w:val="00334E13"/>
    <w:rsid w:val="00393CA9"/>
    <w:rsid w:val="00493793"/>
    <w:rsid w:val="00496D8D"/>
    <w:rsid w:val="00617CE8"/>
    <w:rsid w:val="0087070B"/>
    <w:rsid w:val="00A67750"/>
    <w:rsid w:val="00AF3796"/>
    <w:rsid w:val="00B537CE"/>
    <w:rsid w:val="00C913AF"/>
    <w:rsid w:val="00D55E7E"/>
    <w:rsid w:val="00F601EC"/>
    <w:rsid w:val="00F71528"/>
    <w:rsid w:val="00FA354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E3C80"/>
  <w15:chartTrackingRefBased/>
  <w15:docId w15:val="{6F093840-88EC-4A75-8F16-C00657F38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3793"/>
  </w:style>
  <w:style w:type="paragraph" w:styleId="Ttulo1">
    <w:name w:val="heading 1"/>
    <w:basedOn w:val="Normal"/>
    <w:next w:val="Normal"/>
    <w:link w:val="Ttulo1Car"/>
    <w:uiPriority w:val="9"/>
    <w:qFormat/>
    <w:rsid w:val="004937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937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9379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9379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9379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9379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9379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9379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9379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9379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9379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9379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9379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9379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9379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9379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9379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93793"/>
    <w:rPr>
      <w:rFonts w:eastAsiaTheme="majorEastAsia" w:cstheme="majorBidi"/>
      <w:color w:val="272727" w:themeColor="text1" w:themeTint="D8"/>
    </w:rPr>
  </w:style>
  <w:style w:type="paragraph" w:styleId="Ttulo">
    <w:name w:val="Title"/>
    <w:basedOn w:val="Normal"/>
    <w:next w:val="Normal"/>
    <w:link w:val="TtuloCar"/>
    <w:uiPriority w:val="10"/>
    <w:qFormat/>
    <w:rsid w:val="004937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9379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9379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9379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93793"/>
    <w:pPr>
      <w:spacing w:before="160"/>
      <w:jc w:val="center"/>
    </w:pPr>
    <w:rPr>
      <w:i/>
      <w:iCs/>
      <w:color w:val="404040" w:themeColor="text1" w:themeTint="BF"/>
    </w:rPr>
  </w:style>
  <w:style w:type="character" w:customStyle="1" w:styleId="CitaCar">
    <w:name w:val="Cita Car"/>
    <w:basedOn w:val="Fuentedeprrafopredeter"/>
    <w:link w:val="Cita"/>
    <w:uiPriority w:val="29"/>
    <w:rsid w:val="00493793"/>
    <w:rPr>
      <w:i/>
      <w:iCs/>
      <w:color w:val="404040" w:themeColor="text1" w:themeTint="BF"/>
    </w:rPr>
  </w:style>
  <w:style w:type="paragraph" w:styleId="Prrafodelista">
    <w:name w:val="List Paragraph"/>
    <w:basedOn w:val="Normal"/>
    <w:uiPriority w:val="34"/>
    <w:qFormat/>
    <w:rsid w:val="00493793"/>
    <w:pPr>
      <w:ind w:left="720"/>
      <w:contextualSpacing/>
    </w:pPr>
  </w:style>
  <w:style w:type="character" w:styleId="nfasisintenso">
    <w:name w:val="Intense Emphasis"/>
    <w:basedOn w:val="Fuentedeprrafopredeter"/>
    <w:uiPriority w:val="21"/>
    <w:qFormat/>
    <w:rsid w:val="00493793"/>
    <w:rPr>
      <w:i/>
      <w:iCs/>
      <w:color w:val="0F4761" w:themeColor="accent1" w:themeShade="BF"/>
    </w:rPr>
  </w:style>
  <w:style w:type="paragraph" w:styleId="Citadestacada">
    <w:name w:val="Intense Quote"/>
    <w:basedOn w:val="Normal"/>
    <w:next w:val="Normal"/>
    <w:link w:val="CitadestacadaCar"/>
    <w:uiPriority w:val="30"/>
    <w:qFormat/>
    <w:rsid w:val="004937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93793"/>
    <w:rPr>
      <w:i/>
      <w:iCs/>
      <w:color w:val="0F4761" w:themeColor="accent1" w:themeShade="BF"/>
    </w:rPr>
  </w:style>
  <w:style w:type="character" w:styleId="Referenciaintensa">
    <w:name w:val="Intense Reference"/>
    <w:basedOn w:val="Fuentedeprrafopredeter"/>
    <w:uiPriority w:val="32"/>
    <w:qFormat/>
    <w:rsid w:val="00493793"/>
    <w:rPr>
      <w:b/>
      <w:bCs/>
      <w:smallCaps/>
      <w:color w:val="0F4761" w:themeColor="accent1" w:themeShade="BF"/>
      <w:spacing w:val="5"/>
    </w:rPr>
  </w:style>
  <w:style w:type="character" w:styleId="Hipervnculo">
    <w:name w:val="Hyperlink"/>
    <w:basedOn w:val="Fuentedeprrafopredeter"/>
    <w:uiPriority w:val="99"/>
    <w:unhideWhenUsed/>
    <w:rsid w:val="00493793"/>
    <w:rPr>
      <w:color w:val="467886" w:themeColor="hyperlink"/>
      <w:u w:val="single"/>
    </w:rPr>
  </w:style>
  <w:style w:type="paragraph" w:styleId="Encabezado">
    <w:name w:val="header"/>
    <w:basedOn w:val="Normal"/>
    <w:link w:val="EncabezadoCar"/>
    <w:uiPriority w:val="99"/>
    <w:unhideWhenUsed/>
    <w:rsid w:val="0049379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93793"/>
  </w:style>
  <w:style w:type="paragraph" w:styleId="Piedepgina">
    <w:name w:val="footer"/>
    <w:basedOn w:val="Normal"/>
    <w:link w:val="PiedepginaCar"/>
    <w:uiPriority w:val="99"/>
    <w:unhideWhenUsed/>
    <w:rsid w:val="0049379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93793"/>
  </w:style>
  <w:style w:type="table" w:styleId="Tablaconcuadrcula">
    <w:name w:val="Table Grid"/>
    <w:basedOn w:val="Tablanormal"/>
    <w:uiPriority w:val="39"/>
    <w:rsid w:val="00F601EC"/>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775</Words>
  <Characters>4268</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Volcan</Company>
  <LinksUpToDate>false</LinksUpToDate>
  <CharactersWithSpaces>5033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Vega Milon, Gianfranco Mijael</dc:creator>
  <cp:keywords/>
  <dc:description/>
  <cp:lastModifiedBy>Becerra Carrillo, Sergio Andre</cp:lastModifiedBy>
  <cp:revision>3</cp:revision>
  <dcterms:created xsi:type="dcterms:W3CDTF">2025-04-07T16:13:00Z</dcterms:created>
  <dcterms:modified xsi:type="dcterms:W3CDTF">2025-04-07T16:21:00Z</dcterms:modified>
</cp:coreProperties>
</file>