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A48B" w14:textId="0C2173B7" w:rsidR="0DD8DE93" w:rsidRPr="00B9490B" w:rsidRDefault="0DD8DE93" w:rsidP="00D05350">
      <w:pPr>
        <w:jc w:val="center"/>
        <w:rPr>
          <w:rFonts w:ascii="Arial" w:eastAsia="Arial" w:hAnsi="Arial" w:cs="Arial"/>
          <w:sz w:val="22"/>
          <w:szCs w:val="22"/>
        </w:rPr>
      </w:pPr>
      <w:r w:rsidRPr="00B9490B">
        <w:rPr>
          <w:rFonts w:ascii="Arial" w:hAnsi="Arial" w:cs="Arial"/>
          <w:bCs/>
          <w:sz w:val="22"/>
          <w:szCs w:val="22"/>
        </w:rPr>
        <w:t>Reducción de la dilución mediante el uso de algoritmos que modelan el desplazamiento de la voladura</w:t>
      </w:r>
    </w:p>
    <w:p w14:paraId="18655DEC" w14:textId="40C338CA" w:rsidR="007373B8" w:rsidRPr="00B9490B" w:rsidRDefault="00A201D7" w:rsidP="00A201D7">
      <w:pPr>
        <w:jc w:val="center"/>
        <w:rPr>
          <w:rFonts w:ascii="Arial" w:hAnsi="Arial" w:cs="Arial"/>
          <w:sz w:val="22"/>
          <w:szCs w:val="22"/>
        </w:rPr>
      </w:pPr>
      <w:r w:rsidRPr="00B9490B">
        <w:rPr>
          <w:rFonts w:ascii="Arial" w:hAnsi="Arial" w:cs="Arial"/>
          <w:sz w:val="22"/>
          <w:szCs w:val="22"/>
        </w:rPr>
        <w:t>(</w:t>
      </w:r>
      <w:r w:rsidR="00751372" w:rsidRPr="00B9490B">
        <w:rPr>
          <w:rFonts w:ascii="Arial" w:hAnsi="Arial" w:cs="Arial"/>
          <w:sz w:val="22"/>
          <w:szCs w:val="22"/>
        </w:rPr>
        <w:t>Operaciones Minera y Gestión de Activos</w:t>
      </w:r>
      <w:r w:rsidRPr="00B9490B">
        <w:rPr>
          <w:rFonts w:ascii="Arial" w:hAnsi="Arial" w:cs="Arial"/>
          <w:sz w:val="22"/>
          <w:szCs w:val="22"/>
        </w:rPr>
        <w:t>)</w:t>
      </w:r>
    </w:p>
    <w:p w14:paraId="03D0F56A" w14:textId="77777777" w:rsidR="00A05DB9" w:rsidRPr="00B9490B" w:rsidRDefault="00A05DB9" w:rsidP="007373B8">
      <w:pPr>
        <w:rPr>
          <w:rFonts w:ascii="Arial" w:hAnsi="Arial" w:cs="Arial"/>
          <w:sz w:val="22"/>
          <w:szCs w:val="22"/>
        </w:rPr>
      </w:pPr>
    </w:p>
    <w:p w14:paraId="02638C59" w14:textId="0FC5301C" w:rsidR="0087565A" w:rsidRPr="00B9490B" w:rsidRDefault="00907F2F" w:rsidP="0087565A">
      <w:pPr>
        <w:jc w:val="center"/>
        <w:rPr>
          <w:rFonts w:ascii="Arial" w:hAnsi="Arial" w:cs="Arial"/>
          <w:b/>
          <w:bCs/>
          <w:sz w:val="22"/>
          <w:szCs w:val="22"/>
        </w:rPr>
      </w:pPr>
      <w:r w:rsidRPr="00B9490B">
        <w:rPr>
          <w:rFonts w:ascii="Arial" w:hAnsi="Arial" w:cs="Arial"/>
          <w:b/>
          <w:bCs/>
          <w:sz w:val="22"/>
          <w:szCs w:val="22"/>
        </w:rPr>
        <w:t>Alexander</w:t>
      </w:r>
      <w:r w:rsidR="0087565A" w:rsidRPr="00B9490B">
        <w:rPr>
          <w:rFonts w:ascii="Arial" w:hAnsi="Arial" w:cs="Arial"/>
          <w:b/>
          <w:bCs/>
          <w:sz w:val="22"/>
          <w:szCs w:val="22"/>
        </w:rPr>
        <w:t xml:space="preserve"> </w:t>
      </w:r>
      <w:r w:rsidRPr="00B9490B">
        <w:rPr>
          <w:rFonts w:ascii="Arial" w:hAnsi="Arial" w:cs="Arial"/>
          <w:b/>
          <w:bCs/>
          <w:sz w:val="22"/>
          <w:szCs w:val="22"/>
        </w:rPr>
        <w:t>Quinto</w:t>
      </w:r>
      <w:r w:rsidR="0087565A" w:rsidRPr="00B9490B">
        <w:rPr>
          <w:rFonts w:ascii="Arial" w:hAnsi="Arial" w:cs="Arial"/>
          <w:b/>
          <w:bCs/>
          <w:sz w:val="22"/>
          <w:szCs w:val="22"/>
          <w:vertAlign w:val="superscript"/>
        </w:rPr>
        <w:t>1</w:t>
      </w:r>
      <w:r w:rsidR="00744289" w:rsidRPr="00B9490B">
        <w:rPr>
          <w:rFonts w:ascii="Arial" w:hAnsi="Arial" w:cs="Arial"/>
          <w:b/>
          <w:bCs/>
          <w:sz w:val="22"/>
          <w:szCs w:val="22"/>
        </w:rPr>
        <w:t xml:space="preserve"> y</w:t>
      </w:r>
      <w:r w:rsidR="0087565A" w:rsidRPr="00B9490B">
        <w:rPr>
          <w:rFonts w:ascii="Arial" w:hAnsi="Arial" w:cs="Arial"/>
          <w:b/>
          <w:bCs/>
          <w:sz w:val="22"/>
          <w:szCs w:val="22"/>
        </w:rPr>
        <w:t xml:space="preserve"> </w:t>
      </w:r>
      <w:r w:rsidRPr="00B9490B">
        <w:rPr>
          <w:rFonts w:ascii="Arial" w:hAnsi="Arial" w:cs="Arial"/>
          <w:b/>
          <w:bCs/>
          <w:sz w:val="22"/>
          <w:szCs w:val="22"/>
        </w:rPr>
        <w:t>Estefany T</w:t>
      </w:r>
      <w:r w:rsidR="00744289" w:rsidRPr="00B9490B">
        <w:rPr>
          <w:rFonts w:ascii="Arial" w:hAnsi="Arial" w:cs="Arial"/>
          <w:b/>
          <w:bCs/>
          <w:sz w:val="22"/>
          <w:szCs w:val="22"/>
        </w:rPr>
        <w:t>ávara</w:t>
      </w:r>
      <w:r w:rsidR="0087565A" w:rsidRPr="00B9490B">
        <w:rPr>
          <w:rFonts w:ascii="Arial" w:hAnsi="Arial" w:cs="Arial"/>
          <w:b/>
          <w:bCs/>
          <w:sz w:val="22"/>
          <w:szCs w:val="22"/>
          <w:vertAlign w:val="superscript"/>
        </w:rPr>
        <w:t>2</w:t>
      </w:r>
      <w:r w:rsidR="002D1C36" w:rsidRPr="00B9490B">
        <w:rPr>
          <w:rFonts w:ascii="Arial" w:hAnsi="Arial" w:cs="Arial"/>
          <w:b/>
          <w:bCs/>
          <w:sz w:val="22"/>
          <w:szCs w:val="22"/>
        </w:rPr>
        <w:t xml:space="preserve"> </w:t>
      </w:r>
    </w:p>
    <w:p w14:paraId="400BE595" w14:textId="77777777" w:rsidR="0087565A" w:rsidRPr="00B9490B" w:rsidRDefault="0087565A" w:rsidP="0087565A">
      <w:pPr>
        <w:jc w:val="center"/>
        <w:rPr>
          <w:rFonts w:ascii="Arial" w:hAnsi="Arial" w:cs="Arial"/>
          <w:bCs/>
          <w:sz w:val="22"/>
          <w:szCs w:val="22"/>
        </w:rPr>
      </w:pPr>
    </w:p>
    <w:p w14:paraId="23736843" w14:textId="77777777" w:rsidR="007373B8" w:rsidRPr="00B9490B" w:rsidRDefault="007373B8" w:rsidP="007373B8">
      <w:pPr>
        <w:rPr>
          <w:rFonts w:ascii="Arial" w:hAnsi="Arial" w:cs="Arial"/>
          <w:sz w:val="22"/>
          <w:szCs w:val="22"/>
        </w:rPr>
      </w:pPr>
    </w:p>
    <w:p w14:paraId="1D73A8BC" w14:textId="1E5AEFAB" w:rsidR="007373B8" w:rsidRPr="00B9490B" w:rsidRDefault="001F7167" w:rsidP="006975E0">
      <w:pPr>
        <w:ind w:left="142" w:hanging="142"/>
        <w:jc w:val="both"/>
        <w:rPr>
          <w:rFonts w:ascii="Arial" w:hAnsi="Arial" w:cs="Arial"/>
          <w:sz w:val="22"/>
          <w:szCs w:val="22"/>
        </w:rPr>
      </w:pPr>
      <w:r w:rsidRPr="00B9490B">
        <w:rPr>
          <w:rFonts w:ascii="Arial" w:hAnsi="Arial" w:cs="Arial"/>
          <w:sz w:val="22"/>
          <w:szCs w:val="22"/>
          <w:vertAlign w:val="superscript"/>
        </w:rPr>
        <w:t>1</w:t>
      </w:r>
      <w:r w:rsidR="007373B8" w:rsidRPr="00B9490B">
        <w:rPr>
          <w:rFonts w:ascii="Arial" w:hAnsi="Arial" w:cs="Arial"/>
          <w:sz w:val="22"/>
          <w:szCs w:val="22"/>
        </w:rPr>
        <w:t xml:space="preserve"> </w:t>
      </w:r>
      <w:proofErr w:type="gramStart"/>
      <w:r w:rsidR="002D1C36" w:rsidRPr="00B9490B">
        <w:rPr>
          <w:rFonts w:ascii="Arial" w:hAnsi="Arial" w:cs="Arial"/>
          <w:sz w:val="22"/>
          <w:szCs w:val="22"/>
        </w:rPr>
        <w:t>Autor</w:t>
      </w:r>
      <w:proofErr w:type="gramEnd"/>
      <w:r w:rsidR="002D1C36" w:rsidRPr="00B9490B">
        <w:rPr>
          <w:rFonts w:ascii="Arial" w:hAnsi="Arial" w:cs="Arial"/>
          <w:sz w:val="22"/>
          <w:szCs w:val="22"/>
        </w:rPr>
        <w:t xml:space="preserve">: </w:t>
      </w:r>
      <w:r w:rsidR="00636E73" w:rsidRPr="00B9490B">
        <w:rPr>
          <w:rFonts w:ascii="Arial" w:hAnsi="Arial" w:cs="Arial"/>
          <w:sz w:val="22"/>
          <w:szCs w:val="22"/>
        </w:rPr>
        <w:t>Marcobre, Jr. Lorenzo Bernini 149, Lima, Perú (alexander.quintofr@marcobre.com y 987108061)</w:t>
      </w:r>
    </w:p>
    <w:p w14:paraId="791CF854" w14:textId="0F7B729B" w:rsidR="007373B8" w:rsidRPr="00B9490B" w:rsidRDefault="001F7167" w:rsidP="006975E0">
      <w:pPr>
        <w:ind w:left="142" w:hanging="142"/>
        <w:jc w:val="both"/>
        <w:rPr>
          <w:rFonts w:ascii="Arial" w:hAnsi="Arial" w:cs="Arial"/>
          <w:sz w:val="22"/>
          <w:szCs w:val="22"/>
        </w:rPr>
      </w:pPr>
      <w:r w:rsidRPr="00B9490B">
        <w:rPr>
          <w:rFonts w:ascii="Arial" w:hAnsi="Arial" w:cs="Arial"/>
          <w:sz w:val="22"/>
          <w:szCs w:val="22"/>
          <w:vertAlign w:val="superscript"/>
        </w:rPr>
        <w:t>2</w:t>
      </w:r>
      <w:r w:rsidR="007373B8" w:rsidRPr="00B9490B">
        <w:rPr>
          <w:rFonts w:ascii="Arial" w:hAnsi="Arial" w:cs="Arial"/>
          <w:sz w:val="22"/>
          <w:szCs w:val="22"/>
        </w:rPr>
        <w:t xml:space="preserve"> </w:t>
      </w:r>
      <w:proofErr w:type="gramStart"/>
      <w:r w:rsidR="002D1C36" w:rsidRPr="00B9490B">
        <w:rPr>
          <w:rFonts w:ascii="Arial" w:hAnsi="Arial" w:cs="Arial"/>
          <w:sz w:val="22"/>
          <w:szCs w:val="22"/>
        </w:rPr>
        <w:t>Coautor</w:t>
      </w:r>
      <w:proofErr w:type="gramEnd"/>
      <w:r w:rsidR="002D1C36" w:rsidRPr="00B9490B">
        <w:rPr>
          <w:rFonts w:ascii="Arial" w:hAnsi="Arial" w:cs="Arial"/>
          <w:sz w:val="22"/>
          <w:szCs w:val="22"/>
        </w:rPr>
        <w:t xml:space="preserve"> 1: </w:t>
      </w:r>
      <w:r w:rsidR="00D27353" w:rsidRPr="00B9490B">
        <w:rPr>
          <w:rFonts w:ascii="Arial" w:hAnsi="Arial" w:cs="Arial"/>
          <w:sz w:val="22"/>
          <w:szCs w:val="22"/>
        </w:rPr>
        <w:t>Orica</w:t>
      </w:r>
      <w:r w:rsidR="003C6D44" w:rsidRPr="00B9490B">
        <w:rPr>
          <w:rFonts w:ascii="Arial" w:hAnsi="Arial" w:cs="Arial"/>
          <w:sz w:val="22"/>
          <w:szCs w:val="22"/>
        </w:rPr>
        <w:t>, dirección</w:t>
      </w:r>
      <w:r w:rsidR="00047A63" w:rsidRPr="00B9490B">
        <w:rPr>
          <w:rFonts w:ascii="Arial" w:hAnsi="Arial" w:cs="Arial"/>
          <w:sz w:val="22"/>
          <w:szCs w:val="22"/>
        </w:rPr>
        <w:t xml:space="preserve">, </w:t>
      </w:r>
      <w:r w:rsidR="00D27353" w:rsidRPr="00B9490B">
        <w:rPr>
          <w:rFonts w:ascii="Arial" w:hAnsi="Arial" w:cs="Arial"/>
          <w:sz w:val="22"/>
          <w:szCs w:val="22"/>
        </w:rPr>
        <w:t>Lima</w:t>
      </w:r>
      <w:r w:rsidR="00047A63" w:rsidRPr="00B9490B">
        <w:rPr>
          <w:rFonts w:ascii="Arial" w:hAnsi="Arial" w:cs="Arial"/>
          <w:sz w:val="22"/>
          <w:szCs w:val="22"/>
        </w:rPr>
        <w:t xml:space="preserve">, </w:t>
      </w:r>
      <w:r w:rsidR="00D27353" w:rsidRPr="00B9490B">
        <w:rPr>
          <w:rFonts w:ascii="Arial" w:hAnsi="Arial" w:cs="Arial"/>
          <w:sz w:val="22"/>
          <w:szCs w:val="22"/>
        </w:rPr>
        <w:t>Perú</w:t>
      </w:r>
      <w:r w:rsidR="003C6D44" w:rsidRPr="00B9490B">
        <w:rPr>
          <w:rFonts w:ascii="Arial" w:hAnsi="Arial" w:cs="Arial"/>
          <w:sz w:val="22"/>
          <w:szCs w:val="22"/>
        </w:rPr>
        <w:t xml:space="preserve"> (</w:t>
      </w:r>
      <w:r w:rsidR="00FD7285" w:rsidRPr="00B9490B">
        <w:rPr>
          <w:rFonts w:ascii="Arial" w:hAnsi="Arial" w:cs="Arial"/>
          <w:sz w:val="22"/>
          <w:szCs w:val="22"/>
        </w:rPr>
        <w:t xml:space="preserve">estefany.tavara@orica.com </w:t>
      </w:r>
      <w:r w:rsidR="00A201D7" w:rsidRPr="00B9490B">
        <w:rPr>
          <w:rFonts w:ascii="Arial" w:hAnsi="Arial" w:cs="Arial"/>
          <w:sz w:val="22"/>
          <w:szCs w:val="22"/>
        </w:rPr>
        <w:t xml:space="preserve">y </w:t>
      </w:r>
      <w:r w:rsidR="00D12544" w:rsidRPr="00B9490B">
        <w:rPr>
          <w:rFonts w:ascii="Arial" w:hAnsi="Arial" w:cs="Arial"/>
          <w:sz w:val="22"/>
          <w:szCs w:val="22"/>
        </w:rPr>
        <w:t>989873146</w:t>
      </w:r>
      <w:r w:rsidR="003C6D44" w:rsidRPr="00B9490B">
        <w:rPr>
          <w:rFonts w:ascii="Arial" w:hAnsi="Arial" w:cs="Arial"/>
          <w:sz w:val="22"/>
          <w:szCs w:val="22"/>
        </w:rPr>
        <w:t>)</w:t>
      </w:r>
    </w:p>
    <w:p w14:paraId="42271F3F" w14:textId="14DC3BBF" w:rsidR="00C90525" w:rsidRPr="00B9490B" w:rsidRDefault="00C90525" w:rsidP="00C90525">
      <w:pPr>
        <w:rPr>
          <w:rFonts w:ascii="Arial" w:hAnsi="Arial" w:cs="Arial"/>
          <w:sz w:val="22"/>
          <w:szCs w:val="22"/>
        </w:rPr>
      </w:pPr>
      <w:r w:rsidRPr="00B9490B">
        <w:rPr>
          <w:rFonts w:ascii="Arial" w:hAnsi="Arial" w:cs="Arial"/>
          <w:sz w:val="22"/>
          <w:szCs w:val="22"/>
        </w:rPr>
        <w:t>____________________________________________________________________________________</w:t>
      </w:r>
    </w:p>
    <w:p w14:paraId="71E68F26" w14:textId="77777777" w:rsidR="00A63A13" w:rsidRPr="00B9490B" w:rsidRDefault="00A63A13" w:rsidP="00D5647F">
      <w:pPr>
        <w:jc w:val="both"/>
        <w:rPr>
          <w:rFonts w:ascii="Arial" w:hAnsi="Arial" w:cs="Arial"/>
          <w:b/>
          <w:sz w:val="22"/>
          <w:szCs w:val="22"/>
        </w:rPr>
      </w:pPr>
    </w:p>
    <w:p w14:paraId="350E87C9" w14:textId="77777777" w:rsidR="000A599E" w:rsidRPr="00B9490B" w:rsidRDefault="000A599E" w:rsidP="00650F70">
      <w:pPr>
        <w:jc w:val="both"/>
        <w:rPr>
          <w:rFonts w:ascii="Arial" w:hAnsi="Arial" w:cs="Arial"/>
          <w:b/>
          <w:sz w:val="22"/>
          <w:szCs w:val="22"/>
        </w:rPr>
        <w:sectPr w:rsidR="000A599E" w:rsidRPr="00B9490B">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E42BA6" w:rsidRDefault="0DD8DE93" w:rsidP="00E42BA6">
      <w:pPr>
        <w:spacing w:line="360" w:lineRule="auto"/>
        <w:jc w:val="both"/>
        <w:rPr>
          <w:rFonts w:ascii="Arial" w:hAnsi="Arial" w:cs="Arial"/>
          <w:b/>
          <w:sz w:val="22"/>
          <w:szCs w:val="22"/>
        </w:rPr>
      </w:pPr>
      <w:r w:rsidRPr="00E42BA6">
        <w:rPr>
          <w:rFonts w:ascii="Arial" w:hAnsi="Arial" w:cs="Arial"/>
          <w:b/>
          <w:bCs/>
          <w:sz w:val="22"/>
          <w:szCs w:val="22"/>
        </w:rPr>
        <w:t>RESUMEN</w:t>
      </w:r>
    </w:p>
    <w:p w14:paraId="538B999F" w14:textId="5154D8BB"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El presente trabajo tiene como objetivo describir los logros alcanzados en la reducción de la dilución en la operación minera a tajo abierto Mina Justa,</w:t>
      </w:r>
      <w:r w:rsidR="00D51190" w:rsidRPr="00E42BA6">
        <w:rPr>
          <w:rFonts w:ascii="Arial" w:hAnsi="Arial" w:cs="Arial"/>
          <w:sz w:val="22"/>
          <w:szCs w:val="22"/>
        </w:rPr>
        <w:t xml:space="preserve"> al aplicar </w:t>
      </w:r>
      <w:r w:rsidR="00E60CDB" w:rsidRPr="00E42BA6">
        <w:rPr>
          <w:rFonts w:ascii="Arial" w:hAnsi="Arial" w:cs="Arial"/>
          <w:sz w:val="22"/>
          <w:szCs w:val="22"/>
        </w:rPr>
        <w:t>el modelamiento del desplazamiento de la voladura dentro de su proceso de control de mineral.</w:t>
      </w:r>
      <w:r w:rsidRPr="00E42BA6">
        <w:rPr>
          <w:rFonts w:ascii="Arial" w:hAnsi="Arial" w:cs="Arial"/>
          <w:sz w:val="22"/>
          <w:szCs w:val="22"/>
        </w:rPr>
        <w:t xml:space="preserve"> Mina Justa es operada por Marcobre, una empresa minera dedicada a la producción de cobre que forma parte del Grupo Breca y </w:t>
      </w:r>
      <w:proofErr w:type="spellStart"/>
      <w:r w:rsidRPr="00E42BA6">
        <w:rPr>
          <w:rFonts w:ascii="Arial" w:hAnsi="Arial" w:cs="Arial"/>
          <w:sz w:val="22"/>
          <w:szCs w:val="22"/>
        </w:rPr>
        <w:t>Alxar</w:t>
      </w:r>
      <w:proofErr w:type="spellEnd"/>
      <w:r w:rsidRPr="00E42BA6">
        <w:rPr>
          <w:rFonts w:ascii="Arial" w:hAnsi="Arial" w:cs="Arial"/>
          <w:sz w:val="22"/>
          <w:szCs w:val="22"/>
        </w:rPr>
        <w:t>.</w:t>
      </w:r>
    </w:p>
    <w:p w14:paraId="510A3F73" w14:textId="77777777" w:rsidR="00BC4D43" w:rsidRPr="00E42BA6" w:rsidRDefault="00BC4D43" w:rsidP="00E42BA6">
      <w:pPr>
        <w:spacing w:line="360" w:lineRule="auto"/>
        <w:jc w:val="both"/>
        <w:rPr>
          <w:rFonts w:ascii="Arial" w:hAnsi="Arial" w:cs="Arial"/>
          <w:b/>
          <w:sz w:val="22"/>
          <w:szCs w:val="22"/>
        </w:rPr>
      </w:pPr>
    </w:p>
    <w:p w14:paraId="113109B4" w14:textId="77777777" w:rsidR="00441B34" w:rsidRPr="00E42BA6" w:rsidRDefault="0DD8DE93" w:rsidP="00E42BA6">
      <w:pPr>
        <w:spacing w:line="360" w:lineRule="auto"/>
        <w:jc w:val="both"/>
        <w:rPr>
          <w:rFonts w:ascii="Arial" w:hAnsi="Arial" w:cs="Arial"/>
          <w:b/>
          <w:sz w:val="22"/>
          <w:szCs w:val="22"/>
        </w:rPr>
      </w:pPr>
      <w:r w:rsidRPr="00E42BA6">
        <w:rPr>
          <w:rFonts w:ascii="Arial" w:hAnsi="Arial" w:cs="Arial"/>
          <w:b/>
          <w:bCs/>
          <w:sz w:val="22"/>
          <w:szCs w:val="22"/>
        </w:rPr>
        <w:t xml:space="preserve">1. Introducción </w:t>
      </w:r>
    </w:p>
    <w:p w14:paraId="44495BCC" w14:textId="658A53C4" w:rsidR="0DD8DE93" w:rsidRPr="00E42BA6" w:rsidRDefault="0DD8DE93" w:rsidP="00E42BA6">
      <w:pPr>
        <w:spacing w:line="360" w:lineRule="auto"/>
        <w:jc w:val="both"/>
        <w:rPr>
          <w:rFonts w:ascii="Arial" w:hAnsi="Arial" w:cs="Arial"/>
          <w:sz w:val="22"/>
          <w:szCs w:val="22"/>
        </w:rPr>
      </w:pPr>
    </w:p>
    <w:p w14:paraId="3D88DB38" w14:textId="464EBF52" w:rsidR="00DA05D8" w:rsidRPr="00E42BA6" w:rsidRDefault="0DD8DE93" w:rsidP="00E42BA6">
      <w:pPr>
        <w:pStyle w:val="Prrafodelista"/>
        <w:numPr>
          <w:ilvl w:val="1"/>
          <w:numId w:val="3"/>
        </w:numPr>
        <w:spacing w:line="360" w:lineRule="auto"/>
        <w:jc w:val="both"/>
        <w:rPr>
          <w:rFonts w:ascii="Arial" w:hAnsi="Arial" w:cs="Arial"/>
          <w:sz w:val="22"/>
          <w:szCs w:val="22"/>
        </w:rPr>
      </w:pPr>
      <w:r w:rsidRPr="00E42BA6">
        <w:rPr>
          <w:rFonts w:ascii="Arial" w:hAnsi="Arial" w:cs="Arial"/>
          <w:sz w:val="22"/>
          <w:szCs w:val="22"/>
        </w:rPr>
        <w:t>Contexto</w:t>
      </w:r>
    </w:p>
    <w:p w14:paraId="15C12FCE" w14:textId="77777777" w:rsidR="00DA05D8" w:rsidRPr="00E42BA6" w:rsidRDefault="00DA05D8" w:rsidP="00E42BA6">
      <w:pPr>
        <w:spacing w:line="360" w:lineRule="auto"/>
        <w:jc w:val="both"/>
        <w:rPr>
          <w:rFonts w:ascii="Arial" w:hAnsi="Arial" w:cs="Arial"/>
          <w:sz w:val="22"/>
          <w:szCs w:val="22"/>
        </w:rPr>
      </w:pPr>
    </w:p>
    <w:p w14:paraId="58C493A7" w14:textId="16214783" w:rsidR="0DD8DE93" w:rsidRPr="00E42BA6" w:rsidRDefault="0DD8DE93" w:rsidP="00E42BA6">
      <w:pPr>
        <w:spacing w:line="360" w:lineRule="auto"/>
        <w:jc w:val="both"/>
        <w:rPr>
          <w:rFonts w:ascii="Arial" w:hAnsi="Arial" w:cs="Arial"/>
          <w:sz w:val="22"/>
          <w:szCs w:val="22"/>
        </w:rPr>
      </w:pPr>
      <w:r w:rsidRPr="00E42BA6">
        <w:rPr>
          <w:rFonts w:ascii="Arial" w:hAnsi="Arial" w:cs="Arial"/>
          <w:sz w:val="22"/>
          <w:szCs w:val="22"/>
        </w:rPr>
        <w:t xml:space="preserve">El control de </w:t>
      </w:r>
      <w:r w:rsidR="001A42D8" w:rsidRPr="00E42BA6">
        <w:rPr>
          <w:rFonts w:ascii="Arial" w:hAnsi="Arial" w:cs="Arial"/>
          <w:sz w:val="22"/>
          <w:szCs w:val="22"/>
        </w:rPr>
        <w:t>mineral</w:t>
      </w:r>
      <w:r w:rsidRPr="00E42BA6">
        <w:rPr>
          <w:rFonts w:ascii="Arial" w:hAnsi="Arial" w:cs="Arial"/>
          <w:sz w:val="22"/>
          <w:szCs w:val="22"/>
        </w:rPr>
        <w:t xml:space="preserve"> es el proceso de asignar o delimitar de manera óptima a que destino será enviado el material extraído. El escenario ideal implicaría enviar solo mineral por encima de la ley de corte a la planta de procesamiento y enviar el material estéril al botadero; </w:t>
      </w:r>
      <w:r w:rsidR="001A42D8" w:rsidRPr="00E42BA6">
        <w:rPr>
          <w:rFonts w:ascii="Arial" w:hAnsi="Arial" w:cs="Arial"/>
          <w:sz w:val="22"/>
          <w:szCs w:val="22"/>
        </w:rPr>
        <w:t xml:space="preserve">sin embargo, </w:t>
      </w:r>
      <w:r w:rsidRPr="00E42BA6">
        <w:rPr>
          <w:rFonts w:ascii="Arial" w:hAnsi="Arial" w:cs="Arial"/>
          <w:sz w:val="22"/>
          <w:szCs w:val="22"/>
        </w:rPr>
        <w:t xml:space="preserve">es bien conocido que este escenario ideal es difícil de alcanzar debido a diversos factores tales como factores operativos (ancho de la pala, unidad mínima de minado), proceso de voladura, etc. El presente trabajo se centra en la dilución y la pérdida mineral generadas durante el proceso de voladura. </w:t>
      </w:r>
    </w:p>
    <w:p w14:paraId="208B66C2" w14:textId="5428E566" w:rsidR="0DD8DE93" w:rsidRPr="00E42BA6" w:rsidRDefault="001A42D8" w:rsidP="00E42BA6">
      <w:pPr>
        <w:spacing w:before="240" w:after="240" w:line="360" w:lineRule="auto"/>
        <w:jc w:val="both"/>
        <w:rPr>
          <w:rFonts w:ascii="Arial" w:hAnsi="Arial" w:cs="Arial"/>
          <w:sz w:val="22"/>
          <w:szCs w:val="22"/>
        </w:rPr>
      </w:pPr>
      <w:r w:rsidRPr="00E42BA6">
        <w:rPr>
          <w:rFonts w:ascii="Arial" w:hAnsi="Arial" w:cs="Arial"/>
          <w:sz w:val="22"/>
          <w:szCs w:val="22"/>
        </w:rPr>
        <w:t xml:space="preserve">1.2 </w:t>
      </w:r>
      <w:r w:rsidR="0DD8DE93" w:rsidRPr="00E42BA6">
        <w:rPr>
          <w:rFonts w:ascii="Arial" w:hAnsi="Arial" w:cs="Arial"/>
          <w:sz w:val="22"/>
          <w:szCs w:val="22"/>
        </w:rPr>
        <w:t xml:space="preserve">La voladura y su efecto en el control de </w:t>
      </w:r>
      <w:r w:rsidR="009149C5" w:rsidRPr="00E42BA6">
        <w:rPr>
          <w:rFonts w:ascii="Arial" w:hAnsi="Arial" w:cs="Arial"/>
          <w:sz w:val="22"/>
          <w:szCs w:val="22"/>
        </w:rPr>
        <w:t>mineral</w:t>
      </w:r>
    </w:p>
    <w:p w14:paraId="0E83369F" w14:textId="6CC29A02"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 xml:space="preserve">La voladura, un proceso fisicoquímico que utiliza explosivos para fragmentar la roca, provoca un </w:t>
      </w:r>
      <w:r w:rsidRPr="00E42BA6">
        <w:rPr>
          <w:rFonts w:ascii="Arial" w:hAnsi="Arial" w:cs="Arial"/>
          <w:sz w:val="22"/>
          <w:szCs w:val="22"/>
        </w:rPr>
        <w:t xml:space="preserve">desplazamiento violento y complejo del material. Como consecuencia, se vuelve un desafío para los equipos de operación y planificación determinar con precisión la ubicación del mineral en el escenario posterior a la voladura. </w:t>
      </w:r>
    </w:p>
    <w:p w14:paraId="5A36BE43" w14:textId="64FAA8DA"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El diseño y la forma en la que se ejecuta la voladura va a depender de factores propios de la operación minera tales como: dureza, densidad, mineralización, presencia de fracturas naturales en la roca, tipo de explosivo utilizado, información geomecánica, cercanía al talud o a sitios poblados.</w:t>
      </w:r>
    </w:p>
    <w:p w14:paraId="03AB502D" w14:textId="5B270BBD"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 xml:space="preserve">Cada proyecto de voladura con su diseño de carguío correspondiente dará como resultado un desplazamiento más o menos extendido, más o menos aumento de altura en la pila de roca resultante (esponjamiento) </w:t>
      </w:r>
      <w:r w:rsidR="00750F46" w:rsidRPr="00E42BA6">
        <w:rPr>
          <w:rFonts w:ascii="Arial" w:hAnsi="Arial" w:cs="Arial"/>
          <w:sz w:val="22"/>
          <w:szCs w:val="22"/>
        </w:rPr>
        <w:t>o</w:t>
      </w:r>
      <w:r w:rsidRPr="00E42BA6">
        <w:rPr>
          <w:rFonts w:ascii="Arial" w:hAnsi="Arial" w:cs="Arial"/>
          <w:sz w:val="22"/>
          <w:szCs w:val="22"/>
        </w:rPr>
        <w:t xml:space="preserve"> más o menos derrame de material hacia bancos inferiores.</w:t>
      </w:r>
    </w:p>
    <w:p w14:paraId="5184A157" w14:textId="54766E18" w:rsidR="0DD8DE93" w:rsidRPr="00E42BA6" w:rsidRDefault="0DD8DE93" w:rsidP="00E42BA6">
      <w:pPr>
        <w:spacing w:after="160" w:line="360" w:lineRule="auto"/>
        <w:jc w:val="both"/>
        <w:rPr>
          <w:rFonts w:ascii="Arial" w:hAnsi="Arial" w:cs="Arial"/>
          <w:sz w:val="22"/>
          <w:szCs w:val="22"/>
        </w:rPr>
      </w:pPr>
      <w:r w:rsidRPr="00E42BA6">
        <w:rPr>
          <w:rFonts w:ascii="Arial" w:hAnsi="Arial" w:cs="Arial"/>
          <w:sz w:val="22"/>
          <w:szCs w:val="22"/>
        </w:rPr>
        <w:t xml:space="preserve">Muchos estudios han medido el movimiento de la voladura y los perfiles de movimiento esperados en diferentes regiones de una voladura (Hunt 2012, La Rosa 2011, Thornton 2009). Además, se han medido los efectos del movimiento en 3D y el movimiento diferencial en profundidad (Hunt 2015, Hunt y La Rosa 2019). A partir de estos estudios, se entiende que el movimiento de la roca en profundidad puede variar significativamente a lo largo del banco y también según la profundidad. Por lo tanto, el buzamiento y el rumbo de una estructura pueden cambiar de </w:t>
      </w:r>
      <w:proofErr w:type="spellStart"/>
      <w:r w:rsidRPr="00E42BA6">
        <w:rPr>
          <w:rFonts w:ascii="Arial" w:hAnsi="Arial" w:cs="Arial"/>
          <w:sz w:val="22"/>
          <w:szCs w:val="22"/>
        </w:rPr>
        <w:t>in-situ</w:t>
      </w:r>
      <w:proofErr w:type="spellEnd"/>
      <w:r w:rsidRPr="00E42BA6">
        <w:rPr>
          <w:rFonts w:ascii="Arial" w:hAnsi="Arial" w:cs="Arial"/>
          <w:sz w:val="22"/>
          <w:szCs w:val="22"/>
        </w:rPr>
        <w:t xml:space="preserve"> a </w:t>
      </w:r>
      <w:proofErr w:type="spellStart"/>
      <w:r w:rsidRPr="00E42BA6">
        <w:rPr>
          <w:rFonts w:ascii="Arial" w:hAnsi="Arial" w:cs="Arial"/>
          <w:sz w:val="22"/>
          <w:szCs w:val="22"/>
        </w:rPr>
        <w:t>post-voladura</w:t>
      </w:r>
      <w:proofErr w:type="spellEnd"/>
      <w:r w:rsidRPr="00E42BA6">
        <w:rPr>
          <w:rFonts w:ascii="Arial" w:hAnsi="Arial" w:cs="Arial"/>
          <w:sz w:val="22"/>
          <w:szCs w:val="22"/>
        </w:rPr>
        <w:t xml:space="preserve"> debido al movimiento inducido por la voladura. El método de </w:t>
      </w:r>
      <w:r w:rsidRPr="00E42BA6">
        <w:rPr>
          <w:rFonts w:ascii="Arial" w:hAnsi="Arial" w:cs="Arial"/>
          <w:sz w:val="22"/>
          <w:szCs w:val="22"/>
        </w:rPr>
        <w:lastRenderedPageBreak/>
        <w:t xml:space="preserve">minado y la dilución estimada al minar una estructura </w:t>
      </w:r>
      <w:proofErr w:type="spellStart"/>
      <w:r w:rsidRPr="00E42BA6">
        <w:rPr>
          <w:rFonts w:ascii="Arial" w:hAnsi="Arial" w:cs="Arial"/>
          <w:sz w:val="22"/>
          <w:szCs w:val="22"/>
        </w:rPr>
        <w:t>in-situ</w:t>
      </w:r>
      <w:proofErr w:type="spellEnd"/>
      <w:r w:rsidRPr="00E42BA6">
        <w:rPr>
          <w:rFonts w:ascii="Arial" w:hAnsi="Arial" w:cs="Arial"/>
          <w:sz w:val="22"/>
          <w:szCs w:val="22"/>
        </w:rPr>
        <w:t xml:space="preserve"> con un buzamiento de 90 grados no es lo mismo que minar la estructura después de que se haya movido. En algunos casos (como el de la Figura 1), el resultado es extremadamente diferente. En otras palabras, lo que se puede lograr antes de la voladura no siempre se puede lograr después de la voladura.</w:t>
      </w:r>
    </w:p>
    <w:p w14:paraId="2C5FD629" w14:textId="1A13F559" w:rsidR="0DD8DE93" w:rsidRPr="00E42BA6" w:rsidRDefault="0DD8DE93" w:rsidP="00E42BA6">
      <w:pPr>
        <w:spacing w:before="240" w:after="240" w:line="360" w:lineRule="auto"/>
        <w:jc w:val="both"/>
        <w:rPr>
          <w:rFonts w:ascii="Arial" w:hAnsi="Arial" w:cs="Arial"/>
          <w:i/>
          <w:iCs/>
          <w:sz w:val="22"/>
          <w:szCs w:val="22"/>
        </w:rPr>
      </w:pPr>
      <w:r w:rsidRPr="00E42BA6">
        <w:rPr>
          <w:noProof/>
          <w:sz w:val="22"/>
          <w:szCs w:val="22"/>
        </w:rPr>
        <w:drawing>
          <wp:inline distT="0" distB="0" distL="0" distR="0" wp14:anchorId="68DB3AB5" wp14:editId="4128468A">
            <wp:extent cx="3171825" cy="1905000"/>
            <wp:effectExtent l="0" t="0" r="0" b="0"/>
            <wp:docPr id="1354385495" name="Imagen 135438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r w:rsidRPr="00E42BA6">
        <w:rPr>
          <w:rFonts w:ascii="Arial" w:hAnsi="Arial" w:cs="Arial"/>
          <w:i/>
          <w:iCs/>
          <w:sz w:val="22"/>
          <w:szCs w:val="22"/>
        </w:rPr>
        <w:t>Figura 1. Ejemplo grafico del desplazamiento del mineral después de la voladura.</w:t>
      </w:r>
    </w:p>
    <w:p w14:paraId="105C3018" w14:textId="402DF949"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Las imágenes a continuación muestran de manera grafica (creado por software) dos escenarios de un mismo proyecto de voladura. La figura 2 muestra como el modelo de bloques corto plazo cambia bajo los efectos de la voladura, incluso mostrando desplazamiento de material por debajo del piso del banco.</w:t>
      </w:r>
    </w:p>
    <w:p w14:paraId="31AA67EC" w14:textId="77777777" w:rsidR="001A42D8" w:rsidRPr="00E42BA6" w:rsidRDefault="0DD8DE93" w:rsidP="00E42BA6">
      <w:pPr>
        <w:spacing w:before="240" w:after="240" w:line="360" w:lineRule="auto"/>
        <w:rPr>
          <w:rFonts w:ascii="Arial" w:hAnsi="Arial" w:cs="Arial"/>
          <w:i/>
          <w:iCs/>
          <w:sz w:val="22"/>
          <w:szCs w:val="22"/>
        </w:rPr>
      </w:pPr>
      <w:r w:rsidRPr="00E42BA6">
        <w:rPr>
          <w:noProof/>
          <w:sz w:val="22"/>
          <w:szCs w:val="22"/>
        </w:rPr>
        <w:drawing>
          <wp:inline distT="0" distB="0" distL="0" distR="0" wp14:anchorId="05687154" wp14:editId="4E418E36">
            <wp:extent cx="3152541" cy="1808400"/>
            <wp:effectExtent l="0" t="0" r="0" b="0"/>
            <wp:docPr id="1638751846" name="Imagen 16387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rcRect r="2702" b="14351"/>
                    <a:stretch>
                      <a:fillRect/>
                    </a:stretch>
                  </pic:blipFill>
                  <pic:spPr>
                    <a:xfrm>
                      <a:off x="0" y="0"/>
                      <a:ext cx="3152541" cy="1808400"/>
                    </a:xfrm>
                    <a:prstGeom prst="rect">
                      <a:avLst/>
                    </a:prstGeom>
                  </pic:spPr>
                </pic:pic>
              </a:graphicData>
            </a:graphic>
          </wp:inline>
        </w:drawing>
      </w:r>
      <w:r w:rsidRPr="00E42BA6">
        <w:rPr>
          <w:rFonts w:ascii="Arial" w:hAnsi="Arial" w:cs="Arial"/>
          <w:i/>
          <w:iCs/>
          <w:sz w:val="22"/>
          <w:szCs w:val="22"/>
        </w:rPr>
        <w:t xml:space="preserve">Figura 2. Modelo de bloques previo a la voladura (modelo </w:t>
      </w:r>
      <w:proofErr w:type="spellStart"/>
      <w:r w:rsidRPr="00E42BA6">
        <w:rPr>
          <w:rFonts w:ascii="Arial" w:hAnsi="Arial" w:cs="Arial"/>
          <w:i/>
          <w:iCs/>
          <w:sz w:val="22"/>
          <w:szCs w:val="22"/>
        </w:rPr>
        <w:t>in-situ</w:t>
      </w:r>
      <w:proofErr w:type="spellEnd"/>
      <w:r w:rsidRPr="00E42BA6">
        <w:rPr>
          <w:rFonts w:ascii="Arial" w:hAnsi="Arial" w:cs="Arial"/>
          <w:i/>
          <w:iCs/>
          <w:sz w:val="22"/>
          <w:szCs w:val="22"/>
        </w:rPr>
        <w:t>).</w:t>
      </w:r>
    </w:p>
    <w:p w14:paraId="5D3AD690" w14:textId="11A99449" w:rsidR="0DD8DE93" w:rsidRPr="00E42BA6" w:rsidRDefault="0DD8DE93" w:rsidP="00E42BA6">
      <w:pPr>
        <w:spacing w:before="240" w:after="240" w:line="360" w:lineRule="auto"/>
        <w:rPr>
          <w:rFonts w:ascii="Arial" w:hAnsi="Arial" w:cs="Arial"/>
          <w:sz w:val="22"/>
          <w:szCs w:val="22"/>
        </w:rPr>
      </w:pPr>
      <w:r w:rsidRPr="00E42BA6">
        <w:rPr>
          <w:noProof/>
          <w:sz w:val="22"/>
          <w:szCs w:val="22"/>
        </w:rPr>
        <w:drawing>
          <wp:inline distT="0" distB="0" distL="0" distR="0" wp14:anchorId="7B5D80A4" wp14:editId="30ABEA20">
            <wp:extent cx="3128473" cy="1722534"/>
            <wp:effectExtent l="0" t="0" r="0" b="0"/>
            <wp:docPr id="1468267599" name="Imagen 146826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rcRect r="3003" b="15714"/>
                    <a:stretch>
                      <a:fillRect/>
                    </a:stretch>
                  </pic:blipFill>
                  <pic:spPr>
                    <a:xfrm>
                      <a:off x="0" y="0"/>
                      <a:ext cx="3128473" cy="1722534"/>
                    </a:xfrm>
                    <a:prstGeom prst="rect">
                      <a:avLst/>
                    </a:prstGeom>
                  </pic:spPr>
                </pic:pic>
              </a:graphicData>
            </a:graphic>
          </wp:inline>
        </w:drawing>
      </w:r>
      <w:r w:rsidRPr="00E42BA6">
        <w:rPr>
          <w:rFonts w:ascii="Arial" w:hAnsi="Arial" w:cs="Arial"/>
          <w:i/>
          <w:iCs/>
          <w:sz w:val="22"/>
          <w:szCs w:val="22"/>
        </w:rPr>
        <w:t>Figura 3. Modelo de bloques posterior a la voladura</w:t>
      </w:r>
    </w:p>
    <w:p w14:paraId="44BB7CDE" w14:textId="0616C6DB"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 xml:space="preserve">La metodología tradicional de delimitación de polígonos de minado se realiza sobre el modelo de bloques </w:t>
      </w:r>
      <w:proofErr w:type="spellStart"/>
      <w:r w:rsidRPr="00E42BA6">
        <w:rPr>
          <w:rFonts w:ascii="Arial" w:hAnsi="Arial" w:cs="Arial"/>
          <w:sz w:val="22"/>
          <w:szCs w:val="22"/>
        </w:rPr>
        <w:t>in-situ</w:t>
      </w:r>
      <w:proofErr w:type="spellEnd"/>
      <w:r w:rsidRPr="00E42BA6">
        <w:rPr>
          <w:rFonts w:ascii="Arial" w:hAnsi="Arial" w:cs="Arial"/>
          <w:sz w:val="22"/>
          <w:szCs w:val="22"/>
        </w:rPr>
        <w:t>, es decir, no considera el desplazamiento producido por la voladura, lo que conlleva a niveles de dilución y pérdida mineral superiores a los esperados.</w:t>
      </w:r>
    </w:p>
    <w:p w14:paraId="7660E30D" w14:textId="1FF46511" w:rsidR="0DD8DE93" w:rsidRPr="00E42BA6" w:rsidRDefault="00292955" w:rsidP="00E42BA6">
      <w:pPr>
        <w:spacing w:before="240" w:after="240" w:line="360" w:lineRule="auto"/>
        <w:jc w:val="both"/>
        <w:rPr>
          <w:sz w:val="22"/>
          <w:szCs w:val="22"/>
        </w:rPr>
      </w:pPr>
      <w:r w:rsidRPr="00E42BA6">
        <w:rPr>
          <w:rFonts w:ascii="Arial" w:hAnsi="Arial" w:cs="Arial"/>
          <w:sz w:val="22"/>
          <w:szCs w:val="22"/>
        </w:rPr>
        <w:t>1.3</w:t>
      </w:r>
      <w:r w:rsidR="00690C46" w:rsidRPr="00E42BA6">
        <w:rPr>
          <w:rFonts w:ascii="Arial" w:hAnsi="Arial" w:cs="Arial"/>
          <w:sz w:val="22"/>
          <w:szCs w:val="22"/>
        </w:rPr>
        <w:t xml:space="preserve"> </w:t>
      </w:r>
      <w:r w:rsidR="0DD8DE93" w:rsidRPr="00E42BA6">
        <w:rPr>
          <w:rFonts w:ascii="Arial" w:hAnsi="Arial" w:cs="Arial"/>
          <w:sz w:val="22"/>
          <w:szCs w:val="22"/>
        </w:rPr>
        <w:t>Métodos tradicionales para medir el desplazamiento producido por la voladura</w:t>
      </w:r>
    </w:p>
    <w:p w14:paraId="4146945D" w14:textId="4197D522" w:rsidR="0DD8DE93" w:rsidRPr="00E42BA6" w:rsidRDefault="0DD8DE93" w:rsidP="00E42BA6">
      <w:pPr>
        <w:pStyle w:val="Prrafodelista"/>
        <w:numPr>
          <w:ilvl w:val="0"/>
          <w:numId w:val="1"/>
        </w:numPr>
        <w:spacing w:before="240" w:after="240" w:line="360" w:lineRule="auto"/>
        <w:jc w:val="both"/>
        <w:rPr>
          <w:rFonts w:ascii="Arial" w:hAnsi="Arial" w:cs="Arial"/>
          <w:sz w:val="22"/>
          <w:szCs w:val="22"/>
        </w:rPr>
      </w:pPr>
      <w:proofErr w:type="spellStart"/>
      <w:r w:rsidRPr="00E42BA6">
        <w:rPr>
          <w:rFonts w:ascii="Arial" w:hAnsi="Arial" w:cs="Arial"/>
          <w:sz w:val="22"/>
          <w:szCs w:val="22"/>
        </w:rPr>
        <w:t>Blast</w:t>
      </w:r>
      <w:proofErr w:type="spellEnd"/>
      <w:r w:rsidRPr="00E42BA6">
        <w:rPr>
          <w:rFonts w:ascii="Arial" w:hAnsi="Arial" w:cs="Arial"/>
          <w:sz w:val="22"/>
          <w:szCs w:val="22"/>
        </w:rPr>
        <w:t xml:space="preserve"> </w:t>
      </w:r>
      <w:proofErr w:type="spellStart"/>
      <w:r w:rsidRPr="00E42BA6">
        <w:rPr>
          <w:rFonts w:ascii="Arial" w:hAnsi="Arial" w:cs="Arial"/>
          <w:sz w:val="22"/>
          <w:szCs w:val="22"/>
        </w:rPr>
        <w:t>Movement</w:t>
      </w:r>
      <w:proofErr w:type="spellEnd"/>
      <w:r w:rsidRPr="00E42BA6">
        <w:rPr>
          <w:rFonts w:ascii="Arial" w:hAnsi="Arial" w:cs="Arial"/>
          <w:sz w:val="22"/>
          <w:szCs w:val="22"/>
        </w:rPr>
        <w:t xml:space="preserve"> </w:t>
      </w:r>
      <w:proofErr w:type="spellStart"/>
      <w:r w:rsidRPr="00E42BA6">
        <w:rPr>
          <w:rFonts w:ascii="Arial" w:hAnsi="Arial" w:cs="Arial"/>
          <w:sz w:val="22"/>
          <w:szCs w:val="22"/>
        </w:rPr>
        <w:t>Monitors</w:t>
      </w:r>
      <w:proofErr w:type="spellEnd"/>
      <w:r w:rsidRPr="00E42BA6">
        <w:rPr>
          <w:rFonts w:ascii="Arial" w:hAnsi="Arial" w:cs="Arial"/>
          <w:sz w:val="22"/>
          <w:szCs w:val="22"/>
        </w:rPr>
        <w:t xml:space="preserve"> (</w:t>
      </w:r>
      <w:proofErr w:type="spellStart"/>
      <w:r w:rsidRPr="00E42BA6">
        <w:rPr>
          <w:rFonts w:ascii="Arial" w:hAnsi="Arial" w:cs="Arial"/>
          <w:sz w:val="22"/>
          <w:szCs w:val="22"/>
        </w:rPr>
        <w:t>BMM´s</w:t>
      </w:r>
      <w:proofErr w:type="spellEnd"/>
      <w:r w:rsidRPr="00E42BA6">
        <w:rPr>
          <w:rFonts w:ascii="Arial" w:hAnsi="Arial" w:cs="Arial"/>
          <w:sz w:val="22"/>
          <w:szCs w:val="22"/>
        </w:rPr>
        <w:t>). Los BMM consisten en transmisores direccionales que se instalan en pozos específicos antes de la voladura y que luego se ubican bajo la superficie después de la voladura caminando sobre la pila de escombros con un detector especializado. Los BMM proporcionan vectores de desplazamiento conectando las ubicaciones de los transmisores antes y después de la voladura.</w:t>
      </w:r>
    </w:p>
    <w:p w14:paraId="7D00353E" w14:textId="667F104F" w:rsidR="0DD8DE93" w:rsidRPr="00E42BA6" w:rsidRDefault="0DD8DE93" w:rsidP="00E42BA6">
      <w:pPr>
        <w:pStyle w:val="Prrafodelista"/>
        <w:spacing w:before="240" w:after="240" w:line="360" w:lineRule="auto"/>
        <w:jc w:val="both"/>
        <w:rPr>
          <w:rFonts w:ascii="Arial" w:hAnsi="Arial" w:cs="Arial"/>
          <w:sz w:val="22"/>
          <w:szCs w:val="22"/>
        </w:rPr>
      </w:pPr>
    </w:p>
    <w:p w14:paraId="623A39CE" w14:textId="0C38E7E7" w:rsidR="0DD8DE93" w:rsidRPr="00E42BA6" w:rsidRDefault="0DD8DE93" w:rsidP="00E42BA6">
      <w:pPr>
        <w:pStyle w:val="Prrafodelista"/>
        <w:numPr>
          <w:ilvl w:val="0"/>
          <w:numId w:val="1"/>
        </w:numPr>
        <w:spacing w:before="240" w:after="240" w:line="360" w:lineRule="auto"/>
        <w:jc w:val="both"/>
        <w:rPr>
          <w:rFonts w:ascii="Arial" w:hAnsi="Arial" w:cs="Arial"/>
          <w:sz w:val="22"/>
          <w:szCs w:val="22"/>
        </w:rPr>
      </w:pPr>
      <w:r w:rsidRPr="00E42BA6">
        <w:rPr>
          <w:rFonts w:ascii="Arial" w:hAnsi="Arial" w:cs="Arial"/>
          <w:sz w:val="22"/>
          <w:szCs w:val="22"/>
        </w:rPr>
        <w:t>Tubos PVC. Se ingresan tubos de PVC en pozos exclusivamente perforados para este fin, con el objetivo de conocer la ubicación inicial y final de estos objetos.</w:t>
      </w:r>
    </w:p>
    <w:p w14:paraId="0BD25BD0" w14:textId="1F3B6F13" w:rsidR="0DD8DE93" w:rsidRPr="00E42BA6" w:rsidRDefault="0DD8DE93" w:rsidP="00E42BA6">
      <w:pPr>
        <w:pStyle w:val="Prrafodelista"/>
        <w:spacing w:before="240" w:after="240" w:line="360" w:lineRule="auto"/>
        <w:jc w:val="both"/>
        <w:rPr>
          <w:rFonts w:ascii="Arial" w:hAnsi="Arial" w:cs="Arial"/>
          <w:sz w:val="22"/>
          <w:szCs w:val="22"/>
        </w:rPr>
      </w:pPr>
    </w:p>
    <w:p w14:paraId="372B39CA" w14:textId="38D98AC9" w:rsidR="00552AB6" w:rsidRPr="00E42BA6" w:rsidRDefault="0DD8DE93" w:rsidP="00E42BA6">
      <w:pPr>
        <w:pStyle w:val="Prrafodelista"/>
        <w:numPr>
          <w:ilvl w:val="0"/>
          <w:numId w:val="1"/>
        </w:numPr>
        <w:spacing w:before="240" w:after="240" w:line="360" w:lineRule="auto"/>
        <w:jc w:val="both"/>
        <w:rPr>
          <w:rFonts w:ascii="Arial" w:hAnsi="Arial" w:cs="Arial"/>
          <w:sz w:val="22"/>
          <w:szCs w:val="22"/>
        </w:rPr>
      </w:pPr>
      <w:r w:rsidRPr="00E42BA6">
        <w:rPr>
          <w:rFonts w:ascii="Arial" w:hAnsi="Arial" w:cs="Arial"/>
          <w:sz w:val="22"/>
          <w:szCs w:val="22"/>
        </w:rPr>
        <w:t xml:space="preserve">Otros métodos. Otras alternativas utilizadas incluyen el uso de arena coloreada, </w:t>
      </w:r>
      <w:r w:rsidRPr="00E42BA6">
        <w:rPr>
          <w:rFonts w:ascii="Arial" w:hAnsi="Arial" w:cs="Arial"/>
          <w:sz w:val="22"/>
          <w:szCs w:val="22"/>
        </w:rPr>
        <w:lastRenderedPageBreak/>
        <w:t>cadenas, imanes. Estas metodologías suman la dificultad de tener que ubicar estos objetos previamente a que los equipos de excavación puedan comenzar con el minado.</w:t>
      </w:r>
    </w:p>
    <w:p w14:paraId="383DD543" w14:textId="40F5CDFD" w:rsidR="00552AB6" w:rsidRPr="00E42BA6" w:rsidRDefault="00552AB6" w:rsidP="00E42BA6">
      <w:pPr>
        <w:spacing w:before="240" w:after="240" w:line="360" w:lineRule="auto"/>
        <w:jc w:val="both"/>
        <w:rPr>
          <w:rFonts w:ascii="Arial" w:hAnsi="Arial" w:cs="Arial"/>
          <w:sz w:val="22"/>
          <w:szCs w:val="22"/>
        </w:rPr>
      </w:pPr>
      <w:r w:rsidRPr="00E42BA6">
        <w:rPr>
          <w:rFonts w:ascii="Arial" w:hAnsi="Arial" w:cs="Arial"/>
          <w:sz w:val="22"/>
          <w:szCs w:val="22"/>
        </w:rPr>
        <w:t>1.4 Métodos de Reconciliación</w:t>
      </w:r>
    </w:p>
    <w:p w14:paraId="3835C483" w14:textId="411236B1" w:rsidR="0DD8DE93"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Una de las técnicas más utilizadas en el rubro para detectar posibles desvíos entre lo planificado y lo ejecutado es la reconciliación, esta comparación de datos en las diferentes etapas del proceso puede realizarse mediante el uso de ratios o factores: F1, F2 y F3 (H M Parker, 2012)</w:t>
      </w:r>
    </w:p>
    <w:p w14:paraId="56A91693" w14:textId="08DDD128" w:rsidR="00441B34" w:rsidRPr="00E42BA6" w:rsidRDefault="0DD8DE93" w:rsidP="00E42BA6">
      <w:pPr>
        <w:spacing w:before="240" w:after="240" w:line="360" w:lineRule="auto"/>
        <w:jc w:val="both"/>
        <w:rPr>
          <w:rFonts w:ascii="Arial" w:hAnsi="Arial" w:cs="Arial"/>
          <w:sz w:val="22"/>
          <w:szCs w:val="22"/>
        </w:rPr>
      </w:pPr>
      <w:r w:rsidRPr="00E42BA6">
        <w:rPr>
          <w:rFonts w:ascii="Arial" w:hAnsi="Arial" w:cs="Arial"/>
          <w:sz w:val="22"/>
          <w:szCs w:val="22"/>
        </w:rPr>
        <w:t xml:space="preserve">El factor F2 es la comparación entre el tonelaje, la ley y el contenido metálico entregados por el control de </w:t>
      </w:r>
      <w:r w:rsidR="001B6A67" w:rsidRPr="00E42BA6">
        <w:rPr>
          <w:rFonts w:ascii="Arial" w:hAnsi="Arial" w:cs="Arial"/>
          <w:sz w:val="22"/>
          <w:szCs w:val="22"/>
        </w:rPr>
        <w:t>mineral</w:t>
      </w:r>
      <w:r w:rsidRPr="00E42BA6">
        <w:rPr>
          <w:rFonts w:ascii="Arial" w:hAnsi="Arial" w:cs="Arial"/>
          <w:sz w:val="22"/>
          <w:szCs w:val="22"/>
        </w:rPr>
        <w:t xml:space="preserve"> (modelo corto plazo) versus el tonelaje, la ley y el contenido metálico recibidos en la planta. En 2012, H</w:t>
      </w:r>
      <w:r w:rsidR="001B6A67" w:rsidRPr="00E42BA6">
        <w:rPr>
          <w:rFonts w:ascii="Arial" w:hAnsi="Arial" w:cs="Arial"/>
          <w:sz w:val="22"/>
          <w:szCs w:val="22"/>
        </w:rPr>
        <w:t>.</w:t>
      </w:r>
      <w:r w:rsidRPr="00E42BA6">
        <w:rPr>
          <w:rFonts w:ascii="Arial" w:hAnsi="Arial" w:cs="Arial"/>
          <w:sz w:val="22"/>
          <w:szCs w:val="22"/>
        </w:rPr>
        <w:t>M</w:t>
      </w:r>
      <w:r w:rsidR="001B6A67" w:rsidRPr="00E42BA6">
        <w:rPr>
          <w:rFonts w:ascii="Arial" w:hAnsi="Arial" w:cs="Arial"/>
          <w:sz w:val="22"/>
          <w:szCs w:val="22"/>
        </w:rPr>
        <w:t>.</w:t>
      </w:r>
      <w:r w:rsidRPr="00E42BA6">
        <w:rPr>
          <w:rFonts w:ascii="Arial" w:hAnsi="Arial" w:cs="Arial"/>
          <w:sz w:val="22"/>
          <w:szCs w:val="22"/>
        </w:rPr>
        <w:t xml:space="preserve"> Parker señaló que “La reconciliación debe ser una parte implícita del proceso minero, y los objetivos de reconciliación deben ser un indicador clave de rendimiento (KPI) para minas bien gestionadas.”</w:t>
      </w:r>
    </w:p>
    <w:p w14:paraId="2FD3ED7B" w14:textId="2D5D7C63" w:rsidR="00441B34" w:rsidRPr="00E42BA6" w:rsidRDefault="00F7409F" w:rsidP="00E42BA6">
      <w:pPr>
        <w:spacing w:line="360" w:lineRule="auto"/>
        <w:jc w:val="both"/>
        <w:rPr>
          <w:rFonts w:ascii="Arial" w:hAnsi="Arial" w:cs="Arial"/>
          <w:b/>
          <w:bCs/>
          <w:sz w:val="22"/>
          <w:szCs w:val="22"/>
        </w:rPr>
      </w:pPr>
      <w:r w:rsidRPr="00E42BA6">
        <w:rPr>
          <w:rFonts w:ascii="Arial" w:hAnsi="Arial" w:cs="Arial"/>
          <w:b/>
          <w:bCs/>
          <w:sz w:val="22"/>
          <w:szCs w:val="22"/>
        </w:rPr>
        <w:t xml:space="preserve">2. </w:t>
      </w:r>
      <w:r w:rsidR="00EC5D28" w:rsidRPr="00E42BA6">
        <w:rPr>
          <w:rFonts w:ascii="Arial" w:hAnsi="Arial" w:cs="Arial"/>
          <w:b/>
          <w:bCs/>
          <w:sz w:val="22"/>
          <w:szCs w:val="22"/>
        </w:rPr>
        <w:t>Objetivos</w:t>
      </w:r>
      <w:r w:rsidR="005A352B" w:rsidRPr="00E42BA6">
        <w:rPr>
          <w:rFonts w:ascii="Arial" w:hAnsi="Arial" w:cs="Arial"/>
          <w:b/>
          <w:bCs/>
          <w:color w:val="808080"/>
          <w:sz w:val="22"/>
          <w:szCs w:val="22"/>
        </w:rPr>
        <w:t xml:space="preserve"> </w:t>
      </w:r>
    </w:p>
    <w:p w14:paraId="704A469F" w14:textId="77777777" w:rsidR="00441B34" w:rsidRPr="00E42BA6" w:rsidRDefault="00441B34" w:rsidP="00E42BA6">
      <w:pPr>
        <w:spacing w:line="360" w:lineRule="auto"/>
        <w:jc w:val="both"/>
        <w:rPr>
          <w:rFonts w:ascii="Arial" w:hAnsi="Arial" w:cs="Arial"/>
          <w:b/>
          <w:bCs/>
          <w:sz w:val="22"/>
          <w:szCs w:val="22"/>
        </w:rPr>
      </w:pPr>
    </w:p>
    <w:p w14:paraId="5FD23B15" w14:textId="768B4C27" w:rsidR="0DD8DE93" w:rsidRPr="00E42BA6" w:rsidRDefault="0DD8DE93" w:rsidP="00E42BA6">
      <w:pPr>
        <w:spacing w:line="360" w:lineRule="auto"/>
        <w:jc w:val="both"/>
        <w:rPr>
          <w:rFonts w:ascii="Arial" w:hAnsi="Arial" w:cs="Arial"/>
          <w:sz w:val="22"/>
          <w:szCs w:val="22"/>
        </w:rPr>
      </w:pPr>
      <w:r w:rsidRPr="00E42BA6">
        <w:rPr>
          <w:rFonts w:ascii="Arial" w:hAnsi="Arial" w:cs="Arial"/>
          <w:sz w:val="22"/>
          <w:szCs w:val="22"/>
        </w:rPr>
        <w:t>Describir la reducción de dilución alcanzada en la operación minera Marcobre mediante la implementación de una tecnología que modela el desplazamiento de la voladura.</w:t>
      </w:r>
    </w:p>
    <w:p w14:paraId="7CC9AF28" w14:textId="54855630" w:rsidR="0DD8DE93" w:rsidRPr="00E42BA6" w:rsidRDefault="0DD8DE93" w:rsidP="00E42BA6">
      <w:pPr>
        <w:spacing w:line="360" w:lineRule="auto"/>
        <w:jc w:val="both"/>
        <w:rPr>
          <w:rFonts w:ascii="Arial" w:hAnsi="Arial" w:cs="Arial"/>
          <w:sz w:val="22"/>
          <w:szCs w:val="22"/>
        </w:rPr>
      </w:pPr>
    </w:p>
    <w:p w14:paraId="25800079" w14:textId="77B1416E" w:rsidR="007D2A73" w:rsidRPr="00E42BA6" w:rsidRDefault="007D2A73" w:rsidP="00E42BA6">
      <w:pPr>
        <w:spacing w:line="360" w:lineRule="auto"/>
        <w:jc w:val="both"/>
        <w:rPr>
          <w:rFonts w:ascii="Arial" w:hAnsi="Arial" w:cs="Arial"/>
          <w:b/>
          <w:bCs/>
          <w:iCs/>
          <w:sz w:val="22"/>
          <w:szCs w:val="22"/>
        </w:rPr>
      </w:pPr>
      <w:r w:rsidRPr="00E42BA6">
        <w:rPr>
          <w:rFonts w:ascii="Arial" w:hAnsi="Arial" w:cs="Arial"/>
          <w:b/>
          <w:bCs/>
          <w:sz w:val="22"/>
          <w:szCs w:val="22"/>
        </w:rPr>
        <w:t xml:space="preserve">3. </w:t>
      </w:r>
      <w:r w:rsidR="000270E6" w:rsidRPr="00E42BA6">
        <w:rPr>
          <w:rFonts w:ascii="Arial" w:hAnsi="Arial" w:cs="Arial"/>
          <w:b/>
          <w:bCs/>
          <w:iCs/>
          <w:sz w:val="22"/>
          <w:szCs w:val="22"/>
        </w:rPr>
        <w:t>Compilaci</w:t>
      </w:r>
      <w:r w:rsidR="008764A7" w:rsidRPr="00E42BA6">
        <w:rPr>
          <w:rFonts w:ascii="Arial" w:hAnsi="Arial" w:cs="Arial"/>
          <w:b/>
          <w:bCs/>
          <w:iCs/>
          <w:sz w:val="22"/>
          <w:szCs w:val="22"/>
        </w:rPr>
        <w:t>ó</w:t>
      </w:r>
      <w:r w:rsidR="000270E6" w:rsidRPr="00E42BA6">
        <w:rPr>
          <w:rFonts w:ascii="Arial" w:hAnsi="Arial" w:cs="Arial"/>
          <w:b/>
          <w:bCs/>
          <w:iCs/>
          <w:sz w:val="22"/>
          <w:szCs w:val="22"/>
        </w:rPr>
        <w:t>n de Datos y Desarrollo del Trabajo</w:t>
      </w:r>
    </w:p>
    <w:p w14:paraId="6024BF57" w14:textId="77777777" w:rsidR="001D2DE6" w:rsidRPr="00E42BA6" w:rsidRDefault="001D2DE6" w:rsidP="00E42BA6">
      <w:pPr>
        <w:spacing w:line="360" w:lineRule="auto"/>
        <w:jc w:val="both"/>
        <w:rPr>
          <w:rFonts w:ascii="Arial" w:hAnsi="Arial" w:cs="Arial"/>
          <w:b/>
          <w:bCs/>
          <w:iCs/>
          <w:sz w:val="22"/>
          <w:szCs w:val="22"/>
        </w:rPr>
      </w:pPr>
    </w:p>
    <w:p w14:paraId="6A5F1D2F" w14:textId="77777777" w:rsidR="001D2DE6" w:rsidRPr="00E42BA6" w:rsidRDefault="001D2DE6" w:rsidP="00E42BA6">
      <w:pPr>
        <w:spacing w:line="360" w:lineRule="auto"/>
        <w:jc w:val="both"/>
        <w:rPr>
          <w:rFonts w:ascii="Arial" w:hAnsi="Arial" w:cs="Arial"/>
          <w:b/>
          <w:bCs/>
          <w:sz w:val="22"/>
          <w:szCs w:val="22"/>
        </w:rPr>
      </w:pPr>
    </w:p>
    <w:p w14:paraId="3A9EE638" w14:textId="258F8495" w:rsidR="007D2A73" w:rsidRPr="00E42BA6" w:rsidRDefault="0035313B" w:rsidP="00E42BA6">
      <w:pPr>
        <w:spacing w:line="360" w:lineRule="auto"/>
        <w:jc w:val="both"/>
        <w:rPr>
          <w:rFonts w:ascii="Arial" w:hAnsi="Arial" w:cs="Arial"/>
          <w:b/>
          <w:bCs/>
          <w:sz w:val="22"/>
          <w:szCs w:val="22"/>
        </w:rPr>
      </w:pPr>
      <w:r w:rsidRPr="00E42BA6">
        <w:rPr>
          <w:rFonts w:ascii="Arial" w:hAnsi="Arial" w:cs="Arial"/>
          <w:b/>
          <w:bCs/>
          <w:noProof/>
          <w:sz w:val="22"/>
          <w:szCs w:val="22"/>
        </w:rPr>
        <w:drawing>
          <wp:inline distT="0" distB="0" distL="0" distR="0" wp14:anchorId="0491E71B" wp14:editId="196BCB13">
            <wp:extent cx="3204000" cy="3275338"/>
            <wp:effectExtent l="0" t="0" r="0" b="0"/>
            <wp:docPr id="1007865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000" cy="3275338"/>
                    </a:xfrm>
                    <a:prstGeom prst="rect">
                      <a:avLst/>
                    </a:prstGeom>
                    <a:noFill/>
                  </pic:spPr>
                </pic:pic>
              </a:graphicData>
            </a:graphic>
          </wp:inline>
        </w:drawing>
      </w:r>
    </w:p>
    <w:p w14:paraId="656F1500" w14:textId="5E7E894A" w:rsidR="007D2A73" w:rsidRPr="00E42BA6" w:rsidRDefault="00416F12" w:rsidP="00E42BA6">
      <w:pPr>
        <w:spacing w:line="360" w:lineRule="auto"/>
        <w:ind w:firstLine="142"/>
        <w:jc w:val="both"/>
        <w:rPr>
          <w:rFonts w:ascii="Arial" w:hAnsi="Arial" w:cs="Arial"/>
          <w:bCs/>
          <w:sz w:val="22"/>
          <w:szCs w:val="22"/>
        </w:rPr>
      </w:pPr>
      <w:r w:rsidRPr="00E42BA6">
        <w:rPr>
          <w:rFonts w:ascii="Arial" w:hAnsi="Arial" w:cs="Arial"/>
          <w:bCs/>
          <w:noProof/>
          <w:sz w:val="22"/>
          <w:szCs w:val="22"/>
        </w:rPr>
        <w:drawing>
          <wp:inline distT="0" distB="0" distL="0" distR="0" wp14:anchorId="6F2BB8ED" wp14:editId="23D3B689">
            <wp:extent cx="3204000" cy="2408279"/>
            <wp:effectExtent l="0" t="0" r="0" b="0"/>
            <wp:docPr id="5093032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4000" cy="2408279"/>
                    </a:xfrm>
                    <a:prstGeom prst="rect">
                      <a:avLst/>
                    </a:prstGeom>
                    <a:noFill/>
                  </pic:spPr>
                </pic:pic>
              </a:graphicData>
            </a:graphic>
          </wp:inline>
        </w:drawing>
      </w:r>
    </w:p>
    <w:p w14:paraId="5331E304" w14:textId="77777777" w:rsidR="00416F12" w:rsidRPr="00E42BA6" w:rsidRDefault="00416F12" w:rsidP="00E42BA6">
      <w:pPr>
        <w:spacing w:line="360" w:lineRule="auto"/>
        <w:ind w:firstLine="142"/>
        <w:jc w:val="both"/>
        <w:rPr>
          <w:rFonts w:ascii="Arial" w:hAnsi="Arial" w:cs="Arial"/>
          <w:bCs/>
          <w:sz w:val="22"/>
          <w:szCs w:val="22"/>
        </w:rPr>
      </w:pPr>
    </w:p>
    <w:p w14:paraId="73AF1B51" w14:textId="77777777" w:rsidR="00416F12" w:rsidRPr="00E42BA6" w:rsidRDefault="00416F12" w:rsidP="00E42BA6">
      <w:pPr>
        <w:spacing w:line="360" w:lineRule="auto"/>
        <w:ind w:firstLine="142"/>
        <w:jc w:val="both"/>
        <w:rPr>
          <w:rFonts w:ascii="Arial" w:hAnsi="Arial" w:cs="Arial"/>
          <w:bCs/>
          <w:sz w:val="22"/>
          <w:szCs w:val="22"/>
        </w:rPr>
      </w:pPr>
    </w:p>
    <w:p w14:paraId="71857D75" w14:textId="271D6741" w:rsidR="00E77D13" w:rsidRPr="00E42BA6" w:rsidRDefault="00E77D13" w:rsidP="00E42BA6">
      <w:pPr>
        <w:spacing w:line="360" w:lineRule="auto"/>
        <w:jc w:val="both"/>
        <w:rPr>
          <w:rFonts w:ascii="Arial" w:hAnsi="Arial" w:cs="Arial"/>
          <w:b/>
          <w:bCs/>
          <w:sz w:val="22"/>
          <w:szCs w:val="22"/>
        </w:rPr>
      </w:pPr>
      <w:r w:rsidRPr="00E42BA6">
        <w:rPr>
          <w:rFonts w:ascii="Arial" w:hAnsi="Arial" w:cs="Arial"/>
          <w:b/>
          <w:bCs/>
          <w:sz w:val="22"/>
          <w:szCs w:val="22"/>
        </w:rPr>
        <w:t xml:space="preserve">4. </w:t>
      </w:r>
      <w:r w:rsidR="00EC5D28" w:rsidRPr="00E42BA6">
        <w:rPr>
          <w:rFonts w:ascii="Arial" w:hAnsi="Arial" w:cs="Arial"/>
          <w:b/>
          <w:bCs/>
          <w:sz w:val="22"/>
          <w:szCs w:val="22"/>
        </w:rPr>
        <w:t>Presentación y discusión de resultados</w:t>
      </w:r>
      <w:r w:rsidR="005A352B" w:rsidRPr="00E42BA6">
        <w:rPr>
          <w:rFonts w:ascii="Arial" w:hAnsi="Arial" w:cs="Arial"/>
          <w:b/>
          <w:bCs/>
          <w:color w:val="808080"/>
          <w:sz w:val="22"/>
          <w:szCs w:val="22"/>
        </w:rPr>
        <w:t xml:space="preserve"> </w:t>
      </w:r>
    </w:p>
    <w:p w14:paraId="292AF741" w14:textId="77777777" w:rsidR="00E77D13" w:rsidRPr="00E42BA6" w:rsidRDefault="00E77D13" w:rsidP="00E42BA6">
      <w:pPr>
        <w:spacing w:line="360" w:lineRule="auto"/>
        <w:jc w:val="both"/>
        <w:rPr>
          <w:rFonts w:ascii="Arial" w:hAnsi="Arial" w:cs="Arial"/>
          <w:b/>
          <w:bCs/>
          <w:sz w:val="22"/>
          <w:szCs w:val="22"/>
        </w:rPr>
      </w:pPr>
    </w:p>
    <w:p w14:paraId="35D4D405" w14:textId="27680FA2" w:rsidR="00E77D13" w:rsidRPr="00E42BA6" w:rsidRDefault="00E77D13" w:rsidP="00E42BA6">
      <w:pPr>
        <w:spacing w:line="360" w:lineRule="auto"/>
        <w:jc w:val="both"/>
        <w:rPr>
          <w:rFonts w:ascii="Arial" w:hAnsi="Arial" w:cs="Arial"/>
          <w:bCs/>
          <w:sz w:val="22"/>
          <w:szCs w:val="22"/>
        </w:rPr>
      </w:pPr>
      <w:r w:rsidRPr="00E42BA6">
        <w:rPr>
          <w:rFonts w:ascii="Arial" w:hAnsi="Arial" w:cs="Arial"/>
          <w:bCs/>
          <w:sz w:val="22"/>
          <w:szCs w:val="22"/>
        </w:rPr>
        <w:t>.</w:t>
      </w:r>
    </w:p>
    <w:p w14:paraId="40D68155" w14:textId="77777777" w:rsidR="00E77D13" w:rsidRPr="00E42BA6" w:rsidRDefault="00E77D13" w:rsidP="00E42BA6">
      <w:pPr>
        <w:spacing w:line="360" w:lineRule="auto"/>
        <w:ind w:firstLine="142"/>
        <w:jc w:val="both"/>
        <w:rPr>
          <w:rFonts w:ascii="Arial" w:hAnsi="Arial" w:cs="Arial"/>
          <w:bCs/>
          <w:sz w:val="22"/>
          <w:szCs w:val="22"/>
        </w:rPr>
      </w:pPr>
    </w:p>
    <w:p w14:paraId="002C7898" w14:textId="77777777" w:rsidR="00E77D13" w:rsidRPr="00E42BA6" w:rsidRDefault="00E77D13" w:rsidP="00E42BA6">
      <w:pPr>
        <w:spacing w:line="360" w:lineRule="auto"/>
        <w:ind w:firstLine="142"/>
        <w:jc w:val="both"/>
        <w:rPr>
          <w:rFonts w:ascii="Arial" w:hAnsi="Arial" w:cs="Arial"/>
          <w:bCs/>
          <w:sz w:val="22"/>
          <w:szCs w:val="22"/>
        </w:rPr>
      </w:pPr>
    </w:p>
    <w:p w14:paraId="451B031C" w14:textId="0EE3E4A0" w:rsidR="008C3927" w:rsidRPr="00E42BA6" w:rsidRDefault="00F857C3" w:rsidP="00E42BA6">
      <w:pPr>
        <w:spacing w:line="360" w:lineRule="auto"/>
        <w:jc w:val="both"/>
        <w:rPr>
          <w:rFonts w:ascii="Arial" w:hAnsi="Arial" w:cs="Arial"/>
          <w:b/>
          <w:bCs/>
          <w:sz w:val="22"/>
          <w:szCs w:val="22"/>
        </w:rPr>
      </w:pPr>
      <w:r w:rsidRPr="00E42BA6">
        <w:rPr>
          <w:rFonts w:ascii="Arial" w:hAnsi="Arial" w:cs="Arial"/>
          <w:b/>
          <w:bCs/>
          <w:sz w:val="22"/>
          <w:szCs w:val="22"/>
        </w:rPr>
        <w:t xml:space="preserve">5. </w:t>
      </w:r>
      <w:r w:rsidR="00EC5D28" w:rsidRPr="00E42BA6">
        <w:rPr>
          <w:rFonts w:ascii="Arial" w:hAnsi="Arial" w:cs="Arial"/>
          <w:b/>
          <w:bCs/>
          <w:sz w:val="22"/>
          <w:szCs w:val="22"/>
        </w:rPr>
        <w:t>Conclusiones</w:t>
      </w:r>
    </w:p>
    <w:p w14:paraId="3853233D" w14:textId="77777777" w:rsidR="008C3927" w:rsidRPr="00E42BA6" w:rsidRDefault="008C3927" w:rsidP="00E42BA6">
      <w:pPr>
        <w:spacing w:line="360" w:lineRule="auto"/>
        <w:jc w:val="both"/>
        <w:rPr>
          <w:rFonts w:ascii="Arial" w:hAnsi="Arial" w:cs="Arial"/>
          <w:b/>
          <w:bCs/>
          <w:sz w:val="22"/>
          <w:szCs w:val="22"/>
        </w:rPr>
      </w:pPr>
    </w:p>
    <w:p w14:paraId="0573C1E6" w14:textId="6B9E67D6" w:rsidR="002D1C36" w:rsidRPr="00E42BA6" w:rsidRDefault="002D1C36" w:rsidP="00E42BA6">
      <w:pPr>
        <w:spacing w:line="360" w:lineRule="auto"/>
        <w:jc w:val="both"/>
        <w:rPr>
          <w:rFonts w:ascii="Arial" w:hAnsi="Arial" w:cs="Arial"/>
          <w:bCs/>
          <w:sz w:val="22"/>
          <w:szCs w:val="22"/>
        </w:rPr>
      </w:pPr>
      <w:r w:rsidRPr="00E42BA6">
        <w:rPr>
          <w:rFonts w:ascii="Arial" w:hAnsi="Arial" w:cs="Arial"/>
          <w:bCs/>
          <w:sz w:val="22"/>
          <w:szCs w:val="22"/>
        </w:rPr>
        <w:t xml:space="preserve">Conclusiones </w:t>
      </w:r>
    </w:p>
    <w:p w14:paraId="640BD6D5" w14:textId="77777777" w:rsidR="00975533" w:rsidRPr="00E42BA6" w:rsidRDefault="00975533" w:rsidP="00E42BA6">
      <w:pPr>
        <w:spacing w:line="360" w:lineRule="auto"/>
        <w:jc w:val="both"/>
        <w:rPr>
          <w:rFonts w:ascii="Arial" w:hAnsi="Arial" w:cs="Arial"/>
          <w:b/>
          <w:bCs/>
          <w:sz w:val="22"/>
          <w:szCs w:val="22"/>
        </w:rPr>
      </w:pPr>
    </w:p>
    <w:p w14:paraId="0346E950" w14:textId="14486394" w:rsidR="006178C0" w:rsidRPr="00E42BA6" w:rsidRDefault="008E1054" w:rsidP="00E42BA6">
      <w:pPr>
        <w:spacing w:line="360" w:lineRule="auto"/>
        <w:jc w:val="both"/>
        <w:rPr>
          <w:rFonts w:ascii="Arial" w:hAnsi="Arial" w:cs="Arial"/>
          <w:b/>
          <w:bCs/>
          <w:sz w:val="22"/>
          <w:szCs w:val="22"/>
        </w:rPr>
      </w:pPr>
      <w:r w:rsidRPr="00E42BA6">
        <w:rPr>
          <w:rFonts w:ascii="Arial" w:hAnsi="Arial" w:cs="Arial"/>
          <w:b/>
          <w:bCs/>
          <w:sz w:val="22"/>
          <w:szCs w:val="22"/>
        </w:rPr>
        <w:t>6</w:t>
      </w:r>
      <w:r w:rsidR="00EC5D28" w:rsidRPr="00E42BA6">
        <w:rPr>
          <w:rFonts w:ascii="Arial" w:hAnsi="Arial" w:cs="Arial"/>
          <w:b/>
          <w:bCs/>
          <w:sz w:val="22"/>
          <w:szCs w:val="22"/>
        </w:rPr>
        <w:t xml:space="preserve">. </w:t>
      </w:r>
      <w:r w:rsidR="00180629" w:rsidRPr="00E42BA6">
        <w:rPr>
          <w:rFonts w:ascii="Arial" w:hAnsi="Arial" w:cs="Arial"/>
          <w:b/>
          <w:bCs/>
          <w:sz w:val="22"/>
          <w:szCs w:val="22"/>
        </w:rPr>
        <w:t>Referencias bibliográficas</w:t>
      </w:r>
    </w:p>
    <w:p w14:paraId="52714C79" w14:textId="77777777" w:rsidR="006178C0" w:rsidRPr="00E42BA6" w:rsidRDefault="006178C0" w:rsidP="00E42BA6">
      <w:pPr>
        <w:spacing w:line="360" w:lineRule="auto"/>
        <w:jc w:val="both"/>
        <w:rPr>
          <w:rFonts w:ascii="Arial" w:hAnsi="Arial" w:cs="Arial"/>
          <w:b/>
          <w:bCs/>
          <w:sz w:val="22"/>
          <w:szCs w:val="22"/>
        </w:rPr>
      </w:pPr>
    </w:p>
    <w:p w14:paraId="70C59958" w14:textId="094D0249" w:rsidR="007F5F63" w:rsidRPr="00E42BA6" w:rsidRDefault="0DD8DE93" w:rsidP="00E42BA6">
      <w:pPr>
        <w:spacing w:line="360" w:lineRule="auto"/>
        <w:ind w:left="142" w:hanging="142"/>
        <w:jc w:val="both"/>
        <w:rPr>
          <w:rFonts w:ascii="Arial" w:hAnsi="Arial" w:cs="Arial"/>
          <w:sz w:val="22"/>
          <w:szCs w:val="22"/>
        </w:rPr>
      </w:pPr>
      <w:proofErr w:type="spellStart"/>
      <w:r w:rsidRPr="00E42BA6">
        <w:rPr>
          <w:rFonts w:ascii="Arial" w:hAnsi="Arial" w:cs="Arial"/>
          <w:sz w:val="22"/>
          <w:szCs w:val="22"/>
        </w:rPr>
        <w:lastRenderedPageBreak/>
        <w:t>Poupeau</w:t>
      </w:r>
      <w:proofErr w:type="spellEnd"/>
      <w:r w:rsidRPr="00E42BA6">
        <w:rPr>
          <w:rFonts w:ascii="Arial" w:hAnsi="Arial" w:cs="Arial"/>
          <w:sz w:val="22"/>
          <w:szCs w:val="22"/>
        </w:rPr>
        <w:t xml:space="preserve">, B., Hunt, W., La Rosa, D. 2019. </w:t>
      </w:r>
      <w:proofErr w:type="spellStart"/>
      <w:r w:rsidRPr="00E42BA6">
        <w:rPr>
          <w:rFonts w:ascii="Arial" w:hAnsi="Arial" w:cs="Arial"/>
          <w:sz w:val="22"/>
          <w:szCs w:val="22"/>
        </w:rPr>
        <w:t>Blast</w:t>
      </w:r>
      <w:proofErr w:type="spellEnd"/>
      <w:r w:rsidRPr="00E42BA6">
        <w:rPr>
          <w:rFonts w:ascii="Arial" w:hAnsi="Arial" w:cs="Arial"/>
          <w:sz w:val="22"/>
          <w:szCs w:val="22"/>
        </w:rPr>
        <w:t xml:space="preserve"> </w:t>
      </w:r>
      <w:proofErr w:type="spellStart"/>
      <w:r w:rsidRPr="00E42BA6">
        <w:rPr>
          <w:rFonts w:ascii="Arial" w:hAnsi="Arial" w:cs="Arial"/>
          <w:sz w:val="22"/>
          <w:szCs w:val="22"/>
        </w:rPr>
        <w:t>induced</w:t>
      </w:r>
      <w:proofErr w:type="spellEnd"/>
      <w:r w:rsidRPr="00E42BA6">
        <w:rPr>
          <w:rFonts w:ascii="Arial" w:hAnsi="Arial" w:cs="Arial"/>
          <w:sz w:val="22"/>
          <w:szCs w:val="22"/>
        </w:rPr>
        <w:t xml:space="preserve"> Ore </w:t>
      </w:r>
      <w:proofErr w:type="spellStart"/>
      <w:r w:rsidRPr="00E42BA6">
        <w:rPr>
          <w:rFonts w:ascii="Arial" w:hAnsi="Arial" w:cs="Arial"/>
          <w:sz w:val="22"/>
          <w:szCs w:val="22"/>
        </w:rPr>
        <w:t>Movement</w:t>
      </w:r>
      <w:proofErr w:type="spellEnd"/>
      <w:r w:rsidRPr="00E42BA6">
        <w:rPr>
          <w:rFonts w:ascii="Arial" w:hAnsi="Arial" w:cs="Arial"/>
          <w:sz w:val="22"/>
          <w:szCs w:val="22"/>
        </w:rPr>
        <w:t xml:space="preserve">: </w:t>
      </w:r>
      <w:proofErr w:type="spellStart"/>
      <w:r w:rsidRPr="00E42BA6">
        <w:rPr>
          <w:rFonts w:ascii="Arial" w:hAnsi="Arial" w:cs="Arial"/>
          <w:sz w:val="22"/>
          <w:szCs w:val="22"/>
        </w:rPr>
        <w:t>The</w:t>
      </w:r>
      <w:proofErr w:type="spellEnd"/>
      <w:r w:rsidRPr="00E42BA6">
        <w:rPr>
          <w:rFonts w:ascii="Arial" w:hAnsi="Arial" w:cs="Arial"/>
          <w:sz w:val="22"/>
          <w:szCs w:val="22"/>
        </w:rPr>
        <w:t xml:space="preserve"> </w:t>
      </w:r>
      <w:proofErr w:type="spellStart"/>
      <w:r w:rsidRPr="00E42BA6">
        <w:rPr>
          <w:rFonts w:ascii="Arial" w:hAnsi="Arial" w:cs="Arial"/>
          <w:sz w:val="22"/>
          <w:szCs w:val="22"/>
        </w:rPr>
        <w:t>missing</w:t>
      </w:r>
      <w:proofErr w:type="spellEnd"/>
      <w:r w:rsidRPr="00E42BA6">
        <w:rPr>
          <w:rFonts w:ascii="Arial" w:hAnsi="Arial" w:cs="Arial"/>
          <w:sz w:val="22"/>
          <w:szCs w:val="22"/>
        </w:rPr>
        <w:t xml:space="preserve"> step in </w:t>
      </w:r>
      <w:proofErr w:type="spellStart"/>
      <w:r w:rsidRPr="00E42BA6">
        <w:rPr>
          <w:rFonts w:ascii="Arial" w:hAnsi="Arial" w:cs="Arial"/>
          <w:sz w:val="22"/>
          <w:szCs w:val="22"/>
        </w:rPr>
        <w:t>achieving</w:t>
      </w:r>
      <w:proofErr w:type="spellEnd"/>
      <w:r w:rsidRPr="00E42BA6">
        <w:rPr>
          <w:rFonts w:ascii="Arial" w:hAnsi="Arial" w:cs="Arial"/>
          <w:sz w:val="22"/>
          <w:szCs w:val="22"/>
        </w:rPr>
        <w:t xml:space="preserve"> </w:t>
      </w:r>
      <w:proofErr w:type="spellStart"/>
      <w:r w:rsidRPr="00E42BA6">
        <w:rPr>
          <w:rFonts w:ascii="Arial" w:hAnsi="Arial" w:cs="Arial"/>
          <w:sz w:val="22"/>
          <w:szCs w:val="22"/>
        </w:rPr>
        <w:t>realistic</w:t>
      </w:r>
      <w:proofErr w:type="spellEnd"/>
      <w:r w:rsidRPr="00E42BA6">
        <w:rPr>
          <w:rFonts w:ascii="Arial" w:hAnsi="Arial" w:cs="Arial"/>
          <w:sz w:val="22"/>
          <w:szCs w:val="22"/>
        </w:rPr>
        <w:t xml:space="preserve"> </w:t>
      </w:r>
      <w:proofErr w:type="spellStart"/>
      <w:r w:rsidRPr="00E42BA6">
        <w:rPr>
          <w:rFonts w:ascii="Arial" w:hAnsi="Arial" w:cs="Arial"/>
          <w:sz w:val="22"/>
          <w:szCs w:val="22"/>
        </w:rPr>
        <w:t>reconciliations</w:t>
      </w:r>
      <w:proofErr w:type="spellEnd"/>
      <w:r w:rsidRPr="00E42BA6">
        <w:rPr>
          <w:rFonts w:ascii="Arial" w:hAnsi="Arial" w:cs="Arial"/>
          <w:sz w:val="22"/>
          <w:szCs w:val="22"/>
        </w:rPr>
        <w:t xml:space="preserve">. In </w:t>
      </w:r>
      <w:proofErr w:type="spellStart"/>
      <w:r w:rsidRPr="00E42BA6">
        <w:rPr>
          <w:rFonts w:ascii="Arial" w:hAnsi="Arial" w:cs="Arial"/>
          <w:sz w:val="22"/>
          <w:szCs w:val="22"/>
        </w:rPr>
        <w:t>Proceedings</w:t>
      </w:r>
      <w:proofErr w:type="spellEnd"/>
      <w:r w:rsidRPr="00E42BA6">
        <w:rPr>
          <w:rFonts w:ascii="Arial" w:hAnsi="Arial" w:cs="Arial"/>
          <w:sz w:val="22"/>
          <w:szCs w:val="22"/>
        </w:rPr>
        <w:t xml:space="preserve"> </w:t>
      </w:r>
      <w:proofErr w:type="spellStart"/>
      <w:r w:rsidRPr="00E42BA6">
        <w:rPr>
          <w:rFonts w:ascii="Arial" w:hAnsi="Arial" w:cs="Arial"/>
          <w:sz w:val="22"/>
          <w:szCs w:val="22"/>
        </w:rPr>
        <w:t>Mining</w:t>
      </w:r>
      <w:proofErr w:type="spellEnd"/>
      <w:r w:rsidRPr="00E42BA6">
        <w:rPr>
          <w:rFonts w:ascii="Arial" w:hAnsi="Arial" w:cs="Arial"/>
          <w:sz w:val="22"/>
          <w:szCs w:val="22"/>
        </w:rPr>
        <w:t xml:space="preserve"> </w:t>
      </w:r>
      <w:proofErr w:type="spellStart"/>
      <w:r w:rsidRPr="00E42BA6">
        <w:rPr>
          <w:rFonts w:ascii="Arial" w:hAnsi="Arial" w:cs="Arial"/>
          <w:sz w:val="22"/>
          <w:szCs w:val="22"/>
        </w:rPr>
        <w:t>Geology</w:t>
      </w:r>
      <w:proofErr w:type="spellEnd"/>
      <w:r w:rsidRPr="00E42BA6">
        <w:rPr>
          <w:rFonts w:ascii="Arial" w:hAnsi="Arial" w:cs="Arial"/>
          <w:sz w:val="22"/>
          <w:szCs w:val="22"/>
        </w:rPr>
        <w:t xml:space="preserve"> 2019, </w:t>
      </w:r>
      <w:proofErr w:type="spellStart"/>
      <w:r w:rsidRPr="00E42BA6">
        <w:rPr>
          <w:rFonts w:ascii="Arial" w:hAnsi="Arial" w:cs="Arial"/>
          <w:sz w:val="22"/>
          <w:szCs w:val="22"/>
        </w:rPr>
        <w:t>pp</w:t>
      </w:r>
      <w:proofErr w:type="spellEnd"/>
      <w:r w:rsidRPr="00E42BA6">
        <w:rPr>
          <w:rFonts w:ascii="Arial" w:hAnsi="Arial" w:cs="Arial"/>
          <w:sz w:val="22"/>
          <w:szCs w:val="22"/>
        </w:rPr>
        <w:t xml:space="preserve"> 309–327 (</w:t>
      </w:r>
      <w:proofErr w:type="spellStart"/>
      <w:r w:rsidRPr="00E42BA6">
        <w:rPr>
          <w:rFonts w:ascii="Arial" w:hAnsi="Arial" w:cs="Arial"/>
          <w:sz w:val="22"/>
          <w:szCs w:val="22"/>
        </w:rPr>
        <w:t>The</w:t>
      </w:r>
      <w:proofErr w:type="spellEnd"/>
      <w:r w:rsidRPr="00E42BA6">
        <w:rPr>
          <w:rFonts w:ascii="Arial" w:hAnsi="Arial" w:cs="Arial"/>
          <w:sz w:val="22"/>
          <w:szCs w:val="22"/>
        </w:rPr>
        <w:t xml:space="preserve"> </w:t>
      </w:r>
      <w:proofErr w:type="spellStart"/>
      <w:r w:rsidRPr="00E42BA6">
        <w:rPr>
          <w:rFonts w:ascii="Arial" w:hAnsi="Arial" w:cs="Arial"/>
          <w:sz w:val="22"/>
          <w:szCs w:val="22"/>
        </w:rPr>
        <w:t>Australasian</w:t>
      </w:r>
      <w:proofErr w:type="spellEnd"/>
      <w:r w:rsidRPr="00E42BA6">
        <w:rPr>
          <w:rFonts w:ascii="Arial" w:hAnsi="Arial" w:cs="Arial"/>
          <w:sz w:val="22"/>
          <w:szCs w:val="22"/>
        </w:rPr>
        <w:t xml:space="preserve"> </w:t>
      </w:r>
      <w:proofErr w:type="spellStart"/>
      <w:r w:rsidRPr="00E42BA6">
        <w:rPr>
          <w:rFonts w:ascii="Arial" w:hAnsi="Arial" w:cs="Arial"/>
          <w:sz w:val="22"/>
          <w:szCs w:val="22"/>
        </w:rPr>
        <w:t>Institute</w:t>
      </w:r>
      <w:proofErr w:type="spellEnd"/>
      <w:r w:rsidRPr="00E42BA6">
        <w:rPr>
          <w:rFonts w:ascii="Arial" w:hAnsi="Arial" w:cs="Arial"/>
          <w:sz w:val="22"/>
          <w:szCs w:val="22"/>
        </w:rPr>
        <w:t xml:space="preserve"> </w:t>
      </w:r>
      <w:proofErr w:type="spellStart"/>
      <w:r w:rsidRPr="00E42BA6">
        <w:rPr>
          <w:rFonts w:ascii="Arial" w:hAnsi="Arial" w:cs="Arial"/>
          <w:sz w:val="22"/>
          <w:szCs w:val="22"/>
        </w:rPr>
        <w:t>of</w:t>
      </w:r>
      <w:proofErr w:type="spellEnd"/>
      <w:r w:rsidRPr="00E42BA6">
        <w:rPr>
          <w:rFonts w:ascii="Arial" w:hAnsi="Arial" w:cs="Arial"/>
          <w:sz w:val="22"/>
          <w:szCs w:val="22"/>
        </w:rPr>
        <w:t xml:space="preserve"> </w:t>
      </w:r>
      <w:proofErr w:type="spellStart"/>
      <w:r w:rsidRPr="00E42BA6">
        <w:rPr>
          <w:rFonts w:ascii="Arial" w:hAnsi="Arial" w:cs="Arial"/>
          <w:sz w:val="22"/>
          <w:szCs w:val="22"/>
        </w:rPr>
        <w:t>Mining</w:t>
      </w:r>
      <w:proofErr w:type="spellEnd"/>
      <w:r w:rsidRPr="00E42BA6">
        <w:rPr>
          <w:rFonts w:ascii="Arial" w:hAnsi="Arial" w:cs="Arial"/>
          <w:sz w:val="22"/>
          <w:szCs w:val="22"/>
        </w:rPr>
        <w:t xml:space="preserve"> and </w:t>
      </w:r>
      <w:proofErr w:type="spellStart"/>
      <w:r w:rsidRPr="00E42BA6">
        <w:rPr>
          <w:rFonts w:ascii="Arial" w:hAnsi="Arial" w:cs="Arial"/>
          <w:sz w:val="22"/>
          <w:szCs w:val="22"/>
        </w:rPr>
        <w:t>Metallurgy</w:t>
      </w:r>
      <w:proofErr w:type="spellEnd"/>
      <w:r w:rsidRPr="00E42BA6">
        <w:rPr>
          <w:rFonts w:ascii="Arial" w:hAnsi="Arial" w:cs="Arial"/>
          <w:sz w:val="22"/>
          <w:szCs w:val="22"/>
        </w:rPr>
        <w:t>: Melbourne).</w:t>
      </w:r>
    </w:p>
    <w:p w14:paraId="1EB4103D" w14:textId="4BA741C1" w:rsidR="007F5F63" w:rsidRPr="00E42BA6" w:rsidRDefault="0DD8DE93" w:rsidP="00E42BA6">
      <w:pPr>
        <w:spacing w:line="360" w:lineRule="auto"/>
        <w:ind w:left="142" w:hanging="142"/>
        <w:jc w:val="both"/>
        <w:rPr>
          <w:rFonts w:ascii="Arial" w:hAnsi="Arial" w:cs="Arial"/>
          <w:b/>
          <w:bCs/>
          <w:sz w:val="22"/>
          <w:szCs w:val="22"/>
        </w:rPr>
      </w:pPr>
      <w:r w:rsidRPr="00E42BA6">
        <w:rPr>
          <w:rFonts w:ascii="Arial" w:hAnsi="Arial" w:cs="Arial"/>
          <w:sz w:val="22"/>
          <w:szCs w:val="22"/>
        </w:rPr>
        <w:t xml:space="preserve">Parker, H.M. (2012). </w:t>
      </w:r>
      <w:proofErr w:type="spellStart"/>
      <w:r w:rsidRPr="00E42BA6">
        <w:rPr>
          <w:rFonts w:ascii="Arial" w:hAnsi="Arial" w:cs="Arial"/>
          <w:sz w:val="22"/>
          <w:szCs w:val="22"/>
        </w:rPr>
        <w:t>Reconciliation</w:t>
      </w:r>
      <w:proofErr w:type="spellEnd"/>
      <w:r w:rsidRPr="00E42BA6">
        <w:rPr>
          <w:rFonts w:ascii="Arial" w:hAnsi="Arial" w:cs="Arial"/>
          <w:sz w:val="22"/>
          <w:szCs w:val="22"/>
        </w:rPr>
        <w:t xml:space="preserve"> </w:t>
      </w:r>
      <w:proofErr w:type="spellStart"/>
      <w:r w:rsidRPr="00E42BA6">
        <w:rPr>
          <w:rFonts w:ascii="Arial" w:hAnsi="Arial" w:cs="Arial"/>
          <w:sz w:val="22"/>
          <w:szCs w:val="22"/>
        </w:rPr>
        <w:t>principles</w:t>
      </w:r>
      <w:proofErr w:type="spellEnd"/>
      <w:r w:rsidRPr="00E42BA6">
        <w:rPr>
          <w:rFonts w:ascii="Arial" w:hAnsi="Arial" w:cs="Arial"/>
          <w:sz w:val="22"/>
          <w:szCs w:val="22"/>
        </w:rPr>
        <w:t xml:space="preserve"> </w:t>
      </w:r>
      <w:proofErr w:type="spellStart"/>
      <w:r w:rsidRPr="00E42BA6">
        <w:rPr>
          <w:rFonts w:ascii="Arial" w:hAnsi="Arial" w:cs="Arial"/>
          <w:sz w:val="22"/>
          <w:szCs w:val="22"/>
        </w:rPr>
        <w:t>for</w:t>
      </w:r>
      <w:proofErr w:type="spellEnd"/>
      <w:r w:rsidRPr="00E42BA6">
        <w:rPr>
          <w:rFonts w:ascii="Arial" w:hAnsi="Arial" w:cs="Arial"/>
          <w:sz w:val="22"/>
          <w:szCs w:val="22"/>
        </w:rPr>
        <w:t xml:space="preserve"> </w:t>
      </w:r>
      <w:proofErr w:type="spellStart"/>
      <w:r w:rsidRPr="00E42BA6">
        <w:rPr>
          <w:rFonts w:ascii="Arial" w:hAnsi="Arial" w:cs="Arial"/>
          <w:sz w:val="22"/>
          <w:szCs w:val="22"/>
        </w:rPr>
        <w:t>the</w:t>
      </w:r>
      <w:proofErr w:type="spellEnd"/>
      <w:r w:rsidRPr="00E42BA6">
        <w:rPr>
          <w:rFonts w:ascii="Arial" w:hAnsi="Arial" w:cs="Arial"/>
          <w:sz w:val="22"/>
          <w:szCs w:val="22"/>
        </w:rPr>
        <w:t xml:space="preserve"> </w:t>
      </w:r>
      <w:proofErr w:type="spellStart"/>
      <w:r w:rsidRPr="00E42BA6">
        <w:rPr>
          <w:rFonts w:ascii="Arial" w:hAnsi="Arial" w:cs="Arial"/>
          <w:sz w:val="22"/>
          <w:szCs w:val="22"/>
        </w:rPr>
        <w:t>mining</w:t>
      </w:r>
      <w:proofErr w:type="spellEnd"/>
      <w:r w:rsidRPr="00E42BA6">
        <w:rPr>
          <w:rFonts w:ascii="Arial" w:hAnsi="Arial" w:cs="Arial"/>
          <w:sz w:val="22"/>
          <w:szCs w:val="22"/>
        </w:rPr>
        <w:t xml:space="preserve"> </w:t>
      </w:r>
      <w:proofErr w:type="spellStart"/>
      <w:r w:rsidRPr="00E42BA6">
        <w:rPr>
          <w:rFonts w:ascii="Arial" w:hAnsi="Arial" w:cs="Arial"/>
          <w:sz w:val="22"/>
          <w:szCs w:val="22"/>
        </w:rPr>
        <w:t>industry</w:t>
      </w:r>
      <w:proofErr w:type="spellEnd"/>
      <w:r w:rsidRPr="00E42BA6">
        <w:rPr>
          <w:rFonts w:ascii="Arial" w:hAnsi="Arial" w:cs="Arial"/>
          <w:sz w:val="22"/>
          <w:szCs w:val="22"/>
        </w:rPr>
        <w:t xml:space="preserve">. </w:t>
      </w:r>
      <w:proofErr w:type="spellStart"/>
      <w:r w:rsidRPr="00E42BA6">
        <w:rPr>
          <w:rFonts w:ascii="Arial" w:hAnsi="Arial" w:cs="Arial"/>
          <w:sz w:val="22"/>
          <w:szCs w:val="22"/>
        </w:rPr>
        <w:t>Mining</w:t>
      </w:r>
      <w:proofErr w:type="spellEnd"/>
      <w:r w:rsidRPr="00E42BA6">
        <w:rPr>
          <w:rFonts w:ascii="Arial" w:hAnsi="Arial" w:cs="Arial"/>
          <w:sz w:val="22"/>
          <w:szCs w:val="22"/>
        </w:rPr>
        <w:t xml:space="preserve"> </w:t>
      </w:r>
      <w:proofErr w:type="spellStart"/>
      <w:r w:rsidRPr="00E42BA6">
        <w:rPr>
          <w:rFonts w:ascii="Arial" w:hAnsi="Arial" w:cs="Arial"/>
          <w:sz w:val="22"/>
          <w:szCs w:val="22"/>
        </w:rPr>
        <w:t>Technology</w:t>
      </w:r>
      <w:proofErr w:type="spellEnd"/>
      <w:r w:rsidRPr="00E42BA6">
        <w:rPr>
          <w:rFonts w:ascii="Arial" w:hAnsi="Arial" w:cs="Arial"/>
          <w:sz w:val="22"/>
          <w:szCs w:val="22"/>
        </w:rPr>
        <w:t>. v. 121. pp. 160-176.</w:t>
      </w:r>
    </w:p>
    <w:p w14:paraId="3F9FAC7C" w14:textId="77777777" w:rsidR="00975533" w:rsidRPr="00E42BA6" w:rsidRDefault="00975533" w:rsidP="00E42BA6">
      <w:pPr>
        <w:spacing w:line="360" w:lineRule="auto"/>
        <w:jc w:val="both"/>
        <w:rPr>
          <w:rFonts w:ascii="Arial" w:hAnsi="Arial" w:cs="Arial"/>
          <w:bCs/>
          <w:sz w:val="22"/>
          <w:szCs w:val="22"/>
        </w:rPr>
      </w:pPr>
    </w:p>
    <w:p w14:paraId="2071858C" w14:textId="5507F502" w:rsidR="009F2E7D" w:rsidRPr="00E42BA6" w:rsidRDefault="005F5238" w:rsidP="00E42BA6">
      <w:pPr>
        <w:spacing w:line="360" w:lineRule="auto"/>
        <w:jc w:val="both"/>
        <w:rPr>
          <w:rFonts w:ascii="Arial" w:hAnsi="Arial" w:cs="Arial"/>
          <w:bCs/>
          <w:sz w:val="22"/>
          <w:szCs w:val="22"/>
        </w:rPr>
      </w:pPr>
      <w:r w:rsidRPr="00E42BA6">
        <w:rPr>
          <w:rFonts w:ascii="Arial" w:hAnsi="Arial" w:cs="Arial"/>
          <w:bCs/>
          <w:sz w:val="22"/>
          <w:szCs w:val="22"/>
        </w:rPr>
        <w:t>Alexander Quinto Francia</w:t>
      </w:r>
    </w:p>
    <w:p w14:paraId="192CF4B3" w14:textId="77777777" w:rsidR="00EA40D6" w:rsidRPr="00E42BA6" w:rsidRDefault="00EA40D6" w:rsidP="00E42BA6">
      <w:pPr>
        <w:spacing w:line="360" w:lineRule="auto"/>
        <w:jc w:val="both"/>
        <w:rPr>
          <w:rFonts w:ascii="Arial" w:hAnsi="Arial" w:cs="Arial"/>
          <w:bCs/>
          <w:sz w:val="22"/>
          <w:szCs w:val="22"/>
        </w:rPr>
      </w:pPr>
    </w:p>
    <w:p w14:paraId="71F2E3CF" w14:textId="0A19C1D0" w:rsidR="005F5238" w:rsidRPr="00E42BA6" w:rsidRDefault="009F2E7D" w:rsidP="00E42BA6">
      <w:pPr>
        <w:spacing w:line="360" w:lineRule="auto"/>
        <w:jc w:val="both"/>
        <w:rPr>
          <w:rFonts w:ascii="Arial" w:hAnsi="Arial" w:cs="Arial"/>
          <w:bCs/>
          <w:sz w:val="22"/>
          <w:szCs w:val="22"/>
        </w:rPr>
      </w:pPr>
      <w:r w:rsidRPr="00E42BA6">
        <w:rPr>
          <w:rFonts w:ascii="Arial" w:hAnsi="Arial" w:cs="Arial"/>
          <w:bCs/>
          <w:sz w:val="22"/>
          <w:szCs w:val="22"/>
        </w:rPr>
        <w:t xml:space="preserve">Ingeniero de Minas con más de 20 años de experiencia en planificación, operación y desarrollo de proyectos mineros. Ha desempeñado funciones clave en reconocidas compañías como Barrick, Las Bambas, Chinalco, Minsur y Marcobre, </w:t>
      </w:r>
      <w:r w:rsidRPr="00E42BA6">
        <w:rPr>
          <w:rFonts w:ascii="Arial" w:hAnsi="Arial" w:cs="Arial"/>
          <w:bCs/>
          <w:sz w:val="22"/>
          <w:szCs w:val="22"/>
        </w:rPr>
        <w:t>contribuyendo significativamente en la optimización de procesos, gestión de operaciones y ejecución de proyectos estratégicos en minería a tajo abierto.</w:t>
      </w:r>
    </w:p>
    <w:p w14:paraId="30177557" w14:textId="77777777" w:rsidR="009F2E7D" w:rsidRPr="00E42BA6" w:rsidRDefault="009F2E7D" w:rsidP="00E42BA6">
      <w:pPr>
        <w:widowControl w:val="0"/>
        <w:autoSpaceDE w:val="0"/>
        <w:autoSpaceDN w:val="0"/>
        <w:adjustRightInd w:val="0"/>
        <w:spacing w:line="360" w:lineRule="auto"/>
        <w:rPr>
          <w:rFonts w:ascii="Arial" w:hAnsi="Arial" w:cs="Arial"/>
          <w:bCs/>
          <w:sz w:val="22"/>
          <w:szCs w:val="22"/>
        </w:rPr>
      </w:pPr>
    </w:p>
    <w:p w14:paraId="066CED8A" w14:textId="77777777" w:rsidR="00A57FB9" w:rsidRPr="00E42BA6" w:rsidRDefault="00A57FB9" w:rsidP="00E42BA6">
      <w:pPr>
        <w:widowControl w:val="0"/>
        <w:autoSpaceDE w:val="0"/>
        <w:autoSpaceDN w:val="0"/>
        <w:adjustRightInd w:val="0"/>
        <w:spacing w:line="360" w:lineRule="auto"/>
        <w:rPr>
          <w:rFonts w:ascii="Arial" w:hAnsi="Arial" w:cs="Arial"/>
          <w:bCs/>
          <w:sz w:val="22"/>
          <w:szCs w:val="22"/>
        </w:rPr>
      </w:pPr>
      <w:r w:rsidRPr="00E42BA6">
        <w:rPr>
          <w:rFonts w:ascii="Arial" w:hAnsi="Arial" w:cs="Arial"/>
          <w:bCs/>
          <w:sz w:val="22"/>
          <w:szCs w:val="22"/>
        </w:rPr>
        <w:t>Estefany Távara</w:t>
      </w:r>
    </w:p>
    <w:p w14:paraId="368E53F0" w14:textId="77777777" w:rsidR="00EA40D6" w:rsidRPr="00E42BA6" w:rsidRDefault="00EA40D6" w:rsidP="00E42BA6">
      <w:pPr>
        <w:spacing w:line="360" w:lineRule="auto"/>
        <w:jc w:val="both"/>
        <w:rPr>
          <w:rFonts w:ascii="Arial" w:hAnsi="Arial" w:cs="Arial"/>
          <w:bCs/>
          <w:sz w:val="22"/>
          <w:szCs w:val="22"/>
        </w:rPr>
      </w:pPr>
    </w:p>
    <w:p w14:paraId="4D3AC78B" w14:textId="4EC6AAAB" w:rsidR="00EA40D6" w:rsidRPr="00E42BA6" w:rsidRDefault="00EA40D6" w:rsidP="00E42BA6">
      <w:pPr>
        <w:spacing w:line="360" w:lineRule="auto"/>
        <w:jc w:val="both"/>
        <w:rPr>
          <w:rFonts w:ascii="Arial" w:hAnsi="Arial" w:cs="Arial"/>
          <w:sz w:val="22"/>
          <w:szCs w:val="22"/>
        </w:rPr>
      </w:pPr>
      <w:r w:rsidRPr="00E42BA6">
        <w:rPr>
          <w:rFonts w:ascii="Arial" w:hAnsi="Arial" w:cs="Arial"/>
          <w:sz w:val="22"/>
          <w:szCs w:val="22"/>
        </w:rPr>
        <w:t xml:space="preserve">Ingeniera Geóloga de la Universidad Nacional Mayor de San Marcos, Perú, con 12 años de experiencia profesional en los rubros minero de hidrocarburos. Actualmente se desempeña como Especialista de Soluciones Digitales en Orica Perú, dando soporte a las implementaciones y el uso operativo de la tecnología </w:t>
      </w:r>
      <w:proofErr w:type="spellStart"/>
      <w:r w:rsidRPr="00E42BA6">
        <w:rPr>
          <w:rFonts w:ascii="Arial" w:hAnsi="Arial" w:cs="Arial"/>
          <w:sz w:val="22"/>
          <w:szCs w:val="22"/>
        </w:rPr>
        <w:t>OREPro</w:t>
      </w:r>
      <w:r w:rsidRPr="00E42BA6">
        <w:rPr>
          <w:rFonts w:ascii="Arial" w:hAnsi="Arial" w:cs="Arial"/>
          <w:sz w:val="22"/>
          <w:szCs w:val="22"/>
          <w:vertAlign w:val="superscript"/>
        </w:rPr>
        <w:t>TM</w:t>
      </w:r>
      <w:proofErr w:type="spellEnd"/>
      <w:r w:rsidRPr="00E42BA6">
        <w:rPr>
          <w:rFonts w:ascii="Arial" w:hAnsi="Arial" w:cs="Arial"/>
          <w:sz w:val="22"/>
          <w:szCs w:val="22"/>
        </w:rPr>
        <w:t>.</w:t>
      </w:r>
    </w:p>
    <w:p w14:paraId="593CF034" w14:textId="77777777" w:rsidR="00180629" w:rsidRPr="00E42BA6" w:rsidRDefault="00180629" w:rsidP="00E42BA6">
      <w:pPr>
        <w:widowControl w:val="0"/>
        <w:autoSpaceDE w:val="0"/>
        <w:autoSpaceDN w:val="0"/>
        <w:adjustRightInd w:val="0"/>
        <w:spacing w:line="360" w:lineRule="auto"/>
        <w:rPr>
          <w:rFonts w:ascii="Arial" w:hAnsi="Arial" w:cs="Arial"/>
          <w:bCs/>
          <w:sz w:val="22"/>
          <w:szCs w:val="22"/>
        </w:rPr>
      </w:pPr>
    </w:p>
    <w:p w14:paraId="3CE7F4E2" w14:textId="77777777" w:rsidR="00E84004" w:rsidRPr="00E42BA6" w:rsidRDefault="00E84004" w:rsidP="00E42BA6">
      <w:pPr>
        <w:spacing w:line="360" w:lineRule="auto"/>
        <w:ind w:left="142" w:hanging="142"/>
        <w:jc w:val="both"/>
        <w:rPr>
          <w:rFonts w:ascii="Arial" w:hAnsi="Arial" w:cs="Arial"/>
          <w:bCs/>
          <w:sz w:val="22"/>
          <w:szCs w:val="22"/>
        </w:rPr>
      </w:pPr>
    </w:p>
    <w:p w14:paraId="701DC0F5" w14:textId="77777777" w:rsidR="00904E24" w:rsidRPr="00E42BA6" w:rsidRDefault="00904E24" w:rsidP="00E42BA6">
      <w:pPr>
        <w:spacing w:line="360" w:lineRule="auto"/>
        <w:ind w:left="142" w:hanging="142"/>
        <w:jc w:val="both"/>
        <w:rPr>
          <w:rFonts w:ascii="Arial" w:hAnsi="Arial" w:cs="Arial"/>
          <w:bCs/>
          <w:sz w:val="22"/>
          <w:szCs w:val="22"/>
        </w:rPr>
      </w:pPr>
    </w:p>
    <w:p w14:paraId="18AC9D8F" w14:textId="77777777" w:rsidR="00904E24" w:rsidRPr="00E42BA6" w:rsidRDefault="00904E24" w:rsidP="00E42BA6">
      <w:pPr>
        <w:spacing w:line="360" w:lineRule="auto"/>
        <w:ind w:left="142" w:hanging="142"/>
        <w:jc w:val="both"/>
        <w:rPr>
          <w:rFonts w:ascii="Arial" w:hAnsi="Arial" w:cs="Arial"/>
          <w:bCs/>
          <w:sz w:val="22"/>
          <w:szCs w:val="22"/>
        </w:rPr>
      </w:pPr>
    </w:p>
    <w:p w14:paraId="1215344E" w14:textId="77777777" w:rsidR="00904E24" w:rsidRPr="00E42BA6" w:rsidRDefault="00904E24" w:rsidP="00E42BA6">
      <w:pPr>
        <w:spacing w:line="360" w:lineRule="auto"/>
        <w:ind w:left="142" w:hanging="142"/>
        <w:jc w:val="both"/>
        <w:rPr>
          <w:rFonts w:ascii="Arial" w:hAnsi="Arial" w:cs="Arial"/>
          <w:bCs/>
          <w:sz w:val="22"/>
          <w:szCs w:val="22"/>
        </w:rPr>
        <w:sectPr w:rsidR="00904E24" w:rsidRPr="00E42BA6" w:rsidSect="00D34811">
          <w:type w:val="continuous"/>
          <w:pgSz w:w="11900" w:h="16840"/>
          <w:pgMar w:top="1134" w:right="680" w:bottom="964" w:left="851" w:header="680" w:footer="567" w:gutter="0"/>
          <w:cols w:num="2" w:space="397"/>
          <w:docGrid w:linePitch="360"/>
        </w:sectPr>
      </w:pPr>
    </w:p>
    <w:p w14:paraId="6CF39CF3" w14:textId="77777777" w:rsidR="000A177C" w:rsidRPr="00E42BA6" w:rsidRDefault="000A177C" w:rsidP="00E42BA6">
      <w:pPr>
        <w:spacing w:line="360" w:lineRule="auto"/>
        <w:ind w:left="142" w:hanging="142"/>
        <w:jc w:val="center"/>
        <w:rPr>
          <w:rFonts w:ascii="Arial" w:hAnsi="Arial" w:cs="Arial"/>
          <w:b/>
          <w:sz w:val="22"/>
          <w:szCs w:val="22"/>
        </w:rPr>
      </w:pPr>
    </w:p>
    <w:p w14:paraId="427FBA4C" w14:textId="77777777" w:rsidR="001F29ED" w:rsidRPr="00E42BA6" w:rsidRDefault="001F29ED" w:rsidP="00E42BA6">
      <w:pPr>
        <w:spacing w:line="360" w:lineRule="auto"/>
        <w:ind w:left="142" w:hanging="142"/>
        <w:jc w:val="center"/>
        <w:rPr>
          <w:rFonts w:ascii="Arial" w:hAnsi="Arial" w:cs="Arial"/>
          <w:b/>
          <w:sz w:val="22"/>
          <w:szCs w:val="22"/>
        </w:rPr>
      </w:pPr>
    </w:p>
    <w:p w14:paraId="0F14B702" w14:textId="77777777" w:rsidR="00904E24" w:rsidRPr="00E42BA6" w:rsidRDefault="00904E24" w:rsidP="00E42BA6">
      <w:pPr>
        <w:spacing w:line="360" w:lineRule="auto"/>
        <w:jc w:val="both"/>
        <w:rPr>
          <w:rFonts w:ascii="Arial" w:hAnsi="Arial" w:cs="Arial"/>
          <w:bCs/>
          <w:sz w:val="22"/>
          <w:szCs w:val="22"/>
        </w:rPr>
      </w:pPr>
    </w:p>
    <w:sectPr w:rsidR="00904E24" w:rsidRPr="00E42BA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6051" w14:textId="77777777" w:rsidR="00B656D2" w:rsidRPr="00B9490B" w:rsidRDefault="00B656D2" w:rsidP="004D469A">
      <w:r w:rsidRPr="00B9490B">
        <w:separator/>
      </w:r>
    </w:p>
  </w:endnote>
  <w:endnote w:type="continuationSeparator" w:id="0">
    <w:p w14:paraId="685F3AD2" w14:textId="77777777" w:rsidR="00B656D2" w:rsidRPr="00B9490B" w:rsidRDefault="00B656D2" w:rsidP="004D469A">
      <w:r w:rsidRPr="00B949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B9490B" w:rsidRDefault="000D0B73" w:rsidP="00AA73E2">
    <w:pPr>
      <w:pStyle w:val="Piedepgina"/>
      <w:framePr w:wrap="around" w:vAnchor="text" w:hAnchor="margin" w:xAlign="center" w:y="1"/>
      <w:rPr>
        <w:rStyle w:val="Nmerodepgina"/>
      </w:rPr>
    </w:pPr>
    <w:r w:rsidRPr="00B9490B">
      <w:rPr>
        <w:rStyle w:val="Nmerodepgina"/>
      </w:rPr>
      <w:fldChar w:fldCharType="begin"/>
    </w:r>
    <w:r w:rsidR="00E915D1" w:rsidRPr="00B9490B">
      <w:rPr>
        <w:rStyle w:val="Nmerodepgina"/>
      </w:rPr>
      <w:instrText xml:space="preserve">PAGE  </w:instrText>
    </w:r>
    <w:r w:rsidRPr="00B9490B">
      <w:rPr>
        <w:rStyle w:val="Nmerodepgina"/>
      </w:rPr>
      <w:fldChar w:fldCharType="end"/>
    </w:r>
  </w:p>
  <w:p w14:paraId="02E443E0" w14:textId="77777777" w:rsidR="00E915D1" w:rsidRPr="00B9490B"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71BA" w14:textId="77777777" w:rsidR="00B656D2" w:rsidRPr="00B9490B" w:rsidRDefault="00B656D2" w:rsidP="004D469A">
      <w:r w:rsidRPr="00B9490B">
        <w:separator/>
      </w:r>
    </w:p>
  </w:footnote>
  <w:footnote w:type="continuationSeparator" w:id="0">
    <w:p w14:paraId="0F7E6332" w14:textId="77777777" w:rsidR="00B656D2" w:rsidRPr="00B9490B" w:rsidRDefault="00B656D2" w:rsidP="004D469A">
      <w:r w:rsidRPr="00B9490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B9490B" w:rsidRDefault="000D0B73" w:rsidP="00631DC1">
    <w:pPr>
      <w:pStyle w:val="Encabezado"/>
      <w:framePr w:wrap="around" w:vAnchor="text" w:hAnchor="margin" w:xAlign="outside" w:y="1"/>
      <w:rPr>
        <w:rStyle w:val="Nmerodepgina"/>
      </w:rPr>
    </w:pPr>
    <w:r w:rsidRPr="00B9490B">
      <w:rPr>
        <w:rStyle w:val="Nmerodepgina"/>
      </w:rPr>
      <w:fldChar w:fldCharType="begin"/>
    </w:r>
    <w:r w:rsidR="00E915D1" w:rsidRPr="00B9490B">
      <w:rPr>
        <w:rStyle w:val="Nmerodepgina"/>
      </w:rPr>
      <w:instrText xml:space="preserve">PAGE  </w:instrText>
    </w:r>
    <w:r w:rsidRPr="00B9490B">
      <w:rPr>
        <w:rStyle w:val="Nmerodepgina"/>
      </w:rPr>
      <w:fldChar w:fldCharType="end"/>
    </w:r>
  </w:p>
  <w:p w14:paraId="70CFA293" w14:textId="77777777" w:rsidR="00E915D1" w:rsidRPr="00B9490B"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B9490B"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B9490B" w:rsidRDefault="00B53F71" w:rsidP="004D0689">
    <w:pPr>
      <w:pStyle w:val="Encabezado"/>
      <w:ind w:right="360" w:firstLine="360"/>
      <w:jc w:val="center"/>
      <w:rPr>
        <w:sz w:val="18"/>
      </w:rPr>
    </w:pPr>
    <w:r w:rsidRPr="00B9490B">
      <w:rPr>
        <w:sz w:val="18"/>
      </w:rPr>
      <w:t>XVIII Congreso Peruano de Geología</w:t>
    </w:r>
    <w:r w:rsidR="00FE6F07" w:rsidRPr="00B9490B">
      <w:rPr>
        <w:sz w:val="18"/>
      </w:rPr>
      <w:t xml:space="preserve">, p. </w:t>
    </w:r>
    <w:proofErr w:type="spellStart"/>
    <w:r w:rsidR="00FE6F07" w:rsidRPr="00B9490B">
      <w:rPr>
        <w:sz w:val="18"/>
      </w:rPr>
      <w:t>xxx-xxx</w:t>
    </w:r>
    <w:proofErr w:type="spellEnd"/>
    <w:r w:rsidR="00FE6F07" w:rsidRPr="00B9490B">
      <w:rPr>
        <w:sz w:val="18"/>
      </w:rPr>
      <w:t xml:space="preserve"> (201</w:t>
    </w:r>
    <w:r w:rsidRPr="00B9490B">
      <w:rPr>
        <w:sz w:val="18"/>
      </w:rPr>
      <w:t>6</w:t>
    </w:r>
    <w:r w:rsidR="00E915D1" w:rsidRPr="00B9490B">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092BA7"/>
    <w:multiLevelType w:val="multilevel"/>
    <w:tmpl w:val="9FC61B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FB0B5FE"/>
    <w:multiLevelType w:val="hybridMultilevel"/>
    <w:tmpl w:val="7D70C136"/>
    <w:lvl w:ilvl="0" w:tplc="C5307226">
      <w:start w:val="1"/>
      <w:numFmt w:val="bullet"/>
      <w:lvlText w:val=""/>
      <w:lvlJc w:val="left"/>
      <w:pPr>
        <w:ind w:left="720" w:hanging="360"/>
      </w:pPr>
      <w:rPr>
        <w:rFonts w:ascii="Symbol" w:hAnsi="Symbol" w:hint="default"/>
      </w:rPr>
    </w:lvl>
    <w:lvl w:ilvl="1" w:tplc="AFFCE520">
      <w:start w:val="1"/>
      <w:numFmt w:val="bullet"/>
      <w:lvlText w:val="o"/>
      <w:lvlJc w:val="left"/>
      <w:pPr>
        <w:ind w:left="1440" w:hanging="360"/>
      </w:pPr>
      <w:rPr>
        <w:rFonts w:ascii="Courier New" w:hAnsi="Courier New" w:hint="default"/>
      </w:rPr>
    </w:lvl>
    <w:lvl w:ilvl="2" w:tplc="975E5D18">
      <w:start w:val="1"/>
      <w:numFmt w:val="bullet"/>
      <w:lvlText w:val=""/>
      <w:lvlJc w:val="left"/>
      <w:pPr>
        <w:ind w:left="2160" w:hanging="360"/>
      </w:pPr>
      <w:rPr>
        <w:rFonts w:ascii="Wingdings" w:hAnsi="Wingdings" w:hint="default"/>
      </w:rPr>
    </w:lvl>
    <w:lvl w:ilvl="3" w:tplc="E4E83392">
      <w:start w:val="1"/>
      <w:numFmt w:val="bullet"/>
      <w:lvlText w:val=""/>
      <w:lvlJc w:val="left"/>
      <w:pPr>
        <w:ind w:left="2880" w:hanging="360"/>
      </w:pPr>
      <w:rPr>
        <w:rFonts w:ascii="Symbol" w:hAnsi="Symbol" w:hint="default"/>
      </w:rPr>
    </w:lvl>
    <w:lvl w:ilvl="4" w:tplc="C98A4C9E">
      <w:start w:val="1"/>
      <w:numFmt w:val="bullet"/>
      <w:lvlText w:val="o"/>
      <w:lvlJc w:val="left"/>
      <w:pPr>
        <w:ind w:left="3600" w:hanging="360"/>
      </w:pPr>
      <w:rPr>
        <w:rFonts w:ascii="Courier New" w:hAnsi="Courier New" w:hint="default"/>
      </w:rPr>
    </w:lvl>
    <w:lvl w:ilvl="5" w:tplc="B6FA0C64">
      <w:start w:val="1"/>
      <w:numFmt w:val="bullet"/>
      <w:lvlText w:val=""/>
      <w:lvlJc w:val="left"/>
      <w:pPr>
        <w:ind w:left="4320" w:hanging="360"/>
      </w:pPr>
      <w:rPr>
        <w:rFonts w:ascii="Wingdings" w:hAnsi="Wingdings" w:hint="default"/>
      </w:rPr>
    </w:lvl>
    <w:lvl w:ilvl="6" w:tplc="CF6E2CC8">
      <w:start w:val="1"/>
      <w:numFmt w:val="bullet"/>
      <w:lvlText w:val=""/>
      <w:lvlJc w:val="left"/>
      <w:pPr>
        <w:ind w:left="5040" w:hanging="360"/>
      </w:pPr>
      <w:rPr>
        <w:rFonts w:ascii="Symbol" w:hAnsi="Symbol" w:hint="default"/>
      </w:rPr>
    </w:lvl>
    <w:lvl w:ilvl="7" w:tplc="4EB26260">
      <w:start w:val="1"/>
      <w:numFmt w:val="bullet"/>
      <w:lvlText w:val="o"/>
      <w:lvlJc w:val="left"/>
      <w:pPr>
        <w:ind w:left="5760" w:hanging="360"/>
      </w:pPr>
      <w:rPr>
        <w:rFonts w:ascii="Courier New" w:hAnsi="Courier New" w:hint="default"/>
      </w:rPr>
    </w:lvl>
    <w:lvl w:ilvl="8" w:tplc="60E0F858">
      <w:start w:val="1"/>
      <w:numFmt w:val="bullet"/>
      <w:lvlText w:val=""/>
      <w:lvlJc w:val="left"/>
      <w:pPr>
        <w:ind w:left="6480" w:hanging="360"/>
      </w:pPr>
      <w:rPr>
        <w:rFonts w:ascii="Wingdings" w:hAnsi="Wingdings" w:hint="default"/>
      </w:rPr>
    </w:lvl>
  </w:abstractNum>
  <w:num w:numId="1" w16cid:durableId="219749777">
    <w:abstractNumId w:val="2"/>
  </w:num>
  <w:num w:numId="2" w16cid:durableId="2045447244">
    <w:abstractNumId w:val="0"/>
  </w:num>
  <w:num w:numId="3" w16cid:durableId="23239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E54B0"/>
    <w:rsid w:val="000F3514"/>
    <w:rsid w:val="001165BD"/>
    <w:rsid w:val="00122588"/>
    <w:rsid w:val="00134BD0"/>
    <w:rsid w:val="00140898"/>
    <w:rsid w:val="00156239"/>
    <w:rsid w:val="0017524A"/>
    <w:rsid w:val="00180629"/>
    <w:rsid w:val="0018131B"/>
    <w:rsid w:val="00191841"/>
    <w:rsid w:val="001928B8"/>
    <w:rsid w:val="001A42D8"/>
    <w:rsid w:val="001A607C"/>
    <w:rsid w:val="001B2427"/>
    <w:rsid w:val="001B3D61"/>
    <w:rsid w:val="001B6A67"/>
    <w:rsid w:val="001D0826"/>
    <w:rsid w:val="001D2DE6"/>
    <w:rsid w:val="001D5AA2"/>
    <w:rsid w:val="001E349E"/>
    <w:rsid w:val="001F29ED"/>
    <w:rsid w:val="001F63C4"/>
    <w:rsid w:val="001F7167"/>
    <w:rsid w:val="00205A18"/>
    <w:rsid w:val="002201FE"/>
    <w:rsid w:val="00232224"/>
    <w:rsid w:val="002419CB"/>
    <w:rsid w:val="002525E1"/>
    <w:rsid w:val="002641B3"/>
    <w:rsid w:val="00292955"/>
    <w:rsid w:val="002A29DF"/>
    <w:rsid w:val="002A5DFE"/>
    <w:rsid w:val="002A766D"/>
    <w:rsid w:val="002B26C7"/>
    <w:rsid w:val="002B5475"/>
    <w:rsid w:val="002C3EBB"/>
    <w:rsid w:val="002D1C36"/>
    <w:rsid w:val="002D240B"/>
    <w:rsid w:val="00307578"/>
    <w:rsid w:val="00314F9E"/>
    <w:rsid w:val="00324786"/>
    <w:rsid w:val="00337295"/>
    <w:rsid w:val="00344C46"/>
    <w:rsid w:val="0035313B"/>
    <w:rsid w:val="003608C3"/>
    <w:rsid w:val="00363841"/>
    <w:rsid w:val="0036489F"/>
    <w:rsid w:val="00381D7F"/>
    <w:rsid w:val="003B66C8"/>
    <w:rsid w:val="003B6E44"/>
    <w:rsid w:val="003C6D44"/>
    <w:rsid w:val="003D271C"/>
    <w:rsid w:val="003D3A4A"/>
    <w:rsid w:val="003F080D"/>
    <w:rsid w:val="0040606A"/>
    <w:rsid w:val="00416F12"/>
    <w:rsid w:val="00427100"/>
    <w:rsid w:val="0043413E"/>
    <w:rsid w:val="00436119"/>
    <w:rsid w:val="00437503"/>
    <w:rsid w:val="00441B34"/>
    <w:rsid w:val="00445BC3"/>
    <w:rsid w:val="00446E15"/>
    <w:rsid w:val="00460D0B"/>
    <w:rsid w:val="00486035"/>
    <w:rsid w:val="00493C85"/>
    <w:rsid w:val="004A163F"/>
    <w:rsid w:val="004A3665"/>
    <w:rsid w:val="004A5BB3"/>
    <w:rsid w:val="004B1948"/>
    <w:rsid w:val="004B4A18"/>
    <w:rsid w:val="004B4C0C"/>
    <w:rsid w:val="004B5FEB"/>
    <w:rsid w:val="004C3B69"/>
    <w:rsid w:val="004D0689"/>
    <w:rsid w:val="004D469A"/>
    <w:rsid w:val="004D59AC"/>
    <w:rsid w:val="004E233B"/>
    <w:rsid w:val="005218B6"/>
    <w:rsid w:val="00522C8C"/>
    <w:rsid w:val="005505E2"/>
    <w:rsid w:val="00552AB6"/>
    <w:rsid w:val="005631EB"/>
    <w:rsid w:val="005A352B"/>
    <w:rsid w:val="005B08EB"/>
    <w:rsid w:val="005D673A"/>
    <w:rsid w:val="005E3684"/>
    <w:rsid w:val="005F5238"/>
    <w:rsid w:val="006050E9"/>
    <w:rsid w:val="006178C0"/>
    <w:rsid w:val="00622FDA"/>
    <w:rsid w:val="00631DC1"/>
    <w:rsid w:val="00636E73"/>
    <w:rsid w:val="006423FA"/>
    <w:rsid w:val="00645FA1"/>
    <w:rsid w:val="00650F70"/>
    <w:rsid w:val="006535A5"/>
    <w:rsid w:val="00661FE9"/>
    <w:rsid w:val="00671435"/>
    <w:rsid w:val="00671ED9"/>
    <w:rsid w:val="006833D8"/>
    <w:rsid w:val="00690C46"/>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44289"/>
    <w:rsid w:val="00750F46"/>
    <w:rsid w:val="00751372"/>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E1054"/>
    <w:rsid w:val="00904E24"/>
    <w:rsid w:val="00907F2F"/>
    <w:rsid w:val="009148C8"/>
    <w:rsid w:val="009149C5"/>
    <w:rsid w:val="00930312"/>
    <w:rsid w:val="009430D9"/>
    <w:rsid w:val="00943CA8"/>
    <w:rsid w:val="00975533"/>
    <w:rsid w:val="009A68FA"/>
    <w:rsid w:val="009B19B2"/>
    <w:rsid w:val="009D3326"/>
    <w:rsid w:val="009D7B7E"/>
    <w:rsid w:val="009E12DE"/>
    <w:rsid w:val="009E3508"/>
    <w:rsid w:val="009F2E7D"/>
    <w:rsid w:val="00A05DB9"/>
    <w:rsid w:val="00A06D7F"/>
    <w:rsid w:val="00A14F68"/>
    <w:rsid w:val="00A201D7"/>
    <w:rsid w:val="00A25141"/>
    <w:rsid w:val="00A41007"/>
    <w:rsid w:val="00A47944"/>
    <w:rsid w:val="00A534CB"/>
    <w:rsid w:val="00A57FB9"/>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656D2"/>
    <w:rsid w:val="00B87F71"/>
    <w:rsid w:val="00B9490B"/>
    <w:rsid w:val="00BA086E"/>
    <w:rsid w:val="00BA65D9"/>
    <w:rsid w:val="00BC4626"/>
    <w:rsid w:val="00BC4D43"/>
    <w:rsid w:val="00BD20B8"/>
    <w:rsid w:val="00BF491E"/>
    <w:rsid w:val="00C16BD1"/>
    <w:rsid w:val="00C17BFC"/>
    <w:rsid w:val="00C200FC"/>
    <w:rsid w:val="00C249F1"/>
    <w:rsid w:val="00C41CD8"/>
    <w:rsid w:val="00C90525"/>
    <w:rsid w:val="00CA3055"/>
    <w:rsid w:val="00CA54CA"/>
    <w:rsid w:val="00CB3683"/>
    <w:rsid w:val="00CB609F"/>
    <w:rsid w:val="00CD32FC"/>
    <w:rsid w:val="00CD49AC"/>
    <w:rsid w:val="00CE075D"/>
    <w:rsid w:val="00D05350"/>
    <w:rsid w:val="00D07BEB"/>
    <w:rsid w:val="00D12544"/>
    <w:rsid w:val="00D27353"/>
    <w:rsid w:val="00D30982"/>
    <w:rsid w:val="00D34811"/>
    <w:rsid w:val="00D409A3"/>
    <w:rsid w:val="00D51190"/>
    <w:rsid w:val="00D5647F"/>
    <w:rsid w:val="00D574EF"/>
    <w:rsid w:val="00D7587E"/>
    <w:rsid w:val="00D75CDB"/>
    <w:rsid w:val="00D91BF7"/>
    <w:rsid w:val="00DA05D8"/>
    <w:rsid w:val="00DA2ABC"/>
    <w:rsid w:val="00DB480E"/>
    <w:rsid w:val="00DC43A7"/>
    <w:rsid w:val="00DD0E73"/>
    <w:rsid w:val="00DD120D"/>
    <w:rsid w:val="00DD4AA5"/>
    <w:rsid w:val="00DE7751"/>
    <w:rsid w:val="00DF7695"/>
    <w:rsid w:val="00E15745"/>
    <w:rsid w:val="00E2132F"/>
    <w:rsid w:val="00E32E93"/>
    <w:rsid w:val="00E34AB3"/>
    <w:rsid w:val="00E40A60"/>
    <w:rsid w:val="00E42BA6"/>
    <w:rsid w:val="00E46A59"/>
    <w:rsid w:val="00E50EFD"/>
    <w:rsid w:val="00E529E4"/>
    <w:rsid w:val="00E60CDB"/>
    <w:rsid w:val="00E70586"/>
    <w:rsid w:val="00E77D13"/>
    <w:rsid w:val="00E84004"/>
    <w:rsid w:val="00E8677B"/>
    <w:rsid w:val="00E90AB0"/>
    <w:rsid w:val="00E914DF"/>
    <w:rsid w:val="00E915D1"/>
    <w:rsid w:val="00EA40D6"/>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D7285"/>
    <w:rsid w:val="00FE6F07"/>
    <w:rsid w:val="00FF54AB"/>
    <w:rsid w:val="0DD8DE93"/>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DD8DE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1115</Words>
  <Characters>6136</Characters>
  <Application>Microsoft Office Word</Application>
  <DocSecurity>0</DocSecurity>
  <Lines>51</Lines>
  <Paragraphs>14</Paragraphs>
  <ScaleCrop>false</ScaleCrop>
  <Company>ISTerre</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Alexander Agustin Quinto Francia</cp:lastModifiedBy>
  <cp:revision>46</cp:revision>
  <cp:lastPrinted>2015-02-13T19:19:00Z</cp:lastPrinted>
  <dcterms:created xsi:type="dcterms:W3CDTF">2025-05-26T20:35:00Z</dcterms:created>
  <dcterms:modified xsi:type="dcterms:W3CDTF">2025-07-19T04:54:00Z</dcterms:modified>
</cp:coreProperties>
</file>