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F455" w14:textId="77777777" w:rsidR="00930170" w:rsidRDefault="00000000">
      <w:pPr>
        <w:jc w:val="center"/>
        <w:rPr>
          <w:rFonts w:ascii="Arial" w:eastAsia="Arial" w:hAnsi="Arial" w:cs="Arial"/>
          <w:b/>
          <w:sz w:val="22"/>
          <w:szCs w:val="22"/>
        </w:rPr>
      </w:pPr>
      <w:r>
        <w:rPr>
          <w:rFonts w:ascii="Arial" w:eastAsia="Arial" w:hAnsi="Arial" w:cs="Arial"/>
          <w:b/>
          <w:sz w:val="22"/>
          <w:szCs w:val="22"/>
        </w:rPr>
        <w:t>Abastecimiento de cal y caliza como una estrategia de valor compartido en una Unidad Minera a Tajo Abierto</w:t>
      </w:r>
    </w:p>
    <w:p w14:paraId="69BF4B93" w14:textId="77777777" w:rsidR="00930170" w:rsidRDefault="00000000">
      <w:pPr>
        <w:jc w:val="center"/>
        <w:rPr>
          <w:rFonts w:ascii="Arial" w:eastAsia="Arial" w:hAnsi="Arial" w:cs="Arial"/>
          <w:b/>
          <w:sz w:val="22"/>
          <w:szCs w:val="22"/>
        </w:rPr>
      </w:pPr>
      <w:r>
        <w:rPr>
          <w:rFonts w:ascii="Arial" w:eastAsia="Arial" w:hAnsi="Arial" w:cs="Arial"/>
          <w:b/>
          <w:sz w:val="22"/>
          <w:szCs w:val="22"/>
        </w:rPr>
        <w:t>(ESG  - Responsabilidad social empresarial / valor compartido)</w:t>
      </w:r>
    </w:p>
    <w:p w14:paraId="6AC3396A" w14:textId="77777777" w:rsidR="00930170" w:rsidRDefault="00930170">
      <w:pPr>
        <w:jc w:val="both"/>
        <w:rPr>
          <w:rFonts w:ascii="Arial" w:eastAsia="Arial" w:hAnsi="Arial" w:cs="Arial"/>
          <w:sz w:val="22"/>
          <w:szCs w:val="22"/>
        </w:rPr>
      </w:pPr>
    </w:p>
    <w:p w14:paraId="5E7E90BE" w14:textId="77777777" w:rsidR="00930170" w:rsidRDefault="00000000">
      <w:pPr>
        <w:jc w:val="center"/>
        <w:rPr>
          <w:rFonts w:ascii="Arial" w:eastAsia="Arial" w:hAnsi="Arial" w:cs="Arial"/>
          <w:b/>
          <w:sz w:val="22"/>
          <w:szCs w:val="22"/>
        </w:rPr>
      </w:pPr>
      <w:r>
        <w:rPr>
          <w:rFonts w:ascii="Arial" w:eastAsia="Arial" w:hAnsi="Arial" w:cs="Arial"/>
          <w:b/>
          <w:sz w:val="22"/>
          <w:szCs w:val="22"/>
        </w:rPr>
        <w:t>Christa Quiroz Cotrina</w:t>
      </w:r>
      <w:r>
        <w:rPr>
          <w:rFonts w:ascii="Arial" w:eastAsia="Arial" w:hAnsi="Arial" w:cs="Arial"/>
          <w:b/>
          <w:sz w:val="22"/>
          <w:szCs w:val="22"/>
          <w:vertAlign w:val="superscript"/>
        </w:rPr>
        <w:t>1</w:t>
      </w:r>
      <w:r>
        <w:rPr>
          <w:rFonts w:ascii="Arial" w:eastAsia="Arial" w:hAnsi="Arial" w:cs="Arial"/>
          <w:sz w:val="22"/>
          <w:szCs w:val="22"/>
        </w:rPr>
        <w:t>,</w:t>
      </w:r>
      <w:r>
        <w:rPr>
          <w:rFonts w:ascii="Arial" w:eastAsia="Arial" w:hAnsi="Arial" w:cs="Arial"/>
          <w:b/>
          <w:sz w:val="22"/>
          <w:szCs w:val="22"/>
        </w:rPr>
        <w:t xml:space="preserve"> y Débora Torres Chamorro</w:t>
      </w:r>
      <w:r>
        <w:rPr>
          <w:rFonts w:ascii="Arial" w:eastAsia="Arial" w:hAnsi="Arial" w:cs="Arial"/>
          <w:b/>
          <w:sz w:val="22"/>
          <w:szCs w:val="22"/>
          <w:vertAlign w:val="superscript"/>
        </w:rPr>
        <w:t>2</w:t>
      </w:r>
    </w:p>
    <w:p w14:paraId="38839ED1" w14:textId="77777777" w:rsidR="00930170" w:rsidRDefault="00930170">
      <w:pPr>
        <w:jc w:val="both"/>
        <w:rPr>
          <w:rFonts w:ascii="Arial" w:eastAsia="Arial" w:hAnsi="Arial" w:cs="Arial"/>
          <w:sz w:val="22"/>
          <w:szCs w:val="22"/>
        </w:rPr>
      </w:pPr>
    </w:p>
    <w:p w14:paraId="2C7090F1" w14:textId="77777777" w:rsidR="00930170" w:rsidRDefault="00930170">
      <w:pPr>
        <w:jc w:val="both"/>
        <w:rPr>
          <w:rFonts w:ascii="Arial" w:eastAsia="Arial" w:hAnsi="Arial" w:cs="Arial"/>
          <w:sz w:val="22"/>
          <w:szCs w:val="22"/>
        </w:rPr>
      </w:pPr>
    </w:p>
    <w:p w14:paraId="75753F4B"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vertAlign w:val="superscript"/>
        </w:rPr>
        <w:t>1</w:t>
      </w:r>
      <w:r>
        <w:rPr>
          <w:rFonts w:ascii="Arial" w:eastAsia="Arial" w:hAnsi="Arial" w:cs="Arial"/>
          <w:sz w:val="22"/>
          <w:szCs w:val="22"/>
        </w:rPr>
        <w:t xml:space="preserve"> Autor: Antamina, Av. El Derby 055, Santiago de Surco, Lima, Perú, (</w:t>
      </w:r>
      <w:hyperlink r:id="rId8">
        <w:r>
          <w:rPr>
            <w:rFonts w:ascii="Arial" w:eastAsia="Arial" w:hAnsi="Arial" w:cs="Arial"/>
            <w:color w:val="0000FF"/>
            <w:sz w:val="22"/>
            <w:szCs w:val="22"/>
            <w:u w:val="single"/>
          </w:rPr>
          <w:t>christa.qc@gmail.com</w:t>
        </w:r>
      </w:hyperlink>
      <w:r>
        <w:rPr>
          <w:rFonts w:ascii="Arial" w:eastAsia="Arial" w:hAnsi="Arial" w:cs="Arial"/>
          <w:sz w:val="22"/>
          <w:szCs w:val="22"/>
        </w:rPr>
        <w:t>, Cel. 977126297)</w:t>
      </w:r>
    </w:p>
    <w:p w14:paraId="2E0A26F8"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vertAlign w:val="superscript"/>
        </w:rPr>
        <w:t>2</w:t>
      </w:r>
      <w:r>
        <w:rPr>
          <w:rFonts w:ascii="Arial" w:eastAsia="Arial" w:hAnsi="Arial" w:cs="Arial"/>
          <w:sz w:val="22"/>
          <w:szCs w:val="22"/>
        </w:rPr>
        <w:t xml:space="preserve"> Coautor 1: Buenaventura, Las Begonias 415, San Isidro, Lima, Perú, (</w:t>
      </w:r>
      <w:hyperlink r:id="rId9">
        <w:r>
          <w:rPr>
            <w:rFonts w:ascii="Arial" w:eastAsia="Arial" w:hAnsi="Arial" w:cs="Arial"/>
            <w:color w:val="0000FF"/>
            <w:sz w:val="22"/>
            <w:szCs w:val="22"/>
            <w:u w:val="single"/>
          </w:rPr>
          <w:t>debora.torresch@gmail.com</w:t>
        </w:r>
      </w:hyperlink>
      <w:r>
        <w:rPr>
          <w:rFonts w:ascii="Arial" w:eastAsia="Arial" w:hAnsi="Arial" w:cs="Arial"/>
          <w:sz w:val="22"/>
          <w:szCs w:val="22"/>
        </w:rPr>
        <w:t>, Cel. 970367689)</w:t>
      </w:r>
    </w:p>
    <w:p w14:paraId="5685C259" w14:textId="77777777" w:rsidR="00930170" w:rsidRDefault="00000000">
      <w:pPr>
        <w:jc w:val="both"/>
        <w:rPr>
          <w:rFonts w:ascii="Arial" w:eastAsia="Arial" w:hAnsi="Arial" w:cs="Arial"/>
          <w:sz w:val="22"/>
          <w:szCs w:val="22"/>
        </w:rPr>
      </w:pPr>
      <w:r>
        <w:rPr>
          <w:rFonts w:ascii="Arial" w:eastAsia="Arial" w:hAnsi="Arial" w:cs="Arial"/>
          <w:sz w:val="22"/>
          <w:szCs w:val="22"/>
        </w:rPr>
        <w:t>____________________________________________________________________________________</w:t>
      </w:r>
    </w:p>
    <w:p w14:paraId="647DAA65" w14:textId="77777777" w:rsidR="00930170" w:rsidRDefault="00930170">
      <w:pPr>
        <w:jc w:val="both"/>
        <w:rPr>
          <w:rFonts w:ascii="Arial" w:eastAsia="Arial" w:hAnsi="Arial" w:cs="Arial"/>
          <w:b/>
          <w:sz w:val="22"/>
          <w:szCs w:val="22"/>
        </w:rPr>
        <w:sectPr w:rsidR="00930170">
          <w:headerReference w:type="even" r:id="rId10"/>
          <w:headerReference w:type="default" r:id="rId11"/>
          <w:footerReference w:type="even" r:id="rId12"/>
          <w:headerReference w:type="first" r:id="rId13"/>
          <w:pgSz w:w="11900" w:h="16840"/>
          <w:pgMar w:top="1134" w:right="680" w:bottom="964" w:left="851" w:header="680" w:footer="567" w:gutter="0"/>
          <w:pgNumType w:start="1"/>
          <w:cols w:space="720"/>
        </w:sectPr>
      </w:pPr>
    </w:p>
    <w:p w14:paraId="43FECB45"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Resumen</w:t>
      </w:r>
    </w:p>
    <w:p w14:paraId="20C8E318" w14:textId="77777777" w:rsidR="00930170" w:rsidRDefault="00930170">
      <w:pPr>
        <w:widowControl w:val="0"/>
        <w:jc w:val="both"/>
        <w:rPr>
          <w:rFonts w:ascii="Arial" w:eastAsia="Arial" w:hAnsi="Arial" w:cs="Arial"/>
          <w:sz w:val="22"/>
          <w:szCs w:val="22"/>
        </w:rPr>
      </w:pPr>
    </w:p>
    <w:p w14:paraId="55BCDF1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Esta investigación presenta el diseño e implementación de un modelo cuantitativo para medir la generación de valor compartido en el abastecimiento de cal y caliza en una operación minera a tajo abierto. El estudio se desarrolló para Minera Au-Cu, una empresa con más de 25 años de experiencia procesando óxidos para obtención de oro doré, que planea transformar sus procesos metalúrgicos hacia la recuperación de cobre mediante autoclave y flotación.</w:t>
      </w:r>
    </w:p>
    <w:p w14:paraId="49C676BA" w14:textId="77777777" w:rsidR="00930170" w:rsidRDefault="00930170">
      <w:pPr>
        <w:widowControl w:val="0"/>
        <w:jc w:val="both"/>
        <w:rPr>
          <w:rFonts w:ascii="Arial" w:eastAsia="Arial" w:hAnsi="Arial" w:cs="Arial"/>
          <w:sz w:val="22"/>
          <w:szCs w:val="22"/>
        </w:rPr>
      </w:pPr>
    </w:p>
    <w:p w14:paraId="5DC5987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modelo propuesto evalúa diez escenarios alternativos de abastecimiento considerando tres dimensiones fundamentales: económica, social y ambiental. Se utilizó programación lineal para optimizar costos operativos y se aplicaron técnicas de normalización para integrar los resultados en una escala común de comparación.</w:t>
      </w:r>
    </w:p>
    <w:p w14:paraId="0076A703" w14:textId="77777777" w:rsidR="00930170" w:rsidRDefault="00930170">
      <w:pPr>
        <w:widowControl w:val="0"/>
        <w:jc w:val="both"/>
        <w:rPr>
          <w:rFonts w:ascii="Arial" w:eastAsia="Arial" w:hAnsi="Arial" w:cs="Arial"/>
          <w:sz w:val="22"/>
          <w:szCs w:val="22"/>
        </w:rPr>
      </w:pPr>
    </w:p>
    <w:p w14:paraId="62F1BDC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Los indicadores económicos incluyen Free Cash Flow, Valor Actual Neto (VAN), Tasa Interna de Retorno (TIR), Índice de Rentabilidad (PI) y All-In Sustaining Cost (AISC). Los aspectos sociales se midieron a través de concentración geográfica de proveedores locales, desarrollo de conocimientos y habilidades, y capacidad innovadora. La dimensión ambiental contempló economía circular y uso eficiente de energía.</w:t>
      </w:r>
    </w:p>
    <w:p w14:paraId="6F0A9B7D" w14:textId="77777777" w:rsidR="00930170" w:rsidRDefault="00930170">
      <w:pPr>
        <w:widowControl w:val="0"/>
        <w:jc w:val="both"/>
        <w:rPr>
          <w:rFonts w:ascii="Arial" w:eastAsia="Arial" w:hAnsi="Arial" w:cs="Arial"/>
          <w:sz w:val="22"/>
          <w:szCs w:val="22"/>
        </w:rPr>
      </w:pPr>
    </w:p>
    <w:p w14:paraId="04FBFD0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Los resultados demuestran que el Escenario 3 (Abastecimiento equilibrado) presenta el mejor desempeño integral, combinando 100% de efectividad económica, 75% social y 68.8% ambiental. Este escenario contempla una inversión de 3.7 millones de dólares en un molino de bolas y equilibra la participación local (66%) con la corporativa (44%).</w:t>
      </w:r>
    </w:p>
    <w:p w14:paraId="5227B244" w14:textId="77777777" w:rsidR="00930170" w:rsidRDefault="00930170">
      <w:pPr>
        <w:widowControl w:val="0"/>
        <w:jc w:val="both"/>
        <w:rPr>
          <w:rFonts w:ascii="Arial" w:eastAsia="Arial" w:hAnsi="Arial" w:cs="Arial"/>
          <w:sz w:val="22"/>
          <w:szCs w:val="22"/>
        </w:rPr>
      </w:pPr>
    </w:p>
    <w:p w14:paraId="57EEACA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La investigación confirma que la evaluación integrada de las tres dimensiones es esencial para determinar la creación de valor compartido, ya que ningún escenario individual maximiza todos los aspectos simultáneamente. El modelo proporciona una herramienta práctica para la toma de </w:t>
      </w:r>
      <w:r>
        <w:rPr>
          <w:rFonts w:ascii="Arial" w:eastAsia="Arial" w:hAnsi="Arial" w:cs="Arial"/>
          <w:sz w:val="22"/>
          <w:szCs w:val="22"/>
        </w:rPr>
        <w:t>decisiones estratégicas que permita optimizar tanto la rentabilidad empresarial como el impacto positivo en las comunidades locales.</w:t>
      </w:r>
    </w:p>
    <w:p w14:paraId="7A6337BE" w14:textId="77777777" w:rsidR="00930170" w:rsidRDefault="00930170">
      <w:pPr>
        <w:widowControl w:val="0"/>
        <w:jc w:val="both"/>
        <w:rPr>
          <w:rFonts w:ascii="Arial" w:eastAsia="Arial" w:hAnsi="Arial" w:cs="Arial"/>
          <w:b/>
          <w:sz w:val="22"/>
          <w:szCs w:val="22"/>
        </w:rPr>
      </w:pPr>
    </w:p>
    <w:p w14:paraId="4B5E7E7E"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1. Introducción</w:t>
      </w:r>
    </w:p>
    <w:p w14:paraId="03277507" w14:textId="77777777" w:rsidR="00930170" w:rsidRDefault="00930170">
      <w:pPr>
        <w:widowControl w:val="0"/>
        <w:jc w:val="both"/>
        <w:rPr>
          <w:rFonts w:ascii="Arial" w:eastAsia="Arial" w:hAnsi="Arial" w:cs="Arial"/>
          <w:b/>
          <w:sz w:val="22"/>
          <w:szCs w:val="22"/>
        </w:rPr>
      </w:pPr>
    </w:p>
    <w:p w14:paraId="1BC14B70" w14:textId="77777777" w:rsidR="00930170" w:rsidRDefault="00000000">
      <w:pPr>
        <w:widowControl w:val="0"/>
        <w:numPr>
          <w:ilvl w:val="1"/>
          <w:numId w:val="9"/>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Contexto de la Industria Minera Peruana</w:t>
      </w:r>
    </w:p>
    <w:p w14:paraId="6177BC83" w14:textId="77777777" w:rsidR="00930170" w:rsidRDefault="00930170">
      <w:pPr>
        <w:widowControl w:val="0"/>
        <w:jc w:val="both"/>
        <w:rPr>
          <w:rFonts w:ascii="Arial" w:eastAsia="Arial" w:hAnsi="Arial" w:cs="Arial"/>
          <w:b/>
          <w:sz w:val="22"/>
          <w:szCs w:val="22"/>
        </w:rPr>
      </w:pPr>
    </w:p>
    <w:p w14:paraId="4987E09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industria minera peruana ocupa una posición estratégica en el panorama económico nacional e internacional. El país se sitúa como el segundo productor mundial de cobre y zinc, y el primero en Latinoamérica en zinc, plomo y estaño. Durante 2021, el sector minero registró exportaciones superiores a los US$ 40 mil millones, representando el 63.9% del total exportado por el país (MINEM, 2022). Las transferencias a gobiernos regionales y locales por conceptos mineros alcanzaron más de S/ 6,631 millones en 2021, incrementándose a S/ 9,986 millones en 2022, constituyendo la cifra más alta registrada históricamente con un aumento del 50.6% respecto al año anterior.</w:t>
      </w:r>
    </w:p>
    <w:p w14:paraId="7CC06D2D" w14:textId="77777777" w:rsidR="00930170" w:rsidRDefault="00930170">
      <w:pPr>
        <w:widowControl w:val="0"/>
        <w:jc w:val="both"/>
        <w:rPr>
          <w:rFonts w:ascii="Arial" w:eastAsia="Arial" w:hAnsi="Arial" w:cs="Arial"/>
          <w:sz w:val="22"/>
          <w:szCs w:val="22"/>
        </w:rPr>
      </w:pPr>
    </w:p>
    <w:p w14:paraId="7D29538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efecto multiplicador del sector es significativo, generando empleo directo para más de 230 mil trabajadores y creando 8.2 puestos de trabajo indirectos por cada puesto directo, consolidándose como la mayor cifra histórica registrada hasta el momento (MINEM, 2022).</w:t>
      </w:r>
    </w:p>
    <w:p w14:paraId="357554F4" w14:textId="77777777" w:rsidR="00930170" w:rsidRDefault="00930170">
      <w:pPr>
        <w:widowControl w:val="0"/>
        <w:jc w:val="both"/>
        <w:rPr>
          <w:rFonts w:ascii="Arial" w:eastAsia="Arial" w:hAnsi="Arial" w:cs="Arial"/>
          <w:b/>
          <w:sz w:val="22"/>
          <w:szCs w:val="22"/>
        </w:rPr>
      </w:pPr>
    </w:p>
    <w:p w14:paraId="7148ED6E" w14:textId="77777777" w:rsidR="00930170" w:rsidRDefault="00000000">
      <w:pPr>
        <w:widowControl w:val="0"/>
        <w:numPr>
          <w:ilvl w:val="1"/>
          <w:numId w:val="9"/>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Desafíos Contemporáneos de la Minería</w:t>
      </w:r>
    </w:p>
    <w:p w14:paraId="15C9782B" w14:textId="77777777" w:rsidR="00930170" w:rsidRDefault="00930170">
      <w:pPr>
        <w:widowControl w:val="0"/>
        <w:jc w:val="both"/>
        <w:rPr>
          <w:rFonts w:ascii="Arial" w:eastAsia="Arial" w:hAnsi="Arial" w:cs="Arial"/>
          <w:b/>
          <w:sz w:val="22"/>
          <w:szCs w:val="22"/>
        </w:rPr>
      </w:pPr>
    </w:p>
    <w:p w14:paraId="6D13CFF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Sin embargo, la industria minera enfrenta desafíos que trascienden los aspectos técnicos tradicionales. Los conflictos sociales, el impacto ambiental y la demanda de mayor participación comunitaria han emergido como factores críticos que pueden determinar la viabilidad y sostenibilidad de los proyectos mineros.</w:t>
      </w:r>
    </w:p>
    <w:p w14:paraId="2C1E992A" w14:textId="77777777" w:rsidR="00930170" w:rsidRDefault="00930170">
      <w:pPr>
        <w:widowControl w:val="0"/>
        <w:jc w:val="both"/>
        <w:rPr>
          <w:rFonts w:ascii="Arial" w:eastAsia="Arial" w:hAnsi="Arial" w:cs="Arial"/>
          <w:sz w:val="22"/>
          <w:szCs w:val="22"/>
        </w:rPr>
      </w:pPr>
    </w:p>
    <w:p w14:paraId="2CE6B71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Según el informe anual de EY sobre riesgos y oportunidades en el sector global de minería y metales 2022, los aspectos ambientales y sociales ocupan el primer lugar en la lista de preocupaciones (EYGM Limited, 2021). Los pasivos mineros, la falta </w:t>
      </w:r>
      <w:r>
        <w:rPr>
          <w:rFonts w:ascii="Arial" w:eastAsia="Arial" w:hAnsi="Arial" w:cs="Arial"/>
          <w:sz w:val="22"/>
          <w:szCs w:val="22"/>
        </w:rPr>
        <w:lastRenderedPageBreak/>
        <w:t>de capacidad estatal para el tratamiento de asuntos sociales, las expectativas insatisfechas de empleo y beneficios, y la falta de transparencia fiscal constituyen los principales factores de conflictividad (Banco Mundial, 2005).</w:t>
      </w:r>
    </w:p>
    <w:p w14:paraId="2A0B27EE" w14:textId="77777777" w:rsidR="00930170" w:rsidRDefault="00930170">
      <w:pPr>
        <w:widowControl w:val="0"/>
        <w:jc w:val="both"/>
        <w:rPr>
          <w:rFonts w:ascii="Arial" w:eastAsia="Arial" w:hAnsi="Arial" w:cs="Arial"/>
          <w:b/>
          <w:sz w:val="22"/>
          <w:szCs w:val="22"/>
        </w:rPr>
      </w:pPr>
    </w:p>
    <w:p w14:paraId="090793E1" w14:textId="77777777" w:rsidR="00930170" w:rsidRDefault="00000000">
      <w:pPr>
        <w:widowControl w:val="0"/>
        <w:numPr>
          <w:ilvl w:val="1"/>
          <w:numId w:val="9"/>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El Concepto de Valor Compartido</w:t>
      </w:r>
    </w:p>
    <w:p w14:paraId="02C0DDFB" w14:textId="77777777" w:rsidR="00930170" w:rsidRDefault="00930170">
      <w:pPr>
        <w:widowControl w:val="0"/>
        <w:jc w:val="both"/>
        <w:rPr>
          <w:rFonts w:ascii="Arial" w:eastAsia="Arial" w:hAnsi="Arial" w:cs="Arial"/>
          <w:b/>
          <w:sz w:val="22"/>
          <w:szCs w:val="22"/>
        </w:rPr>
      </w:pPr>
    </w:p>
    <w:p w14:paraId="3C10A55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En este contexto, el concepto de valor compartido, introducido por Porter y Kramer (2011), emerge como una alternativa estratégica. Los autores definen el valor compartido como "políticas y prácticas operacionales que aumentan la competitividad de una empresa, mientras simultáneamente mejoran las condiciones sociales y económicas de las comunidades en las cuales opera".</w:t>
      </w:r>
    </w:p>
    <w:p w14:paraId="65A425E4" w14:textId="77777777" w:rsidR="00930170" w:rsidRDefault="00930170">
      <w:pPr>
        <w:widowControl w:val="0"/>
        <w:jc w:val="both"/>
        <w:rPr>
          <w:rFonts w:ascii="Arial" w:eastAsia="Arial" w:hAnsi="Arial" w:cs="Arial"/>
          <w:sz w:val="22"/>
          <w:szCs w:val="22"/>
        </w:rPr>
      </w:pPr>
    </w:p>
    <w:p w14:paraId="654E958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Este enfoque trasciende la responsabilidad social corporativa tradicional al integrar las necesidades sociales y ambientales como oportunidades de negocio genuinas. Porter y Kramer (2011) identifican tres formas clave de lograr valor compartido: replanteamiento de productos y mercados, redefinición de la productividad en la cadena de valor, y desarrollo de clústeres locales.</w:t>
      </w:r>
    </w:p>
    <w:p w14:paraId="12CA9BD5" w14:textId="77777777" w:rsidR="00930170" w:rsidRDefault="00930170">
      <w:pPr>
        <w:widowControl w:val="0"/>
        <w:jc w:val="both"/>
        <w:rPr>
          <w:rFonts w:ascii="Arial" w:eastAsia="Arial" w:hAnsi="Arial" w:cs="Arial"/>
          <w:sz w:val="22"/>
          <w:szCs w:val="22"/>
        </w:rPr>
      </w:pPr>
    </w:p>
    <w:p w14:paraId="01C8FAAC" w14:textId="77777777" w:rsidR="00930170" w:rsidRDefault="00000000">
      <w:pPr>
        <w:widowControl w:val="0"/>
        <w:jc w:val="both"/>
        <w:rPr>
          <w:rFonts w:ascii="Arial" w:eastAsia="Arial" w:hAnsi="Arial" w:cs="Arial"/>
          <w:sz w:val="22"/>
          <w:szCs w:val="22"/>
        </w:rPr>
      </w:pPr>
      <w:r>
        <w:rPr>
          <w:rFonts w:ascii="Arial" w:eastAsia="Arial" w:hAnsi="Arial" w:cs="Arial"/>
          <w:noProof/>
          <w:color w:val="000000"/>
        </w:rPr>
        <w:drawing>
          <wp:inline distT="0" distB="0" distL="0" distR="0" wp14:anchorId="3606B5D9" wp14:editId="3A7B1B40">
            <wp:extent cx="3166110" cy="3263900"/>
            <wp:effectExtent l="0" t="0" r="0" b="0"/>
            <wp:docPr id="1960837491" name="image6.png" descr="A group of icon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group of icons on a black background&#10;&#10;AI-generated content may be incorrect."/>
                    <pic:cNvPicPr preferRelativeResize="0"/>
                  </pic:nvPicPr>
                  <pic:blipFill>
                    <a:blip r:embed="rId14"/>
                    <a:srcRect/>
                    <a:stretch>
                      <a:fillRect/>
                    </a:stretch>
                  </pic:blipFill>
                  <pic:spPr>
                    <a:xfrm>
                      <a:off x="0" y="0"/>
                      <a:ext cx="3166110" cy="3263900"/>
                    </a:xfrm>
                    <a:prstGeom prst="rect">
                      <a:avLst/>
                    </a:prstGeom>
                    <a:ln/>
                  </pic:spPr>
                </pic:pic>
              </a:graphicData>
            </a:graphic>
          </wp:inline>
        </w:drawing>
      </w:r>
    </w:p>
    <w:p w14:paraId="1645461E"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1: Formas de crear valor compartido. Adaptado a partir de Porter (2011)</w:t>
      </w:r>
    </w:p>
    <w:p w14:paraId="7A9FB820" w14:textId="77777777" w:rsidR="00930170" w:rsidRDefault="00930170">
      <w:pPr>
        <w:widowControl w:val="0"/>
        <w:jc w:val="both"/>
        <w:rPr>
          <w:rFonts w:ascii="Arial" w:eastAsia="Arial" w:hAnsi="Arial" w:cs="Arial"/>
          <w:b/>
          <w:sz w:val="22"/>
          <w:szCs w:val="22"/>
        </w:rPr>
      </w:pPr>
    </w:p>
    <w:p w14:paraId="5C67A28D" w14:textId="77777777" w:rsidR="00930170" w:rsidRDefault="00000000">
      <w:pPr>
        <w:widowControl w:val="0"/>
        <w:numPr>
          <w:ilvl w:val="1"/>
          <w:numId w:val="9"/>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Problemática Específica: Minera Au-Cu</w:t>
      </w:r>
    </w:p>
    <w:p w14:paraId="0ED3F00A" w14:textId="77777777" w:rsidR="00930170" w:rsidRDefault="00930170">
      <w:pPr>
        <w:widowControl w:val="0"/>
        <w:jc w:val="both"/>
        <w:rPr>
          <w:rFonts w:ascii="Arial" w:eastAsia="Arial" w:hAnsi="Arial" w:cs="Arial"/>
          <w:b/>
          <w:sz w:val="22"/>
          <w:szCs w:val="22"/>
        </w:rPr>
      </w:pPr>
    </w:p>
    <w:p w14:paraId="73AC69E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Minera Au-Cu opera una mina a tajo abierto con más de 25 años de experiencia en procesamiento de óxidos para producción de oro doré. La empresa se encuentra en proceso de transformación de sus operaciones metalúrgicas, migrando de pilas de </w:t>
      </w:r>
      <w:r>
        <w:rPr>
          <w:rFonts w:ascii="Arial" w:eastAsia="Arial" w:hAnsi="Arial" w:cs="Arial"/>
          <w:sz w:val="22"/>
          <w:szCs w:val="22"/>
        </w:rPr>
        <w:t>lixiviación hacia procesos de autoclave y flotación para recuperar cobre, lo que incrementará significativamente la demanda de cal y caliza.</w:t>
      </w:r>
    </w:p>
    <w:p w14:paraId="38688F13" w14:textId="77777777" w:rsidR="00930170" w:rsidRDefault="00930170">
      <w:pPr>
        <w:widowControl w:val="0"/>
        <w:jc w:val="both"/>
        <w:rPr>
          <w:rFonts w:ascii="Arial" w:eastAsia="Arial" w:hAnsi="Arial" w:cs="Arial"/>
          <w:sz w:val="22"/>
          <w:szCs w:val="22"/>
        </w:rPr>
      </w:pPr>
    </w:p>
    <w:p w14:paraId="1E45ADF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Actualmente, la empresa requiere 120,000 toneladas anuales de cal (40% gruesa, 60% fina), abastecidas mediante su planta Calcita (33%), tercerización con Cementos Nacional (50%), y compras a productores locales (17%). La proyección a 20 años indica una demanda sostenida de 260,000 toneladas anuales, incluyendo el nuevo requerimiento de piedra caliza para los procesos de recuperación de cobre.</w:t>
      </w:r>
    </w:p>
    <w:p w14:paraId="72306D77" w14:textId="77777777" w:rsidR="00930170" w:rsidRDefault="00930170">
      <w:pPr>
        <w:widowControl w:val="0"/>
        <w:jc w:val="both"/>
        <w:rPr>
          <w:rFonts w:ascii="Arial" w:eastAsia="Arial" w:hAnsi="Arial" w:cs="Arial"/>
          <w:sz w:val="22"/>
          <w:szCs w:val="22"/>
        </w:rPr>
      </w:pPr>
    </w:p>
    <w:p w14:paraId="46E47507" w14:textId="77777777" w:rsidR="00930170" w:rsidRDefault="00000000">
      <w:pPr>
        <w:widowControl w:val="0"/>
        <w:jc w:val="both"/>
        <w:rPr>
          <w:rFonts w:ascii="Arial" w:eastAsia="Arial" w:hAnsi="Arial" w:cs="Arial"/>
          <w:sz w:val="22"/>
          <w:szCs w:val="22"/>
        </w:rPr>
      </w:pPr>
      <w:r>
        <w:rPr>
          <w:rFonts w:ascii="Arial" w:eastAsia="Arial" w:hAnsi="Arial" w:cs="Arial"/>
          <w:noProof/>
          <w:color w:val="000000"/>
        </w:rPr>
        <w:drawing>
          <wp:inline distT="0" distB="0" distL="0" distR="0" wp14:anchorId="1FD142CA" wp14:editId="39FBFF5F">
            <wp:extent cx="3166110" cy="1762125"/>
            <wp:effectExtent l="0" t="0" r="0" b="0"/>
            <wp:docPr id="196083749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166110" cy="1762125"/>
                    </a:xfrm>
                    <a:prstGeom prst="rect">
                      <a:avLst/>
                    </a:prstGeom>
                    <a:ln/>
                  </pic:spPr>
                </pic:pic>
              </a:graphicData>
            </a:graphic>
          </wp:inline>
        </w:drawing>
      </w:r>
    </w:p>
    <w:p w14:paraId="456A5EB1"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2: Necesidad actual de Cal – Proyecto Minero</w:t>
      </w:r>
    </w:p>
    <w:p w14:paraId="1CBF7B47" w14:textId="77777777" w:rsidR="00930170" w:rsidRDefault="00930170">
      <w:pPr>
        <w:widowControl w:val="0"/>
        <w:jc w:val="both"/>
        <w:rPr>
          <w:rFonts w:ascii="Arial" w:eastAsia="Arial" w:hAnsi="Arial" w:cs="Arial"/>
          <w:sz w:val="22"/>
          <w:szCs w:val="22"/>
        </w:rPr>
      </w:pPr>
    </w:p>
    <w:p w14:paraId="78E9178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percepción negativa de las comunidades hacia el proyecto, generada por demandas históricas insatisfechas, beneficios percibidos limitados y bajo nivel de empleo local directo, representa un riesgo significativo para la continuidad operativa. Un escenario conservador estima que el mantenimiento del conflicto podría llevar a la paralización de la planta Calcita y la cantera, incrementando costos unitarios y reduciendo oportunidades de empleo local.</w:t>
      </w:r>
    </w:p>
    <w:p w14:paraId="213778FF" w14:textId="77777777" w:rsidR="00930170" w:rsidRDefault="00930170">
      <w:pPr>
        <w:widowControl w:val="0"/>
        <w:jc w:val="both"/>
        <w:rPr>
          <w:rFonts w:ascii="Arial" w:eastAsia="Arial" w:hAnsi="Arial" w:cs="Arial"/>
          <w:sz w:val="22"/>
          <w:szCs w:val="22"/>
        </w:rPr>
      </w:pPr>
    </w:p>
    <w:p w14:paraId="68298CE6" w14:textId="77777777" w:rsidR="00930170" w:rsidRDefault="00930170">
      <w:pPr>
        <w:widowControl w:val="0"/>
        <w:jc w:val="both"/>
        <w:rPr>
          <w:rFonts w:ascii="Arial" w:eastAsia="Arial" w:hAnsi="Arial" w:cs="Arial"/>
          <w:b/>
          <w:sz w:val="22"/>
          <w:szCs w:val="22"/>
        </w:rPr>
      </w:pPr>
    </w:p>
    <w:p w14:paraId="1D0F5196" w14:textId="77777777" w:rsidR="00930170" w:rsidRDefault="00000000">
      <w:pPr>
        <w:widowControl w:val="0"/>
        <w:numPr>
          <w:ilvl w:val="1"/>
          <w:numId w:val="9"/>
        </w:numPr>
        <w:pBdr>
          <w:top w:val="nil"/>
          <w:left w:val="nil"/>
          <w:bottom w:val="nil"/>
          <w:right w:val="nil"/>
          <w:between w:val="nil"/>
        </w:pBdr>
        <w:jc w:val="both"/>
        <w:rPr>
          <w:rFonts w:ascii="Arial" w:eastAsia="Arial" w:hAnsi="Arial" w:cs="Arial"/>
          <w:b/>
          <w:color w:val="000000"/>
          <w:sz w:val="22"/>
          <w:szCs w:val="22"/>
        </w:rPr>
      </w:pPr>
      <w:r>
        <w:rPr>
          <w:rFonts w:ascii="Arial" w:eastAsia="Arial" w:hAnsi="Arial" w:cs="Arial"/>
          <w:b/>
          <w:color w:val="000000"/>
          <w:sz w:val="22"/>
          <w:szCs w:val="22"/>
        </w:rPr>
        <w:t>Oportunidad de Desarrollo de Clúster</w:t>
      </w:r>
    </w:p>
    <w:p w14:paraId="6FB9AEE5" w14:textId="77777777" w:rsidR="00930170" w:rsidRDefault="00930170">
      <w:pPr>
        <w:widowControl w:val="0"/>
        <w:pBdr>
          <w:top w:val="nil"/>
          <w:left w:val="nil"/>
          <w:bottom w:val="nil"/>
          <w:right w:val="nil"/>
          <w:between w:val="nil"/>
        </w:pBdr>
        <w:ind w:left="372"/>
        <w:jc w:val="both"/>
        <w:rPr>
          <w:rFonts w:ascii="Arial" w:eastAsia="Arial" w:hAnsi="Arial" w:cs="Arial"/>
          <w:b/>
          <w:color w:val="000000"/>
          <w:sz w:val="22"/>
          <w:szCs w:val="22"/>
        </w:rPr>
      </w:pPr>
    </w:p>
    <w:p w14:paraId="41778B5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región donde opera Minera Au-Cu se posiciona como la cuarta productora nacional de caliza, con 43 depósitos identificados (INGEMMET, 2020) y 12 empresas locales especializadas en cal y caliza concentradas en el Distrito A. Esta configuración, junto con la demanda sostenida de 260,000 toneladas anuales durante 20 años, presenta una oportunidad única para desarrollar un clúster regional que beneficie tanto a la empresa como a las comunidades locales.</w:t>
      </w:r>
    </w:p>
    <w:p w14:paraId="222A5883" w14:textId="77777777" w:rsidR="00930170" w:rsidRDefault="00930170">
      <w:pPr>
        <w:widowControl w:val="0"/>
        <w:jc w:val="both"/>
        <w:rPr>
          <w:rFonts w:ascii="Arial" w:eastAsia="Arial" w:hAnsi="Arial" w:cs="Arial"/>
          <w:sz w:val="22"/>
          <w:szCs w:val="22"/>
        </w:rPr>
      </w:pPr>
    </w:p>
    <w:p w14:paraId="4D925861" w14:textId="77777777" w:rsidR="00930170" w:rsidRDefault="00000000">
      <w:pPr>
        <w:widowControl w:val="0"/>
        <w:jc w:val="both"/>
        <w:rPr>
          <w:rFonts w:ascii="Arial" w:eastAsia="Arial" w:hAnsi="Arial" w:cs="Arial"/>
          <w:b/>
          <w:sz w:val="22"/>
          <w:szCs w:val="22"/>
        </w:rPr>
      </w:pPr>
      <w:r>
        <w:rPr>
          <w:rFonts w:ascii="Arial" w:eastAsia="Arial" w:hAnsi="Arial" w:cs="Arial"/>
          <w:noProof/>
          <w:color w:val="000000"/>
        </w:rPr>
        <w:lastRenderedPageBreak/>
        <w:drawing>
          <wp:inline distT="0" distB="0" distL="0" distR="0" wp14:anchorId="1380BE00" wp14:editId="4D05BB59">
            <wp:extent cx="3166110" cy="2223135"/>
            <wp:effectExtent l="0" t="0" r="0" b="0"/>
            <wp:docPr id="1960837492" name="image2.png" descr="A screen 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 shot of a graph&#10;&#10;AI-generated content may be incorrect."/>
                    <pic:cNvPicPr preferRelativeResize="0"/>
                  </pic:nvPicPr>
                  <pic:blipFill>
                    <a:blip r:embed="rId16"/>
                    <a:srcRect/>
                    <a:stretch>
                      <a:fillRect/>
                    </a:stretch>
                  </pic:blipFill>
                  <pic:spPr>
                    <a:xfrm>
                      <a:off x="0" y="0"/>
                      <a:ext cx="3166110" cy="2223135"/>
                    </a:xfrm>
                    <a:prstGeom prst="rect">
                      <a:avLst/>
                    </a:prstGeom>
                    <a:ln/>
                  </pic:spPr>
                </pic:pic>
              </a:graphicData>
            </a:graphic>
          </wp:inline>
        </w:drawing>
      </w:r>
    </w:p>
    <w:p w14:paraId="02556353"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3: Proyección de consumo de Cal y Caliza en las operaciones</w:t>
      </w:r>
    </w:p>
    <w:p w14:paraId="20D011B7" w14:textId="77777777" w:rsidR="00930170" w:rsidRDefault="00930170">
      <w:pPr>
        <w:widowControl w:val="0"/>
        <w:jc w:val="both"/>
        <w:rPr>
          <w:rFonts w:ascii="Arial" w:eastAsia="Arial" w:hAnsi="Arial" w:cs="Arial"/>
          <w:sz w:val="22"/>
          <w:szCs w:val="22"/>
        </w:rPr>
      </w:pPr>
    </w:p>
    <w:p w14:paraId="6944538D" w14:textId="77777777" w:rsidR="00930170" w:rsidRDefault="00930170">
      <w:pPr>
        <w:widowControl w:val="0"/>
        <w:jc w:val="both"/>
        <w:rPr>
          <w:rFonts w:ascii="Arial" w:eastAsia="Arial" w:hAnsi="Arial" w:cs="Arial"/>
          <w:b/>
          <w:sz w:val="22"/>
          <w:szCs w:val="22"/>
        </w:rPr>
      </w:pPr>
    </w:p>
    <w:p w14:paraId="7D46304B"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2. Objetivos</w:t>
      </w:r>
    </w:p>
    <w:p w14:paraId="08B7B8EB" w14:textId="77777777" w:rsidR="00930170" w:rsidRDefault="00930170">
      <w:pPr>
        <w:widowControl w:val="0"/>
        <w:jc w:val="both"/>
        <w:rPr>
          <w:rFonts w:ascii="Arial" w:eastAsia="Arial" w:hAnsi="Arial" w:cs="Arial"/>
          <w:b/>
          <w:sz w:val="22"/>
          <w:szCs w:val="22"/>
        </w:rPr>
      </w:pPr>
    </w:p>
    <w:p w14:paraId="0B3DB2AA"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2.1 Objetivo General</w:t>
      </w:r>
    </w:p>
    <w:p w14:paraId="58FBEC70" w14:textId="77777777" w:rsidR="00930170" w:rsidRDefault="00930170">
      <w:pPr>
        <w:widowControl w:val="0"/>
        <w:jc w:val="both"/>
        <w:rPr>
          <w:rFonts w:ascii="Arial" w:eastAsia="Arial" w:hAnsi="Arial" w:cs="Arial"/>
          <w:b/>
          <w:sz w:val="22"/>
          <w:szCs w:val="22"/>
        </w:rPr>
      </w:pPr>
    </w:p>
    <w:p w14:paraId="53AA65D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Diseñar e implementar un modelo que permita medir cuantitativamente la generación de valor compartido en el abastecimiento de cal y caliza en el análisis de escenarios establecidos por Minera Au-Cu. Se busca proporcionar a la empresa una herramienta que le permita seleccionar la estrategia de abastecimiento con el mayor potencial de generación de valor compartido.</w:t>
      </w:r>
    </w:p>
    <w:p w14:paraId="4B12E60A" w14:textId="77777777" w:rsidR="00930170" w:rsidRDefault="00930170">
      <w:pPr>
        <w:widowControl w:val="0"/>
        <w:jc w:val="both"/>
        <w:rPr>
          <w:rFonts w:ascii="Arial" w:eastAsia="Arial" w:hAnsi="Arial" w:cs="Arial"/>
          <w:b/>
          <w:sz w:val="22"/>
          <w:szCs w:val="22"/>
        </w:rPr>
      </w:pPr>
    </w:p>
    <w:p w14:paraId="2F0FF928"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2.2 Objetivos Específicos</w:t>
      </w:r>
    </w:p>
    <w:p w14:paraId="12D6401C" w14:textId="77777777" w:rsidR="00930170" w:rsidRDefault="00930170">
      <w:pPr>
        <w:widowControl w:val="0"/>
        <w:jc w:val="both"/>
        <w:rPr>
          <w:rFonts w:ascii="Arial" w:eastAsia="Arial" w:hAnsi="Arial" w:cs="Arial"/>
          <w:b/>
          <w:sz w:val="22"/>
          <w:szCs w:val="22"/>
        </w:rPr>
      </w:pPr>
    </w:p>
    <w:p w14:paraId="40663E13"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2.2.1 Dimensión Económica: </w:t>
      </w:r>
      <w:r>
        <w:rPr>
          <w:rFonts w:ascii="Arial" w:eastAsia="Arial" w:hAnsi="Arial" w:cs="Arial"/>
          <w:sz w:val="22"/>
          <w:szCs w:val="22"/>
        </w:rPr>
        <w:t>Determinar el impacto económico de la estrategia de valor compartido en el abastecimiento de cal y caliza en los diversos escenarios establecidos por la empresa Au-Cu, mediante indicadores financieros que incluyan Free Cash Flow, Valor Actual Neto, Tasa Interna de Retorno, Índice de Rentabilidad y All-In Sustaining Cost.</w:t>
      </w:r>
    </w:p>
    <w:p w14:paraId="2D6838D1" w14:textId="77777777" w:rsidR="00930170" w:rsidRDefault="00930170">
      <w:pPr>
        <w:widowControl w:val="0"/>
        <w:jc w:val="both"/>
        <w:rPr>
          <w:rFonts w:ascii="Arial" w:eastAsia="Arial" w:hAnsi="Arial" w:cs="Arial"/>
          <w:b/>
          <w:sz w:val="22"/>
          <w:szCs w:val="22"/>
        </w:rPr>
      </w:pPr>
    </w:p>
    <w:p w14:paraId="12588292"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2.2.2 Dimensión Social: </w:t>
      </w:r>
      <w:r>
        <w:rPr>
          <w:rFonts w:ascii="Arial" w:eastAsia="Arial" w:hAnsi="Arial" w:cs="Arial"/>
          <w:sz w:val="22"/>
          <w:szCs w:val="22"/>
        </w:rPr>
        <w:t>Determinar el impacto social de la estrategia de valor compartido en el abastecimiento de cal y caliza, evaluando la concentración geográfica de proveedores locales, el desarrollo de conocimientos y habilidades en la comunidad, y la capacidad innovadora del clúster regional.</w:t>
      </w:r>
    </w:p>
    <w:p w14:paraId="6895C9F1" w14:textId="77777777" w:rsidR="00930170" w:rsidRDefault="00930170">
      <w:pPr>
        <w:widowControl w:val="0"/>
        <w:jc w:val="both"/>
        <w:rPr>
          <w:rFonts w:ascii="Arial" w:eastAsia="Arial" w:hAnsi="Arial" w:cs="Arial"/>
          <w:b/>
          <w:sz w:val="22"/>
          <w:szCs w:val="22"/>
        </w:rPr>
      </w:pPr>
    </w:p>
    <w:p w14:paraId="55711783"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2.2.3 Dimensión Ambiental: </w:t>
      </w:r>
      <w:r>
        <w:rPr>
          <w:rFonts w:ascii="Arial" w:eastAsia="Arial" w:hAnsi="Arial" w:cs="Arial"/>
          <w:sz w:val="22"/>
          <w:szCs w:val="22"/>
        </w:rPr>
        <w:t>Determinar el impacto ambiental de la estrategia de valor compartido en el abastecimiento de cal y caliza, midiendo la implementación de economía circular y el uso eficiente de energía a través de la optimización del transporte y reutilización de materiales.</w:t>
      </w:r>
    </w:p>
    <w:p w14:paraId="6E9FEB2E" w14:textId="77777777" w:rsidR="00930170" w:rsidRDefault="00930170">
      <w:pPr>
        <w:widowControl w:val="0"/>
        <w:jc w:val="both"/>
        <w:rPr>
          <w:rFonts w:ascii="Arial" w:eastAsia="Arial" w:hAnsi="Arial" w:cs="Arial"/>
          <w:b/>
          <w:sz w:val="22"/>
          <w:szCs w:val="22"/>
        </w:rPr>
      </w:pPr>
    </w:p>
    <w:p w14:paraId="080E47D0"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2.2.4 Integración de Dimensiones: </w:t>
      </w:r>
      <w:r>
        <w:rPr>
          <w:rFonts w:ascii="Arial" w:eastAsia="Arial" w:hAnsi="Arial" w:cs="Arial"/>
          <w:sz w:val="22"/>
          <w:szCs w:val="22"/>
        </w:rPr>
        <w:t>Determinar un indicador agregado de valor que permita integrar las mediciones de valor económico, social y ambiental mediante técnicas de normalización y ponderación que faciliten la toma de decisiones estratégicas.</w:t>
      </w:r>
    </w:p>
    <w:p w14:paraId="26E5B308" w14:textId="77777777" w:rsidR="00930170" w:rsidRDefault="00930170">
      <w:pPr>
        <w:widowControl w:val="0"/>
        <w:jc w:val="both"/>
        <w:rPr>
          <w:rFonts w:ascii="Arial" w:eastAsia="Arial" w:hAnsi="Arial" w:cs="Arial"/>
          <w:sz w:val="22"/>
          <w:szCs w:val="22"/>
        </w:rPr>
      </w:pPr>
    </w:p>
    <w:p w14:paraId="551203C9" w14:textId="65DADA2D" w:rsidR="00930170" w:rsidRDefault="009855CD">
      <w:pPr>
        <w:widowControl w:val="0"/>
        <w:jc w:val="both"/>
        <w:rPr>
          <w:rFonts w:ascii="Arial" w:eastAsia="Arial" w:hAnsi="Arial" w:cs="Arial"/>
          <w:b/>
          <w:sz w:val="22"/>
          <w:szCs w:val="22"/>
        </w:rPr>
      </w:pPr>
      <w:r w:rsidRPr="009855CD">
        <w:rPr>
          <w:rFonts w:ascii="Arial" w:eastAsia="Arial" w:hAnsi="Arial" w:cs="Arial"/>
          <w:b/>
          <w:sz w:val="22"/>
          <w:szCs w:val="22"/>
        </w:rPr>
        <w:drawing>
          <wp:inline distT="0" distB="0" distL="0" distR="0" wp14:anchorId="17F0E96F" wp14:editId="659D5626">
            <wp:extent cx="3063240" cy="5770880"/>
            <wp:effectExtent l="0" t="0" r="3810" b="0"/>
            <wp:docPr id="77" name="Imagen 76">
              <a:extLst xmlns:a="http://schemas.openxmlformats.org/drawingml/2006/main">
                <a:ext uri="{FF2B5EF4-FFF2-40B4-BE49-F238E27FC236}">
                  <a16:creationId xmlns:a16="http://schemas.microsoft.com/office/drawing/2014/main" id="{8FF3D905-260D-3212-F974-401FF2A9DE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6">
                      <a:extLst>
                        <a:ext uri="{FF2B5EF4-FFF2-40B4-BE49-F238E27FC236}">
                          <a16:creationId xmlns:a16="http://schemas.microsoft.com/office/drawing/2014/main" id="{8FF3D905-260D-3212-F974-401FF2A9DE8E}"/>
                        </a:ext>
                      </a:extLst>
                    </pic:cNvPr>
                    <pic:cNvPicPr>
                      <a:picLocks noChangeAspect="1"/>
                    </pic:cNvPicPr>
                  </pic:nvPicPr>
                  <pic:blipFill>
                    <a:blip r:embed="rId17"/>
                    <a:stretch>
                      <a:fillRect/>
                    </a:stretch>
                  </pic:blipFill>
                  <pic:spPr>
                    <a:xfrm>
                      <a:off x="0" y="0"/>
                      <a:ext cx="3063240" cy="5770880"/>
                    </a:xfrm>
                    <a:prstGeom prst="rect">
                      <a:avLst/>
                    </a:prstGeom>
                  </pic:spPr>
                </pic:pic>
              </a:graphicData>
            </a:graphic>
          </wp:inline>
        </w:drawing>
      </w:r>
    </w:p>
    <w:p w14:paraId="2F28139B"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4: Modelo gráfico de relación entre variables</w:t>
      </w:r>
    </w:p>
    <w:p w14:paraId="2F84F621" w14:textId="77777777" w:rsidR="00930170" w:rsidRDefault="00930170">
      <w:pPr>
        <w:widowControl w:val="0"/>
        <w:jc w:val="both"/>
        <w:rPr>
          <w:rFonts w:ascii="Arial" w:eastAsia="Arial" w:hAnsi="Arial" w:cs="Arial"/>
          <w:b/>
          <w:sz w:val="22"/>
          <w:szCs w:val="22"/>
        </w:rPr>
      </w:pPr>
    </w:p>
    <w:p w14:paraId="1AE31B25"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 Metodología y Recolección de Datos</w:t>
      </w:r>
    </w:p>
    <w:p w14:paraId="1595150A" w14:textId="77777777" w:rsidR="00930170" w:rsidRDefault="00930170">
      <w:pPr>
        <w:widowControl w:val="0"/>
        <w:jc w:val="both"/>
        <w:rPr>
          <w:rFonts w:ascii="Arial" w:eastAsia="Arial" w:hAnsi="Arial" w:cs="Arial"/>
          <w:b/>
          <w:sz w:val="22"/>
          <w:szCs w:val="22"/>
        </w:rPr>
      </w:pPr>
    </w:p>
    <w:p w14:paraId="1354D5C3"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3.1 Diseño de Investigación</w:t>
      </w:r>
    </w:p>
    <w:p w14:paraId="38994500" w14:textId="77777777" w:rsidR="00930170" w:rsidRDefault="00930170">
      <w:pPr>
        <w:widowControl w:val="0"/>
        <w:jc w:val="both"/>
        <w:rPr>
          <w:rFonts w:ascii="Arial" w:eastAsia="Arial" w:hAnsi="Arial" w:cs="Arial"/>
          <w:b/>
          <w:sz w:val="22"/>
          <w:szCs w:val="22"/>
        </w:rPr>
      </w:pPr>
    </w:p>
    <w:p w14:paraId="6AF8DC7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Esta investigación se caracteriza como aplicada, con enfoque mixto cuantitativo-cualitativo, de tipo correlacional y de carácter asincrónico. El estudio abarca un horizonte temporal de 21 años, utilizando datos históricos desde 2020 y proyecciones hasta 2041.</w:t>
      </w:r>
    </w:p>
    <w:p w14:paraId="682E249B" w14:textId="77777777" w:rsidR="00930170" w:rsidRDefault="00930170">
      <w:pPr>
        <w:widowControl w:val="0"/>
        <w:jc w:val="both"/>
        <w:rPr>
          <w:rFonts w:ascii="Arial" w:eastAsia="Arial" w:hAnsi="Arial" w:cs="Arial"/>
          <w:sz w:val="22"/>
          <w:szCs w:val="22"/>
        </w:rPr>
      </w:pPr>
    </w:p>
    <w:p w14:paraId="4D3F3FD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El enfoque cuantitativo incorpora características del </w:t>
      </w:r>
      <w:r>
        <w:rPr>
          <w:rFonts w:ascii="Arial" w:eastAsia="Arial" w:hAnsi="Arial" w:cs="Arial"/>
          <w:sz w:val="22"/>
          <w:szCs w:val="22"/>
        </w:rPr>
        <w:lastRenderedPageBreak/>
        <w:t>proceso de producción de cal y caliza, facturación de contratistas locales y requerimientos operativos de las plantas de Minera Au-Cu. El componente cualitativo incluye la asignación de puntuaciones a escenarios en aspectos ambientales y sociales, analizando realidades subjetivas que influyen en la generación de valor compartido.</w:t>
      </w:r>
    </w:p>
    <w:p w14:paraId="0E80629D" w14:textId="77777777" w:rsidR="00930170" w:rsidRDefault="00930170">
      <w:pPr>
        <w:widowControl w:val="0"/>
        <w:jc w:val="both"/>
        <w:rPr>
          <w:rFonts w:ascii="Arial" w:eastAsia="Arial" w:hAnsi="Arial" w:cs="Arial"/>
          <w:b/>
          <w:sz w:val="22"/>
          <w:szCs w:val="22"/>
        </w:rPr>
      </w:pPr>
    </w:p>
    <w:p w14:paraId="6E53D628"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3.2 Marco Conceptual de Variables</w:t>
      </w:r>
    </w:p>
    <w:p w14:paraId="214BB46B" w14:textId="77777777" w:rsidR="00930170" w:rsidRDefault="00930170">
      <w:pPr>
        <w:widowControl w:val="0"/>
        <w:jc w:val="both"/>
        <w:rPr>
          <w:rFonts w:ascii="Arial" w:eastAsia="Arial" w:hAnsi="Arial" w:cs="Arial"/>
          <w:b/>
          <w:sz w:val="22"/>
          <w:szCs w:val="22"/>
        </w:rPr>
      </w:pPr>
    </w:p>
    <w:p w14:paraId="7055385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investigación se sustenta en el modelo de valor compartido de Porter y Kramer (2011), específicamente en el desarrollo de clústeres locales. Se identificaron tres variables principales para la definición de escenarios:</w:t>
      </w:r>
    </w:p>
    <w:p w14:paraId="105E9E9F" w14:textId="77777777" w:rsidR="00930170" w:rsidRDefault="00930170">
      <w:pPr>
        <w:widowControl w:val="0"/>
        <w:jc w:val="both"/>
        <w:rPr>
          <w:rFonts w:ascii="Arial" w:eastAsia="Arial" w:hAnsi="Arial" w:cs="Arial"/>
          <w:b/>
          <w:sz w:val="22"/>
          <w:szCs w:val="22"/>
        </w:rPr>
      </w:pPr>
    </w:p>
    <w:p w14:paraId="18F804EB"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Cantera Rocca: </w:t>
      </w:r>
      <w:r>
        <w:rPr>
          <w:rFonts w:ascii="Arial" w:eastAsia="Arial" w:hAnsi="Arial" w:cs="Arial"/>
          <w:sz w:val="22"/>
          <w:szCs w:val="22"/>
        </w:rPr>
        <w:t>Activo de Minera Au-Cu para extracción de piedra caliza con capacidad actual y potencial de expansión.</w:t>
      </w:r>
    </w:p>
    <w:p w14:paraId="7DE165F6" w14:textId="77777777" w:rsidR="00930170" w:rsidRDefault="00930170">
      <w:pPr>
        <w:widowControl w:val="0"/>
        <w:jc w:val="both"/>
        <w:rPr>
          <w:rFonts w:ascii="Arial" w:eastAsia="Arial" w:hAnsi="Arial" w:cs="Arial"/>
          <w:b/>
          <w:sz w:val="22"/>
          <w:szCs w:val="22"/>
        </w:rPr>
      </w:pPr>
    </w:p>
    <w:p w14:paraId="4B119038"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Planta Calcita: </w:t>
      </w:r>
      <w:r>
        <w:rPr>
          <w:rFonts w:ascii="Arial" w:eastAsia="Arial" w:hAnsi="Arial" w:cs="Arial"/>
          <w:sz w:val="22"/>
          <w:szCs w:val="22"/>
        </w:rPr>
        <w:t>Instalación de procesamiento con capacidad de 35 ktpy que transforma piedra caliza en cal mediante calcinación.</w:t>
      </w:r>
    </w:p>
    <w:p w14:paraId="7BD685F0" w14:textId="77777777" w:rsidR="00930170" w:rsidRDefault="00930170">
      <w:pPr>
        <w:widowControl w:val="0"/>
        <w:jc w:val="both"/>
        <w:rPr>
          <w:rFonts w:ascii="Arial" w:eastAsia="Arial" w:hAnsi="Arial" w:cs="Arial"/>
          <w:b/>
          <w:sz w:val="22"/>
          <w:szCs w:val="22"/>
        </w:rPr>
      </w:pPr>
    </w:p>
    <w:p w14:paraId="6FDD40F8"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Sistema de Molienda: </w:t>
      </w:r>
      <w:r>
        <w:rPr>
          <w:rFonts w:ascii="Arial" w:eastAsia="Arial" w:hAnsi="Arial" w:cs="Arial"/>
          <w:sz w:val="22"/>
          <w:szCs w:val="22"/>
        </w:rPr>
        <w:t>Molino de bolas propuesto para transformar cal gruesa en cal fina, incrementando flexibilidad de abastecimiento local.</w:t>
      </w:r>
    </w:p>
    <w:p w14:paraId="161262CE" w14:textId="77777777" w:rsidR="00930170" w:rsidRDefault="00930170">
      <w:pPr>
        <w:widowControl w:val="0"/>
        <w:jc w:val="both"/>
        <w:rPr>
          <w:rFonts w:ascii="Arial" w:eastAsia="Arial" w:hAnsi="Arial" w:cs="Arial"/>
          <w:b/>
          <w:sz w:val="22"/>
          <w:szCs w:val="22"/>
        </w:rPr>
      </w:pPr>
    </w:p>
    <w:p w14:paraId="5A65444A"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3.3 Definición y Operacionalización de Escenarios</w:t>
      </w:r>
    </w:p>
    <w:p w14:paraId="79F9A159" w14:textId="77777777" w:rsidR="00930170" w:rsidRDefault="00930170">
      <w:pPr>
        <w:widowControl w:val="0"/>
        <w:jc w:val="both"/>
        <w:rPr>
          <w:rFonts w:ascii="Arial" w:eastAsia="Arial" w:hAnsi="Arial" w:cs="Arial"/>
          <w:b/>
          <w:sz w:val="22"/>
          <w:szCs w:val="22"/>
        </w:rPr>
      </w:pPr>
    </w:p>
    <w:p w14:paraId="78AFC4B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Se definieron 10 escenarios alternativos clasificados en dos categorías principales:</w:t>
      </w:r>
    </w:p>
    <w:p w14:paraId="0A19DA20" w14:textId="77777777" w:rsidR="00930170" w:rsidRDefault="00930170">
      <w:pPr>
        <w:widowControl w:val="0"/>
        <w:jc w:val="both"/>
        <w:rPr>
          <w:rFonts w:ascii="Arial" w:eastAsia="Arial" w:hAnsi="Arial" w:cs="Arial"/>
          <w:b/>
          <w:sz w:val="22"/>
          <w:szCs w:val="22"/>
        </w:rPr>
      </w:pPr>
    </w:p>
    <w:p w14:paraId="1CD1C209"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Con Cantera Rocca (CR): </w:t>
      </w:r>
      <w:r>
        <w:rPr>
          <w:rFonts w:ascii="Arial" w:eastAsia="Arial" w:hAnsi="Arial" w:cs="Arial"/>
          <w:sz w:val="22"/>
          <w:szCs w:val="22"/>
        </w:rPr>
        <w:t>6 escenarios que mantienen la operación de la cantera propia</w:t>
      </w:r>
    </w:p>
    <w:p w14:paraId="360DA6E4"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CR-1: Estado actual</w:t>
      </w:r>
    </w:p>
    <w:p w14:paraId="44C84794"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CR-2: Estado actual (más conservador)</w:t>
      </w:r>
    </w:p>
    <w:p w14:paraId="526ECEEF"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CR-3: Abastecimiento equilibrado</w:t>
      </w:r>
    </w:p>
    <w:p w14:paraId="00057C52"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CR-4: Ampliación agresiva cantera Rocca</w:t>
      </w:r>
    </w:p>
    <w:p w14:paraId="6D7F12EE"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CR-5: Maximización de empleo local</w:t>
      </w:r>
    </w:p>
    <w:p w14:paraId="3F0616B2" w14:textId="77777777" w:rsidR="00930170" w:rsidRDefault="00000000">
      <w:pPr>
        <w:widowControl w:val="0"/>
        <w:numPr>
          <w:ilvl w:val="0"/>
          <w:numId w:val="10"/>
        </w:numPr>
        <w:jc w:val="both"/>
        <w:rPr>
          <w:rFonts w:ascii="Arial" w:eastAsia="Arial" w:hAnsi="Arial" w:cs="Arial"/>
          <w:sz w:val="22"/>
          <w:szCs w:val="22"/>
        </w:rPr>
      </w:pPr>
      <w:r>
        <w:rPr>
          <w:rFonts w:ascii="Arial" w:eastAsia="Arial" w:hAnsi="Arial" w:cs="Arial"/>
          <w:sz w:val="22"/>
          <w:szCs w:val="22"/>
        </w:rPr>
        <w:t>CR-6: Maximización de molienda local</w:t>
      </w:r>
    </w:p>
    <w:p w14:paraId="67A17105" w14:textId="77777777" w:rsidR="00930170" w:rsidRDefault="00930170">
      <w:pPr>
        <w:widowControl w:val="0"/>
        <w:ind w:left="720"/>
        <w:jc w:val="both"/>
        <w:rPr>
          <w:rFonts w:ascii="Arial" w:eastAsia="Arial" w:hAnsi="Arial" w:cs="Arial"/>
          <w:b/>
          <w:sz w:val="22"/>
          <w:szCs w:val="22"/>
        </w:rPr>
      </w:pPr>
    </w:p>
    <w:p w14:paraId="3779BC29"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Sin Cantera Rocca (SR): </w:t>
      </w:r>
      <w:r>
        <w:rPr>
          <w:rFonts w:ascii="Arial" w:eastAsia="Arial" w:hAnsi="Arial" w:cs="Arial"/>
          <w:sz w:val="22"/>
          <w:szCs w:val="22"/>
        </w:rPr>
        <w:t>4 escenarios que contemplan el agotamiento o cierre de la cantera</w:t>
      </w:r>
    </w:p>
    <w:p w14:paraId="54344796" w14:textId="77777777" w:rsidR="00930170" w:rsidRDefault="00000000">
      <w:pPr>
        <w:widowControl w:val="0"/>
        <w:numPr>
          <w:ilvl w:val="0"/>
          <w:numId w:val="1"/>
        </w:numPr>
        <w:jc w:val="both"/>
        <w:rPr>
          <w:rFonts w:ascii="Arial" w:eastAsia="Arial" w:hAnsi="Arial" w:cs="Arial"/>
          <w:sz w:val="22"/>
          <w:szCs w:val="22"/>
        </w:rPr>
      </w:pPr>
      <w:r>
        <w:rPr>
          <w:rFonts w:ascii="Arial" w:eastAsia="Arial" w:hAnsi="Arial" w:cs="Arial"/>
          <w:sz w:val="22"/>
          <w:szCs w:val="22"/>
        </w:rPr>
        <w:t>SR-1: Abastecimiento a través de nueva cantera local</w:t>
      </w:r>
    </w:p>
    <w:p w14:paraId="74AB2566" w14:textId="77777777" w:rsidR="00930170" w:rsidRDefault="00000000">
      <w:pPr>
        <w:widowControl w:val="0"/>
        <w:numPr>
          <w:ilvl w:val="0"/>
          <w:numId w:val="1"/>
        </w:numPr>
        <w:jc w:val="both"/>
        <w:rPr>
          <w:rFonts w:ascii="Arial" w:eastAsia="Arial" w:hAnsi="Arial" w:cs="Arial"/>
          <w:sz w:val="22"/>
          <w:szCs w:val="22"/>
        </w:rPr>
      </w:pPr>
      <w:r>
        <w:rPr>
          <w:rFonts w:ascii="Arial" w:eastAsia="Arial" w:hAnsi="Arial" w:cs="Arial"/>
          <w:sz w:val="22"/>
          <w:szCs w:val="22"/>
        </w:rPr>
        <w:t>SR-2: Adquisición de nueva cantera local</w:t>
      </w:r>
    </w:p>
    <w:p w14:paraId="64C6A713" w14:textId="77777777" w:rsidR="00930170" w:rsidRDefault="00000000">
      <w:pPr>
        <w:widowControl w:val="0"/>
        <w:numPr>
          <w:ilvl w:val="0"/>
          <w:numId w:val="1"/>
        </w:numPr>
        <w:jc w:val="both"/>
        <w:rPr>
          <w:rFonts w:ascii="Arial" w:eastAsia="Arial" w:hAnsi="Arial" w:cs="Arial"/>
          <w:sz w:val="22"/>
          <w:szCs w:val="22"/>
        </w:rPr>
      </w:pPr>
      <w:r>
        <w:rPr>
          <w:rFonts w:ascii="Arial" w:eastAsia="Arial" w:hAnsi="Arial" w:cs="Arial"/>
          <w:sz w:val="22"/>
          <w:szCs w:val="22"/>
        </w:rPr>
        <w:t>SR-3: Agotamiento de cantera Rocca</w:t>
      </w:r>
    </w:p>
    <w:p w14:paraId="340468D5" w14:textId="77777777" w:rsidR="00930170" w:rsidRDefault="00000000">
      <w:pPr>
        <w:widowControl w:val="0"/>
        <w:numPr>
          <w:ilvl w:val="0"/>
          <w:numId w:val="1"/>
        </w:numPr>
        <w:jc w:val="both"/>
        <w:rPr>
          <w:rFonts w:ascii="Arial" w:eastAsia="Arial" w:hAnsi="Arial" w:cs="Arial"/>
          <w:sz w:val="22"/>
          <w:szCs w:val="22"/>
        </w:rPr>
      </w:pPr>
      <w:r>
        <w:rPr>
          <w:rFonts w:ascii="Arial" w:eastAsia="Arial" w:hAnsi="Arial" w:cs="Arial"/>
          <w:sz w:val="22"/>
          <w:szCs w:val="22"/>
        </w:rPr>
        <w:t>SR-4: Agotamiento de cantera Rocca con reutilización de finos</w:t>
      </w:r>
    </w:p>
    <w:p w14:paraId="2836808F" w14:textId="77777777" w:rsidR="00930170" w:rsidRDefault="00930170">
      <w:pPr>
        <w:widowControl w:val="0"/>
        <w:jc w:val="both"/>
        <w:rPr>
          <w:rFonts w:ascii="Arial" w:eastAsia="Arial" w:hAnsi="Arial" w:cs="Arial"/>
          <w:sz w:val="22"/>
          <w:szCs w:val="22"/>
        </w:rPr>
      </w:pPr>
    </w:p>
    <w:p w14:paraId="4DEEA4DF" w14:textId="77777777" w:rsidR="00930170" w:rsidRDefault="00000000">
      <w:pPr>
        <w:widowControl w:val="0"/>
        <w:jc w:val="both"/>
        <w:rPr>
          <w:rFonts w:ascii="Arial" w:eastAsia="Arial" w:hAnsi="Arial" w:cs="Arial"/>
          <w:sz w:val="22"/>
          <w:szCs w:val="22"/>
        </w:rPr>
      </w:pPr>
      <w:r>
        <w:rPr>
          <w:rFonts w:ascii="Arial" w:eastAsia="Arial" w:hAnsi="Arial" w:cs="Arial"/>
          <w:noProof/>
          <w:color w:val="000000"/>
        </w:rPr>
        <w:drawing>
          <wp:inline distT="0" distB="0" distL="0" distR="0" wp14:anchorId="3A330034" wp14:editId="519B9944">
            <wp:extent cx="3166110" cy="4973955"/>
            <wp:effectExtent l="0" t="0" r="0" b="0"/>
            <wp:docPr id="1960837494" name="image3.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 screen&#10;&#10;AI-generated content may be incorrect."/>
                    <pic:cNvPicPr preferRelativeResize="0"/>
                  </pic:nvPicPr>
                  <pic:blipFill>
                    <a:blip r:embed="rId18"/>
                    <a:srcRect/>
                    <a:stretch>
                      <a:fillRect/>
                    </a:stretch>
                  </pic:blipFill>
                  <pic:spPr>
                    <a:xfrm>
                      <a:off x="0" y="0"/>
                      <a:ext cx="3166110" cy="4973955"/>
                    </a:xfrm>
                    <a:prstGeom prst="rect">
                      <a:avLst/>
                    </a:prstGeom>
                    <a:ln/>
                  </pic:spPr>
                </pic:pic>
              </a:graphicData>
            </a:graphic>
          </wp:inline>
        </w:drawing>
      </w:r>
    </w:p>
    <w:p w14:paraId="5737DE52"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5: Escenarios según origen de cal y piedra caliza</w:t>
      </w:r>
    </w:p>
    <w:p w14:paraId="1558CB6E" w14:textId="77777777" w:rsidR="00930170" w:rsidRDefault="00930170">
      <w:pPr>
        <w:widowControl w:val="0"/>
        <w:ind w:left="720"/>
        <w:jc w:val="both"/>
        <w:rPr>
          <w:rFonts w:ascii="Arial" w:eastAsia="Arial" w:hAnsi="Arial" w:cs="Arial"/>
          <w:sz w:val="22"/>
          <w:szCs w:val="22"/>
        </w:rPr>
      </w:pPr>
    </w:p>
    <w:p w14:paraId="0A80F40F"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3.4 Metodología de Optimización</w:t>
      </w:r>
    </w:p>
    <w:p w14:paraId="101FA6AA" w14:textId="77777777" w:rsidR="00930170" w:rsidRDefault="00930170">
      <w:pPr>
        <w:widowControl w:val="0"/>
        <w:jc w:val="both"/>
        <w:rPr>
          <w:rFonts w:ascii="Arial" w:eastAsia="Arial" w:hAnsi="Arial" w:cs="Arial"/>
          <w:b/>
          <w:sz w:val="22"/>
          <w:szCs w:val="22"/>
        </w:rPr>
      </w:pPr>
    </w:p>
    <w:p w14:paraId="2949789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Se implementó programación lineal utilizando Excel Solver para optimizar los costos operativos de cada escenario. La función objetivo busca minimizar los costos totales sujeto a restricciones de:</w:t>
      </w:r>
    </w:p>
    <w:p w14:paraId="02A4E300" w14:textId="77777777" w:rsidR="00930170" w:rsidRDefault="00930170">
      <w:pPr>
        <w:widowControl w:val="0"/>
        <w:jc w:val="both"/>
        <w:rPr>
          <w:rFonts w:ascii="Arial" w:eastAsia="Arial" w:hAnsi="Arial" w:cs="Arial"/>
          <w:sz w:val="22"/>
          <w:szCs w:val="22"/>
        </w:rPr>
      </w:pPr>
    </w:p>
    <w:p w14:paraId="0AA520D0" w14:textId="77777777" w:rsidR="00930170" w:rsidRDefault="00000000">
      <w:pPr>
        <w:widowControl w:val="0"/>
        <w:numPr>
          <w:ilvl w:val="0"/>
          <w:numId w:val="2"/>
        </w:numPr>
        <w:jc w:val="both"/>
        <w:rPr>
          <w:rFonts w:ascii="Arial" w:eastAsia="Arial" w:hAnsi="Arial" w:cs="Arial"/>
          <w:sz w:val="22"/>
          <w:szCs w:val="22"/>
        </w:rPr>
      </w:pPr>
      <w:r>
        <w:rPr>
          <w:rFonts w:ascii="Arial" w:eastAsia="Arial" w:hAnsi="Arial" w:cs="Arial"/>
          <w:sz w:val="22"/>
          <w:szCs w:val="22"/>
        </w:rPr>
        <w:t>Demanda anual de cal fina, cal gruesa y piedra caliza</w:t>
      </w:r>
    </w:p>
    <w:p w14:paraId="7BE88CAD" w14:textId="77777777" w:rsidR="00930170" w:rsidRDefault="00000000">
      <w:pPr>
        <w:widowControl w:val="0"/>
        <w:numPr>
          <w:ilvl w:val="0"/>
          <w:numId w:val="2"/>
        </w:numPr>
        <w:jc w:val="both"/>
        <w:rPr>
          <w:rFonts w:ascii="Arial" w:eastAsia="Arial" w:hAnsi="Arial" w:cs="Arial"/>
          <w:sz w:val="22"/>
          <w:szCs w:val="22"/>
        </w:rPr>
      </w:pPr>
      <w:r>
        <w:rPr>
          <w:rFonts w:ascii="Arial" w:eastAsia="Arial" w:hAnsi="Arial" w:cs="Arial"/>
          <w:sz w:val="22"/>
          <w:szCs w:val="22"/>
        </w:rPr>
        <w:t>Capacidad máxima de producción de la Planta Calcita (65,000 t/año)</w:t>
      </w:r>
    </w:p>
    <w:p w14:paraId="2369B3C3" w14:textId="77777777" w:rsidR="00930170" w:rsidRDefault="00000000">
      <w:pPr>
        <w:widowControl w:val="0"/>
        <w:numPr>
          <w:ilvl w:val="0"/>
          <w:numId w:val="2"/>
        </w:numPr>
        <w:jc w:val="both"/>
        <w:rPr>
          <w:rFonts w:ascii="Arial" w:eastAsia="Arial" w:hAnsi="Arial" w:cs="Arial"/>
          <w:sz w:val="22"/>
          <w:szCs w:val="22"/>
        </w:rPr>
      </w:pPr>
      <w:r>
        <w:rPr>
          <w:rFonts w:ascii="Arial" w:eastAsia="Arial" w:hAnsi="Arial" w:cs="Arial"/>
          <w:sz w:val="22"/>
          <w:szCs w:val="22"/>
        </w:rPr>
        <w:t>Capacidad del molino de bolas (66,000 t/año)</w:t>
      </w:r>
    </w:p>
    <w:p w14:paraId="29221230" w14:textId="77777777" w:rsidR="00930170" w:rsidRDefault="00000000">
      <w:pPr>
        <w:widowControl w:val="0"/>
        <w:numPr>
          <w:ilvl w:val="0"/>
          <w:numId w:val="2"/>
        </w:numPr>
        <w:jc w:val="both"/>
        <w:rPr>
          <w:rFonts w:ascii="Arial" w:eastAsia="Arial" w:hAnsi="Arial" w:cs="Arial"/>
          <w:sz w:val="22"/>
          <w:szCs w:val="22"/>
        </w:rPr>
      </w:pPr>
      <w:r>
        <w:rPr>
          <w:rFonts w:ascii="Arial" w:eastAsia="Arial" w:hAnsi="Arial" w:cs="Arial"/>
          <w:sz w:val="22"/>
          <w:szCs w:val="22"/>
        </w:rPr>
        <w:t>Disponibilidad de proveedores locales</w:t>
      </w:r>
    </w:p>
    <w:p w14:paraId="1B2086D1" w14:textId="77777777" w:rsidR="00930170" w:rsidRDefault="00000000">
      <w:pPr>
        <w:widowControl w:val="0"/>
        <w:numPr>
          <w:ilvl w:val="0"/>
          <w:numId w:val="2"/>
        </w:numPr>
        <w:jc w:val="both"/>
        <w:rPr>
          <w:rFonts w:ascii="Arial" w:eastAsia="Arial" w:hAnsi="Arial" w:cs="Arial"/>
          <w:sz w:val="22"/>
          <w:szCs w:val="22"/>
        </w:rPr>
      </w:pPr>
      <w:r>
        <w:rPr>
          <w:rFonts w:ascii="Arial" w:eastAsia="Arial" w:hAnsi="Arial" w:cs="Arial"/>
          <w:sz w:val="22"/>
          <w:szCs w:val="22"/>
        </w:rPr>
        <w:t>Recursos disponibles en Cantera Rocca</w:t>
      </w:r>
    </w:p>
    <w:p w14:paraId="49E0CF6D" w14:textId="77777777" w:rsidR="00930170" w:rsidRDefault="00930170">
      <w:pPr>
        <w:widowControl w:val="0"/>
        <w:ind w:left="720"/>
        <w:jc w:val="both"/>
        <w:rPr>
          <w:rFonts w:ascii="Arial" w:eastAsia="Arial" w:hAnsi="Arial" w:cs="Arial"/>
          <w:b/>
          <w:sz w:val="22"/>
          <w:szCs w:val="22"/>
        </w:rPr>
      </w:pPr>
    </w:p>
    <w:p w14:paraId="508257B9"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3.5 Sistema de Indicadores</w:t>
      </w:r>
    </w:p>
    <w:p w14:paraId="336C26DB" w14:textId="77777777" w:rsidR="00930170" w:rsidRDefault="00930170">
      <w:pPr>
        <w:widowControl w:val="0"/>
        <w:jc w:val="both"/>
        <w:rPr>
          <w:rFonts w:ascii="Arial" w:eastAsia="Arial" w:hAnsi="Arial" w:cs="Arial"/>
          <w:b/>
          <w:sz w:val="22"/>
          <w:szCs w:val="22"/>
        </w:rPr>
      </w:pPr>
    </w:p>
    <w:p w14:paraId="571B6072" w14:textId="73B99202" w:rsidR="00930170" w:rsidRDefault="009855CD">
      <w:pPr>
        <w:widowControl w:val="0"/>
        <w:jc w:val="both"/>
        <w:rPr>
          <w:rFonts w:ascii="Arial" w:eastAsia="Arial" w:hAnsi="Arial" w:cs="Arial"/>
          <w:b/>
          <w:sz w:val="22"/>
          <w:szCs w:val="22"/>
        </w:rPr>
      </w:pPr>
      <w:r w:rsidRPr="009855CD">
        <w:rPr>
          <w:rFonts w:ascii="Arial" w:eastAsia="Arial" w:hAnsi="Arial" w:cs="Arial"/>
          <w:b/>
          <w:sz w:val="22"/>
          <w:szCs w:val="22"/>
        </w:rPr>
        <w:lastRenderedPageBreak/>
        <w:drawing>
          <wp:inline distT="0" distB="0" distL="0" distR="0" wp14:anchorId="312348D8" wp14:editId="1579C095">
            <wp:extent cx="3063240" cy="2302510"/>
            <wp:effectExtent l="0" t="0" r="3810" b="2540"/>
            <wp:docPr id="1944605163" name="Imagen 76" descr="Diagrama&#10;&#10;El contenido generado por IA puede ser incorrecto.">
              <a:extLst xmlns:a="http://schemas.openxmlformats.org/drawingml/2006/main">
                <a:ext uri="{FF2B5EF4-FFF2-40B4-BE49-F238E27FC236}">
                  <a16:creationId xmlns:a16="http://schemas.microsoft.com/office/drawing/2014/main" id="{05F67431-2326-C5F5-ADCA-2C767CAF4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05163" name="Imagen 76" descr="Diagrama&#10;&#10;El contenido generado por IA puede ser incorrecto.">
                      <a:extLst>
                        <a:ext uri="{FF2B5EF4-FFF2-40B4-BE49-F238E27FC236}">
                          <a16:creationId xmlns:a16="http://schemas.microsoft.com/office/drawing/2014/main" id="{05F67431-2326-C5F5-ADCA-2C767CAF4D38}"/>
                        </a:ext>
                      </a:extLst>
                    </pic:cNvPr>
                    <pic:cNvPicPr>
                      <a:picLocks noChangeAspect="1"/>
                    </pic:cNvPicPr>
                  </pic:nvPicPr>
                  <pic:blipFill>
                    <a:blip r:embed="rId19"/>
                    <a:stretch>
                      <a:fillRect/>
                    </a:stretch>
                  </pic:blipFill>
                  <pic:spPr>
                    <a:xfrm>
                      <a:off x="0" y="0"/>
                      <a:ext cx="3063240" cy="2302510"/>
                    </a:xfrm>
                    <a:prstGeom prst="rect">
                      <a:avLst/>
                    </a:prstGeom>
                  </pic:spPr>
                </pic:pic>
              </a:graphicData>
            </a:graphic>
          </wp:inline>
        </w:drawing>
      </w:r>
    </w:p>
    <w:p w14:paraId="504FDACB" w14:textId="77777777" w:rsidR="00930170" w:rsidRDefault="00000000">
      <w:pPr>
        <w:widowControl w:val="0"/>
        <w:jc w:val="center"/>
        <w:rPr>
          <w:rFonts w:ascii="Arial" w:eastAsia="Arial" w:hAnsi="Arial" w:cs="Arial"/>
          <w:i/>
          <w:sz w:val="22"/>
          <w:szCs w:val="22"/>
        </w:rPr>
      </w:pPr>
      <w:r>
        <w:rPr>
          <w:rFonts w:ascii="Arial" w:eastAsia="Arial" w:hAnsi="Arial" w:cs="Arial"/>
          <w:i/>
          <w:sz w:val="22"/>
          <w:szCs w:val="22"/>
        </w:rPr>
        <w:t>Figura 6: Indicadores de creación de valor compartido</w:t>
      </w:r>
    </w:p>
    <w:p w14:paraId="22896E5F" w14:textId="77777777" w:rsidR="00930170" w:rsidRDefault="00930170">
      <w:pPr>
        <w:widowControl w:val="0"/>
        <w:jc w:val="both"/>
        <w:rPr>
          <w:rFonts w:ascii="Arial" w:eastAsia="Arial" w:hAnsi="Arial" w:cs="Arial"/>
          <w:b/>
          <w:sz w:val="22"/>
          <w:szCs w:val="22"/>
        </w:rPr>
      </w:pPr>
    </w:p>
    <w:p w14:paraId="0D5BF713"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3.5.1 Dimensión Económica </w:t>
      </w:r>
      <w:r>
        <w:rPr>
          <w:rFonts w:ascii="Arial" w:eastAsia="Arial" w:hAnsi="Arial" w:cs="Arial"/>
          <w:sz w:val="22"/>
          <w:szCs w:val="22"/>
        </w:rPr>
        <w:t>Basado en Porter et al. (2012), se consideraron cinco indicadores financieros clave:</w:t>
      </w:r>
    </w:p>
    <w:p w14:paraId="1C224F19" w14:textId="77777777" w:rsidR="00930170" w:rsidRDefault="00930170">
      <w:pPr>
        <w:widowControl w:val="0"/>
        <w:jc w:val="both"/>
        <w:rPr>
          <w:rFonts w:ascii="Arial" w:eastAsia="Arial" w:hAnsi="Arial" w:cs="Arial"/>
          <w:b/>
          <w:sz w:val="22"/>
          <w:szCs w:val="22"/>
        </w:rPr>
      </w:pPr>
    </w:p>
    <w:p w14:paraId="6B413896" w14:textId="77777777" w:rsidR="00930170" w:rsidRDefault="00000000">
      <w:pPr>
        <w:widowControl w:val="0"/>
        <w:numPr>
          <w:ilvl w:val="0"/>
          <w:numId w:val="3"/>
        </w:numPr>
        <w:jc w:val="both"/>
        <w:rPr>
          <w:rFonts w:ascii="Arial" w:eastAsia="Arial" w:hAnsi="Arial" w:cs="Arial"/>
          <w:sz w:val="22"/>
          <w:szCs w:val="22"/>
        </w:rPr>
      </w:pPr>
      <w:r>
        <w:rPr>
          <w:rFonts w:ascii="Arial" w:eastAsia="Arial" w:hAnsi="Arial" w:cs="Arial"/>
          <w:sz w:val="22"/>
          <w:szCs w:val="22"/>
        </w:rPr>
        <w:t>Free Cash Flow (FCF): Efectivo disponible después de cumplir obligaciones operativas y de capital</w:t>
      </w:r>
    </w:p>
    <w:p w14:paraId="4024CFC6" w14:textId="77777777" w:rsidR="00930170" w:rsidRDefault="00000000">
      <w:pPr>
        <w:widowControl w:val="0"/>
        <w:numPr>
          <w:ilvl w:val="0"/>
          <w:numId w:val="3"/>
        </w:numPr>
        <w:jc w:val="both"/>
        <w:rPr>
          <w:rFonts w:ascii="Arial" w:eastAsia="Arial" w:hAnsi="Arial" w:cs="Arial"/>
          <w:sz w:val="22"/>
          <w:szCs w:val="22"/>
        </w:rPr>
      </w:pPr>
      <w:r>
        <w:rPr>
          <w:rFonts w:ascii="Arial" w:eastAsia="Arial" w:hAnsi="Arial" w:cs="Arial"/>
          <w:sz w:val="22"/>
          <w:szCs w:val="22"/>
        </w:rPr>
        <w:t>Valor Actual Neto (VAN): Valor presente de flujos futuros descontados al 8.5%</w:t>
      </w:r>
    </w:p>
    <w:p w14:paraId="5F43AD61" w14:textId="77777777" w:rsidR="00930170" w:rsidRDefault="00000000">
      <w:pPr>
        <w:widowControl w:val="0"/>
        <w:numPr>
          <w:ilvl w:val="0"/>
          <w:numId w:val="3"/>
        </w:numPr>
        <w:jc w:val="both"/>
        <w:rPr>
          <w:rFonts w:ascii="Arial" w:eastAsia="Arial" w:hAnsi="Arial" w:cs="Arial"/>
          <w:sz w:val="22"/>
          <w:szCs w:val="22"/>
        </w:rPr>
      </w:pPr>
      <w:r>
        <w:rPr>
          <w:rFonts w:ascii="Arial" w:eastAsia="Arial" w:hAnsi="Arial" w:cs="Arial"/>
          <w:sz w:val="22"/>
          <w:szCs w:val="22"/>
        </w:rPr>
        <w:t>Tasa Interna de Retorno (TIR): Rendimiento porcentual de la inversión</w:t>
      </w:r>
    </w:p>
    <w:p w14:paraId="425F42E5" w14:textId="77777777" w:rsidR="00930170" w:rsidRDefault="00000000">
      <w:pPr>
        <w:widowControl w:val="0"/>
        <w:numPr>
          <w:ilvl w:val="0"/>
          <w:numId w:val="3"/>
        </w:numPr>
        <w:jc w:val="both"/>
        <w:rPr>
          <w:rFonts w:ascii="Arial" w:eastAsia="Arial" w:hAnsi="Arial" w:cs="Arial"/>
          <w:sz w:val="22"/>
          <w:szCs w:val="22"/>
        </w:rPr>
      </w:pPr>
      <w:r>
        <w:rPr>
          <w:rFonts w:ascii="Arial" w:eastAsia="Arial" w:hAnsi="Arial" w:cs="Arial"/>
          <w:sz w:val="22"/>
          <w:szCs w:val="22"/>
        </w:rPr>
        <w:t>Índice de Rentabilidad (PI): Relación beneficio-costo ajustada al riesgo</w:t>
      </w:r>
    </w:p>
    <w:p w14:paraId="5B96312B" w14:textId="77777777" w:rsidR="00930170" w:rsidRDefault="00000000">
      <w:pPr>
        <w:widowControl w:val="0"/>
        <w:numPr>
          <w:ilvl w:val="0"/>
          <w:numId w:val="3"/>
        </w:numPr>
        <w:jc w:val="both"/>
        <w:rPr>
          <w:rFonts w:ascii="Arial" w:eastAsia="Arial" w:hAnsi="Arial" w:cs="Arial"/>
          <w:sz w:val="22"/>
          <w:szCs w:val="22"/>
        </w:rPr>
      </w:pPr>
      <w:r>
        <w:rPr>
          <w:rFonts w:ascii="Arial" w:eastAsia="Arial" w:hAnsi="Arial" w:cs="Arial"/>
          <w:sz w:val="22"/>
          <w:szCs w:val="22"/>
        </w:rPr>
        <w:t>All-In Sustaining Cost (AISC): Costo integral por onza equivalente producida</w:t>
      </w:r>
    </w:p>
    <w:p w14:paraId="2BE920A1" w14:textId="77777777" w:rsidR="00930170" w:rsidRDefault="00930170">
      <w:pPr>
        <w:widowControl w:val="0"/>
        <w:ind w:left="720"/>
        <w:jc w:val="both"/>
        <w:rPr>
          <w:rFonts w:ascii="Arial" w:eastAsia="Arial" w:hAnsi="Arial" w:cs="Arial"/>
          <w:b/>
          <w:sz w:val="22"/>
          <w:szCs w:val="22"/>
        </w:rPr>
      </w:pPr>
    </w:p>
    <w:p w14:paraId="29958A72"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3.5.2 Dimensión Social </w:t>
      </w:r>
      <w:r>
        <w:rPr>
          <w:rFonts w:ascii="Arial" w:eastAsia="Arial" w:hAnsi="Arial" w:cs="Arial"/>
          <w:sz w:val="22"/>
          <w:szCs w:val="22"/>
        </w:rPr>
        <w:t>Siguiendo el marco de desarrollo de clústeres de Porter (2011), se evaluaron tres aspectos:</w:t>
      </w:r>
    </w:p>
    <w:p w14:paraId="68ECF59A" w14:textId="77777777" w:rsidR="00930170" w:rsidRDefault="00930170">
      <w:pPr>
        <w:widowControl w:val="0"/>
        <w:jc w:val="both"/>
        <w:rPr>
          <w:rFonts w:ascii="Arial" w:eastAsia="Arial" w:hAnsi="Arial" w:cs="Arial"/>
          <w:b/>
          <w:sz w:val="22"/>
          <w:szCs w:val="22"/>
        </w:rPr>
      </w:pPr>
    </w:p>
    <w:p w14:paraId="65970C01" w14:textId="77777777" w:rsidR="00930170" w:rsidRDefault="00000000">
      <w:pPr>
        <w:widowControl w:val="0"/>
        <w:numPr>
          <w:ilvl w:val="0"/>
          <w:numId w:val="4"/>
        </w:numPr>
        <w:jc w:val="both"/>
        <w:rPr>
          <w:rFonts w:ascii="Arial" w:eastAsia="Arial" w:hAnsi="Arial" w:cs="Arial"/>
          <w:sz w:val="22"/>
          <w:szCs w:val="22"/>
        </w:rPr>
      </w:pPr>
      <w:r>
        <w:rPr>
          <w:rFonts w:ascii="Arial" w:eastAsia="Arial" w:hAnsi="Arial" w:cs="Arial"/>
          <w:sz w:val="22"/>
          <w:szCs w:val="22"/>
        </w:rPr>
        <w:t>Concentración Geográfica: Porcentaje de empleados locales en la cadena de valor</w:t>
      </w:r>
    </w:p>
    <w:p w14:paraId="6EB47440" w14:textId="77777777" w:rsidR="00930170" w:rsidRDefault="00000000">
      <w:pPr>
        <w:widowControl w:val="0"/>
        <w:numPr>
          <w:ilvl w:val="0"/>
          <w:numId w:val="4"/>
        </w:numPr>
        <w:jc w:val="both"/>
        <w:rPr>
          <w:rFonts w:ascii="Arial" w:eastAsia="Arial" w:hAnsi="Arial" w:cs="Arial"/>
          <w:sz w:val="22"/>
          <w:szCs w:val="22"/>
        </w:rPr>
      </w:pPr>
      <w:r>
        <w:rPr>
          <w:rFonts w:ascii="Arial" w:eastAsia="Arial" w:hAnsi="Arial" w:cs="Arial"/>
          <w:sz w:val="22"/>
          <w:szCs w:val="22"/>
        </w:rPr>
        <w:t>Conocimientos y Habilidades: Número de capacitaciones técnicas y de gestión</w:t>
      </w:r>
    </w:p>
    <w:p w14:paraId="1BDCBF0D" w14:textId="77777777" w:rsidR="00930170" w:rsidRDefault="00000000">
      <w:pPr>
        <w:widowControl w:val="0"/>
        <w:numPr>
          <w:ilvl w:val="0"/>
          <w:numId w:val="4"/>
        </w:numPr>
        <w:jc w:val="both"/>
        <w:rPr>
          <w:rFonts w:ascii="Arial" w:eastAsia="Arial" w:hAnsi="Arial" w:cs="Arial"/>
          <w:sz w:val="22"/>
          <w:szCs w:val="22"/>
        </w:rPr>
      </w:pPr>
      <w:r>
        <w:rPr>
          <w:rFonts w:ascii="Arial" w:eastAsia="Arial" w:hAnsi="Arial" w:cs="Arial"/>
          <w:sz w:val="22"/>
          <w:szCs w:val="22"/>
        </w:rPr>
        <w:t>Capacidad Innovadora: Diversificación de productos (cal fina, gruesa, piedra caliza)</w:t>
      </w:r>
    </w:p>
    <w:p w14:paraId="7E9A1CAD" w14:textId="77777777" w:rsidR="00930170" w:rsidRDefault="00930170">
      <w:pPr>
        <w:widowControl w:val="0"/>
        <w:ind w:left="720"/>
        <w:jc w:val="both"/>
        <w:rPr>
          <w:rFonts w:ascii="Arial" w:eastAsia="Arial" w:hAnsi="Arial" w:cs="Arial"/>
          <w:b/>
          <w:sz w:val="22"/>
          <w:szCs w:val="22"/>
        </w:rPr>
      </w:pPr>
    </w:p>
    <w:p w14:paraId="794B1992" w14:textId="77777777" w:rsidR="00930170" w:rsidRDefault="00000000">
      <w:pPr>
        <w:widowControl w:val="0"/>
        <w:jc w:val="both"/>
        <w:rPr>
          <w:rFonts w:ascii="Arial" w:eastAsia="Arial" w:hAnsi="Arial" w:cs="Arial"/>
          <w:sz w:val="22"/>
          <w:szCs w:val="22"/>
        </w:rPr>
      </w:pPr>
      <w:r>
        <w:rPr>
          <w:rFonts w:ascii="Arial" w:eastAsia="Arial" w:hAnsi="Arial" w:cs="Arial"/>
          <w:b/>
          <w:sz w:val="22"/>
          <w:szCs w:val="22"/>
        </w:rPr>
        <w:t xml:space="preserve">3.5.3 Dimensión Ambiental </w:t>
      </w:r>
      <w:r>
        <w:rPr>
          <w:rFonts w:ascii="Arial" w:eastAsia="Arial" w:hAnsi="Arial" w:cs="Arial"/>
          <w:sz w:val="22"/>
          <w:szCs w:val="22"/>
        </w:rPr>
        <w:t>Basado en Ludeke-Freund et al. (2016), se consideraron dos indicadores:</w:t>
      </w:r>
    </w:p>
    <w:p w14:paraId="5120F8A3" w14:textId="77777777" w:rsidR="00930170" w:rsidRDefault="00930170">
      <w:pPr>
        <w:widowControl w:val="0"/>
        <w:jc w:val="both"/>
        <w:rPr>
          <w:rFonts w:ascii="Arial" w:eastAsia="Arial" w:hAnsi="Arial" w:cs="Arial"/>
          <w:sz w:val="22"/>
          <w:szCs w:val="22"/>
        </w:rPr>
      </w:pPr>
    </w:p>
    <w:p w14:paraId="78EF7621" w14:textId="77777777" w:rsidR="00930170" w:rsidRDefault="00000000">
      <w:pPr>
        <w:widowControl w:val="0"/>
        <w:numPr>
          <w:ilvl w:val="0"/>
          <w:numId w:val="5"/>
        </w:numPr>
        <w:jc w:val="both"/>
        <w:rPr>
          <w:rFonts w:ascii="Arial" w:eastAsia="Arial" w:hAnsi="Arial" w:cs="Arial"/>
          <w:sz w:val="22"/>
          <w:szCs w:val="22"/>
        </w:rPr>
      </w:pPr>
      <w:r>
        <w:rPr>
          <w:rFonts w:ascii="Arial" w:eastAsia="Arial" w:hAnsi="Arial" w:cs="Arial"/>
          <w:sz w:val="22"/>
          <w:szCs w:val="22"/>
        </w:rPr>
        <w:t>Economía Circular: Toneladas de piedra caliza reutilizada (desmonte y finos)</w:t>
      </w:r>
    </w:p>
    <w:p w14:paraId="1593C5EE" w14:textId="77777777" w:rsidR="00930170" w:rsidRDefault="00000000">
      <w:pPr>
        <w:widowControl w:val="0"/>
        <w:numPr>
          <w:ilvl w:val="0"/>
          <w:numId w:val="5"/>
        </w:numPr>
        <w:jc w:val="both"/>
        <w:rPr>
          <w:rFonts w:ascii="Arial" w:eastAsia="Arial" w:hAnsi="Arial" w:cs="Arial"/>
          <w:sz w:val="22"/>
          <w:szCs w:val="22"/>
        </w:rPr>
      </w:pPr>
      <w:r>
        <w:rPr>
          <w:rFonts w:ascii="Arial" w:eastAsia="Arial" w:hAnsi="Arial" w:cs="Arial"/>
          <w:sz w:val="22"/>
          <w:szCs w:val="22"/>
        </w:rPr>
        <w:t>Uso Eficiente de Energía: Kilómetros acumulados de transporte por producto</w:t>
      </w:r>
    </w:p>
    <w:p w14:paraId="611CEB57" w14:textId="77777777" w:rsidR="00930170" w:rsidRDefault="00930170">
      <w:pPr>
        <w:widowControl w:val="0"/>
        <w:ind w:left="720"/>
        <w:jc w:val="both"/>
        <w:rPr>
          <w:rFonts w:ascii="Arial" w:eastAsia="Arial" w:hAnsi="Arial" w:cs="Arial"/>
          <w:b/>
          <w:sz w:val="22"/>
          <w:szCs w:val="22"/>
        </w:rPr>
      </w:pPr>
    </w:p>
    <w:p w14:paraId="2D7D4512"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3.6 Técnicas de Normalización y Análisis</w:t>
      </w:r>
    </w:p>
    <w:p w14:paraId="39CF7C8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Se aplicó normalización min-max según Han et al. (2023) para estandarizar todas las variables en una escala de 0 a 100. El proceso incluyó:</w:t>
      </w:r>
    </w:p>
    <w:p w14:paraId="67EA5C8E" w14:textId="77777777" w:rsidR="00930170" w:rsidRDefault="00930170">
      <w:pPr>
        <w:widowControl w:val="0"/>
        <w:jc w:val="both"/>
        <w:rPr>
          <w:rFonts w:ascii="Arial" w:eastAsia="Arial" w:hAnsi="Arial" w:cs="Arial"/>
          <w:b/>
          <w:sz w:val="22"/>
          <w:szCs w:val="22"/>
        </w:rPr>
      </w:pPr>
    </w:p>
    <w:p w14:paraId="24ED8EED" w14:textId="77777777" w:rsidR="00930170" w:rsidRDefault="00000000">
      <w:pPr>
        <w:widowControl w:val="0"/>
        <w:numPr>
          <w:ilvl w:val="0"/>
          <w:numId w:val="6"/>
        </w:numPr>
        <w:jc w:val="both"/>
        <w:rPr>
          <w:rFonts w:ascii="Arial" w:eastAsia="Arial" w:hAnsi="Arial" w:cs="Arial"/>
          <w:sz w:val="22"/>
          <w:szCs w:val="22"/>
        </w:rPr>
      </w:pPr>
      <w:r>
        <w:rPr>
          <w:rFonts w:ascii="Arial" w:eastAsia="Arial" w:hAnsi="Arial" w:cs="Arial"/>
          <w:sz w:val="22"/>
          <w:szCs w:val="22"/>
        </w:rPr>
        <w:t>Binning: Agrupamiento de datos en intervalos iguales para reducir efectos de valores atípicos</w:t>
      </w:r>
    </w:p>
    <w:p w14:paraId="4890DDAF" w14:textId="77777777" w:rsidR="00930170" w:rsidRDefault="00000000">
      <w:pPr>
        <w:widowControl w:val="0"/>
        <w:numPr>
          <w:ilvl w:val="0"/>
          <w:numId w:val="6"/>
        </w:numPr>
        <w:jc w:val="both"/>
        <w:rPr>
          <w:rFonts w:ascii="Arial" w:eastAsia="Arial" w:hAnsi="Arial" w:cs="Arial"/>
          <w:sz w:val="22"/>
          <w:szCs w:val="22"/>
        </w:rPr>
      </w:pPr>
      <w:r>
        <w:rPr>
          <w:rFonts w:ascii="Arial" w:eastAsia="Arial" w:hAnsi="Arial" w:cs="Arial"/>
          <w:sz w:val="22"/>
          <w:szCs w:val="22"/>
        </w:rPr>
        <w:t>Discretización: Clasificación de variables en 5 rangos equidistantes</w:t>
      </w:r>
    </w:p>
    <w:p w14:paraId="78955644" w14:textId="77777777" w:rsidR="00930170" w:rsidRDefault="00000000">
      <w:pPr>
        <w:widowControl w:val="0"/>
        <w:numPr>
          <w:ilvl w:val="0"/>
          <w:numId w:val="6"/>
        </w:numPr>
        <w:jc w:val="both"/>
        <w:rPr>
          <w:rFonts w:ascii="Arial" w:eastAsia="Arial" w:hAnsi="Arial" w:cs="Arial"/>
          <w:sz w:val="22"/>
          <w:szCs w:val="22"/>
        </w:rPr>
      </w:pPr>
      <w:r>
        <w:rPr>
          <w:rFonts w:ascii="Arial" w:eastAsia="Arial" w:hAnsi="Arial" w:cs="Arial"/>
          <w:sz w:val="22"/>
          <w:szCs w:val="22"/>
        </w:rPr>
        <w:t>Ponderación: Asignación de pesos iguales dentro de cada dimensión (20% económico, 33.33% social, 25% ambiental)</w:t>
      </w:r>
    </w:p>
    <w:p w14:paraId="141B6ACA" w14:textId="77777777" w:rsidR="00930170" w:rsidRDefault="00000000">
      <w:pPr>
        <w:widowControl w:val="0"/>
        <w:numPr>
          <w:ilvl w:val="0"/>
          <w:numId w:val="6"/>
        </w:numPr>
        <w:jc w:val="both"/>
        <w:rPr>
          <w:rFonts w:ascii="Arial" w:eastAsia="Arial" w:hAnsi="Arial" w:cs="Arial"/>
          <w:sz w:val="22"/>
          <w:szCs w:val="22"/>
        </w:rPr>
      </w:pPr>
      <w:r>
        <w:rPr>
          <w:rFonts w:ascii="Arial" w:eastAsia="Arial" w:hAnsi="Arial" w:cs="Arial"/>
          <w:sz w:val="22"/>
          <w:szCs w:val="22"/>
        </w:rPr>
        <w:t>Ranking: Ordenamiento final basado en desempeño promedio integrado</w:t>
      </w:r>
    </w:p>
    <w:p w14:paraId="7ADC7310" w14:textId="77777777" w:rsidR="00930170" w:rsidRDefault="00930170">
      <w:pPr>
        <w:widowControl w:val="0"/>
        <w:ind w:left="720"/>
        <w:jc w:val="both"/>
        <w:rPr>
          <w:rFonts w:ascii="Arial" w:eastAsia="Arial" w:hAnsi="Arial" w:cs="Arial"/>
          <w:sz w:val="22"/>
          <w:szCs w:val="22"/>
        </w:rPr>
      </w:pPr>
    </w:p>
    <w:p w14:paraId="7637290A"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3.7 Fuentes de Información</w:t>
      </w:r>
    </w:p>
    <w:p w14:paraId="3D2E6B21" w14:textId="77777777" w:rsidR="00930170" w:rsidRDefault="00930170">
      <w:pPr>
        <w:widowControl w:val="0"/>
        <w:jc w:val="both"/>
        <w:rPr>
          <w:rFonts w:ascii="Arial" w:eastAsia="Arial" w:hAnsi="Arial" w:cs="Arial"/>
          <w:b/>
          <w:sz w:val="22"/>
          <w:szCs w:val="22"/>
        </w:rPr>
      </w:pPr>
    </w:p>
    <w:p w14:paraId="38D0ACA0"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Fuentes Primarias:</w:t>
      </w:r>
    </w:p>
    <w:p w14:paraId="387B5596" w14:textId="77777777" w:rsidR="00930170" w:rsidRDefault="00000000">
      <w:pPr>
        <w:widowControl w:val="0"/>
        <w:numPr>
          <w:ilvl w:val="0"/>
          <w:numId w:val="7"/>
        </w:numPr>
        <w:jc w:val="both"/>
        <w:rPr>
          <w:rFonts w:ascii="Arial" w:eastAsia="Arial" w:hAnsi="Arial" w:cs="Arial"/>
          <w:sz w:val="22"/>
          <w:szCs w:val="22"/>
        </w:rPr>
      </w:pPr>
      <w:r>
        <w:rPr>
          <w:rFonts w:ascii="Arial" w:eastAsia="Arial" w:hAnsi="Arial" w:cs="Arial"/>
          <w:sz w:val="22"/>
          <w:szCs w:val="22"/>
        </w:rPr>
        <w:t>Datos operativos y financieros de Minera Au-Cu (2019-2023)</w:t>
      </w:r>
    </w:p>
    <w:p w14:paraId="6E8F1EB3" w14:textId="77777777" w:rsidR="00930170" w:rsidRDefault="00000000">
      <w:pPr>
        <w:widowControl w:val="0"/>
        <w:numPr>
          <w:ilvl w:val="0"/>
          <w:numId w:val="7"/>
        </w:numPr>
        <w:jc w:val="both"/>
        <w:rPr>
          <w:rFonts w:ascii="Arial" w:eastAsia="Arial" w:hAnsi="Arial" w:cs="Arial"/>
          <w:sz w:val="22"/>
          <w:szCs w:val="22"/>
        </w:rPr>
      </w:pPr>
      <w:r>
        <w:rPr>
          <w:rFonts w:ascii="Arial" w:eastAsia="Arial" w:hAnsi="Arial" w:cs="Arial"/>
          <w:sz w:val="22"/>
          <w:szCs w:val="22"/>
        </w:rPr>
        <w:t>Información de costos OPEX y CAPEX por escenario</w:t>
      </w:r>
    </w:p>
    <w:p w14:paraId="0399B69C" w14:textId="77777777" w:rsidR="00930170" w:rsidRDefault="00000000">
      <w:pPr>
        <w:widowControl w:val="0"/>
        <w:numPr>
          <w:ilvl w:val="0"/>
          <w:numId w:val="7"/>
        </w:numPr>
        <w:jc w:val="both"/>
        <w:rPr>
          <w:rFonts w:ascii="Arial" w:eastAsia="Arial" w:hAnsi="Arial" w:cs="Arial"/>
          <w:sz w:val="22"/>
          <w:szCs w:val="22"/>
        </w:rPr>
      </w:pPr>
      <w:r>
        <w:rPr>
          <w:rFonts w:ascii="Arial" w:eastAsia="Arial" w:hAnsi="Arial" w:cs="Arial"/>
          <w:sz w:val="22"/>
          <w:szCs w:val="22"/>
        </w:rPr>
        <w:t>Capacidades de producción y restricciones operativas</w:t>
      </w:r>
    </w:p>
    <w:p w14:paraId="3AFF42A2" w14:textId="77777777" w:rsidR="00930170" w:rsidRDefault="00000000">
      <w:pPr>
        <w:widowControl w:val="0"/>
        <w:numPr>
          <w:ilvl w:val="0"/>
          <w:numId w:val="7"/>
        </w:numPr>
        <w:jc w:val="both"/>
        <w:rPr>
          <w:rFonts w:ascii="Arial" w:eastAsia="Arial" w:hAnsi="Arial" w:cs="Arial"/>
          <w:sz w:val="22"/>
          <w:szCs w:val="22"/>
        </w:rPr>
      </w:pPr>
      <w:r>
        <w:rPr>
          <w:rFonts w:ascii="Arial" w:eastAsia="Arial" w:hAnsi="Arial" w:cs="Arial"/>
          <w:sz w:val="22"/>
          <w:szCs w:val="22"/>
        </w:rPr>
        <w:t>Proyecciones de demanda de cal y caliza (2024-2041)</w:t>
      </w:r>
    </w:p>
    <w:p w14:paraId="6DAC1106" w14:textId="77777777" w:rsidR="00930170" w:rsidRDefault="00930170">
      <w:pPr>
        <w:widowControl w:val="0"/>
        <w:ind w:left="720"/>
        <w:jc w:val="both"/>
        <w:rPr>
          <w:rFonts w:ascii="Arial" w:eastAsia="Arial" w:hAnsi="Arial" w:cs="Arial"/>
          <w:b/>
          <w:sz w:val="22"/>
          <w:szCs w:val="22"/>
        </w:rPr>
      </w:pPr>
    </w:p>
    <w:p w14:paraId="7D15FAA7"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Fuentes Secundarias:</w:t>
      </w:r>
    </w:p>
    <w:p w14:paraId="4F3DD306" w14:textId="77777777" w:rsidR="00930170" w:rsidRDefault="00000000">
      <w:pPr>
        <w:widowControl w:val="0"/>
        <w:numPr>
          <w:ilvl w:val="0"/>
          <w:numId w:val="8"/>
        </w:numPr>
        <w:jc w:val="both"/>
        <w:rPr>
          <w:rFonts w:ascii="Arial" w:eastAsia="Arial" w:hAnsi="Arial" w:cs="Arial"/>
          <w:sz w:val="22"/>
          <w:szCs w:val="22"/>
        </w:rPr>
      </w:pPr>
      <w:r>
        <w:rPr>
          <w:rFonts w:ascii="Arial" w:eastAsia="Arial" w:hAnsi="Arial" w:cs="Arial"/>
          <w:sz w:val="22"/>
          <w:szCs w:val="22"/>
        </w:rPr>
        <w:t>Literatura académica sobre valor compartido y teoría de clústeres</w:t>
      </w:r>
    </w:p>
    <w:p w14:paraId="11D57ED9" w14:textId="77777777" w:rsidR="00930170" w:rsidRDefault="00000000">
      <w:pPr>
        <w:widowControl w:val="0"/>
        <w:numPr>
          <w:ilvl w:val="0"/>
          <w:numId w:val="8"/>
        </w:numPr>
        <w:jc w:val="both"/>
        <w:rPr>
          <w:rFonts w:ascii="Arial" w:eastAsia="Arial" w:hAnsi="Arial" w:cs="Arial"/>
          <w:sz w:val="22"/>
          <w:szCs w:val="22"/>
        </w:rPr>
      </w:pPr>
      <w:r>
        <w:rPr>
          <w:rFonts w:ascii="Arial" w:eastAsia="Arial" w:hAnsi="Arial" w:cs="Arial"/>
          <w:sz w:val="22"/>
          <w:szCs w:val="22"/>
        </w:rPr>
        <w:t>Estadísticas del Ministerio de Energía y Minas (MINEM)</w:t>
      </w:r>
    </w:p>
    <w:p w14:paraId="4670135D" w14:textId="77777777" w:rsidR="00930170" w:rsidRDefault="00000000">
      <w:pPr>
        <w:widowControl w:val="0"/>
        <w:numPr>
          <w:ilvl w:val="0"/>
          <w:numId w:val="8"/>
        </w:numPr>
        <w:jc w:val="both"/>
        <w:rPr>
          <w:rFonts w:ascii="Arial" w:eastAsia="Arial" w:hAnsi="Arial" w:cs="Arial"/>
          <w:sz w:val="22"/>
          <w:szCs w:val="22"/>
        </w:rPr>
      </w:pPr>
      <w:r>
        <w:rPr>
          <w:rFonts w:ascii="Arial" w:eastAsia="Arial" w:hAnsi="Arial" w:cs="Arial"/>
          <w:sz w:val="22"/>
          <w:szCs w:val="22"/>
        </w:rPr>
        <w:t>Información de mercado de productores locales</w:t>
      </w:r>
    </w:p>
    <w:p w14:paraId="54A3AA08" w14:textId="77777777" w:rsidR="00930170" w:rsidRDefault="00000000">
      <w:pPr>
        <w:widowControl w:val="0"/>
        <w:numPr>
          <w:ilvl w:val="0"/>
          <w:numId w:val="8"/>
        </w:numPr>
        <w:jc w:val="both"/>
        <w:rPr>
          <w:rFonts w:ascii="Arial" w:eastAsia="Arial" w:hAnsi="Arial" w:cs="Arial"/>
          <w:sz w:val="22"/>
          <w:szCs w:val="22"/>
        </w:rPr>
      </w:pPr>
      <w:r>
        <w:rPr>
          <w:rFonts w:ascii="Arial" w:eastAsia="Arial" w:hAnsi="Arial" w:cs="Arial"/>
          <w:sz w:val="22"/>
          <w:szCs w:val="22"/>
        </w:rPr>
        <w:t>Datos del Instituto Geológico Minero y Metalúrgico (INGEMMET)</w:t>
      </w:r>
    </w:p>
    <w:p w14:paraId="25BEC72E" w14:textId="77777777" w:rsidR="00930170" w:rsidRDefault="00930170">
      <w:pPr>
        <w:widowControl w:val="0"/>
        <w:ind w:left="720"/>
        <w:jc w:val="both"/>
        <w:rPr>
          <w:rFonts w:ascii="Arial" w:eastAsia="Arial" w:hAnsi="Arial" w:cs="Arial"/>
          <w:b/>
          <w:sz w:val="22"/>
          <w:szCs w:val="22"/>
        </w:rPr>
      </w:pPr>
    </w:p>
    <w:p w14:paraId="22EBF41F"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 Presentación de Resultados</w:t>
      </w:r>
    </w:p>
    <w:p w14:paraId="51011CE2" w14:textId="77777777" w:rsidR="00930170" w:rsidRDefault="00930170">
      <w:pPr>
        <w:widowControl w:val="0"/>
        <w:jc w:val="both"/>
        <w:rPr>
          <w:rFonts w:ascii="Arial" w:eastAsia="Arial" w:hAnsi="Arial" w:cs="Arial"/>
          <w:b/>
          <w:sz w:val="22"/>
          <w:szCs w:val="22"/>
        </w:rPr>
      </w:pPr>
    </w:p>
    <w:p w14:paraId="32BDD8DA"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4.1 Resultados por Dimensión</w:t>
      </w:r>
    </w:p>
    <w:p w14:paraId="3834F95D" w14:textId="77777777" w:rsidR="00930170" w:rsidRDefault="00930170">
      <w:pPr>
        <w:widowControl w:val="0"/>
        <w:jc w:val="both"/>
        <w:rPr>
          <w:rFonts w:ascii="Arial" w:eastAsia="Arial" w:hAnsi="Arial" w:cs="Arial"/>
          <w:b/>
          <w:sz w:val="22"/>
          <w:szCs w:val="22"/>
        </w:rPr>
      </w:pPr>
    </w:p>
    <w:p w14:paraId="634F3A47"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4.1.1 Dimensión Económica</w:t>
      </w:r>
    </w:p>
    <w:p w14:paraId="717B994C" w14:textId="77777777" w:rsidR="00930170" w:rsidRDefault="00000000">
      <w:pPr>
        <w:rPr>
          <w:rFonts w:ascii="Arial" w:eastAsia="Arial" w:hAnsi="Arial" w:cs="Arial"/>
          <w:b/>
          <w:i/>
          <w:sz w:val="22"/>
          <w:szCs w:val="22"/>
        </w:rPr>
      </w:pPr>
      <w:r>
        <w:rPr>
          <w:rFonts w:ascii="Arial" w:eastAsia="Arial" w:hAnsi="Arial" w:cs="Arial"/>
          <w:sz w:val="22"/>
          <w:szCs w:val="22"/>
        </w:rPr>
        <w:t>Los aspectos económicos para evaluar son: Free Cash Flow (CFCF US$M), Valor actual neto (VAN US$M), Tasa interna de retorno (TIR %), PI, All In Sustaining cost (AISC $/oz Eq) basado en los resultados del Capex y Opex por escenario. Los resultados obtenidos se resumen en la siguiente tabla:</w:t>
      </w:r>
      <w:r>
        <w:rPr>
          <w:rFonts w:ascii="Arial" w:eastAsia="Arial" w:hAnsi="Arial" w:cs="Arial"/>
          <w:sz w:val="22"/>
          <w:szCs w:val="22"/>
        </w:rPr>
        <w:br/>
      </w:r>
      <w:r>
        <w:rPr>
          <w:rFonts w:ascii="Arial" w:eastAsia="Arial" w:hAnsi="Arial" w:cs="Arial"/>
          <w:sz w:val="22"/>
          <w:szCs w:val="22"/>
        </w:rPr>
        <w:br/>
      </w:r>
      <w:r>
        <w:rPr>
          <w:rFonts w:ascii="Arial" w:eastAsia="Arial" w:hAnsi="Arial" w:cs="Arial"/>
          <w:i/>
          <w:sz w:val="22"/>
          <w:szCs w:val="22"/>
        </w:rPr>
        <w:t>Tabla 1: Resultados Dimensión Económica</w:t>
      </w:r>
    </w:p>
    <w:tbl>
      <w:tblPr>
        <w:tblStyle w:val="a"/>
        <w:tblW w:w="4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4"/>
        <w:gridCol w:w="972"/>
        <w:gridCol w:w="979"/>
        <w:gridCol w:w="545"/>
        <w:gridCol w:w="497"/>
        <w:gridCol w:w="909"/>
      </w:tblGrid>
      <w:tr w:rsidR="00930170" w14:paraId="28B259C2" w14:textId="77777777">
        <w:trPr>
          <w:tblHeader/>
          <w:jc w:val="center"/>
        </w:trPr>
        <w:tc>
          <w:tcPr>
            <w:tcW w:w="1074" w:type="dxa"/>
            <w:vAlign w:val="center"/>
          </w:tcPr>
          <w:p w14:paraId="2DB4DAD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Escenario</w:t>
            </w:r>
          </w:p>
        </w:tc>
        <w:tc>
          <w:tcPr>
            <w:tcW w:w="972" w:type="dxa"/>
            <w:vAlign w:val="center"/>
          </w:tcPr>
          <w:p w14:paraId="0E3C490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FCF (US$M)</w:t>
            </w:r>
          </w:p>
        </w:tc>
        <w:tc>
          <w:tcPr>
            <w:tcW w:w="979" w:type="dxa"/>
            <w:vAlign w:val="center"/>
          </w:tcPr>
          <w:p w14:paraId="39CAE3C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VAN (US$M)</w:t>
            </w:r>
          </w:p>
        </w:tc>
        <w:tc>
          <w:tcPr>
            <w:tcW w:w="545" w:type="dxa"/>
            <w:vAlign w:val="center"/>
          </w:tcPr>
          <w:p w14:paraId="3791B07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TIR (%)</w:t>
            </w:r>
          </w:p>
        </w:tc>
        <w:tc>
          <w:tcPr>
            <w:tcW w:w="497" w:type="dxa"/>
            <w:vAlign w:val="center"/>
          </w:tcPr>
          <w:p w14:paraId="6B2AED1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PI (%)</w:t>
            </w:r>
          </w:p>
        </w:tc>
        <w:tc>
          <w:tcPr>
            <w:tcW w:w="909" w:type="dxa"/>
            <w:vAlign w:val="center"/>
          </w:tcPr>
          <w:p w14:paraId="68D75A5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AISC ($/oz-Eq)</w:t>
            </w:r>
          </w:p>
        </w:tc>
      </w:tr>
      <w:tr w:rsidR="00930170" w14:paraId="2D0D605D" w14:textId="77777777">
        <w:trPr>
          <w:jc w:val="center"/>
        </w:trPr>
        <w:tc>
          <w:tcPr>
            <w:tcW w:w="1074" w:type="dxa"/>
            <w:vAlign w:val="center"/>
          </w:tcPr>
          <w:p w14:paraId="5D2A354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CR-1</w:t>
            </w:r>
          </w:p>
        </w:tc>
        <w:tc>
          <w:tcPr>
            <w:tcW w:w="972" w:type="dxa"/>
            <w:vAlign w:val="center"/>
          </w:tcPr>
          <w:p w14:paraId="3749C6E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575</w:t>
            </w:r>
          </w:p>
        </w:tc>
        <w:tc>
          <w:tcPr>
            <w:tcW w:w="979" w:type="dxa"/>
            <w:vAlign w:val="center"/>
          </w:tcPr>
          <w:p w14:paraId="24610A1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w:t>
            </w:r>
          </w:p>
        </w:tc>
        <w:tc>
          <w:tcPr>
            <w:tcW w:w="545" w:type="dxa"/>
            <w:vAlign w:val="center"/>
          </w:tcPr>
          <w:p w14:paraId="39CC598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9.2</w:t>
            </w:r>
          </w:p>
        </w:tc>
        <w:tc>
          <w:tcPr>
            <w:tcW w:w="497" w:type="dxa"/>
            <w:vAlign w:val="center"/>
          </w:tcPr>
          <w:p w14:paraId="6F93C66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w:t>
            </w:r>
          </w:p>
        </w:tc>
        <w:tc>
          <w:tcPr>
            <w:tcW w:w="909" w:type="dxa"/>
            <w:vAlign w:val="center"/>
          </w:tcPr>
          <w:p w14:paraId="132FD50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544</w:t>
            </w:r>
          </w:p>
        </w:tc>
      </w:tr>
      <w:tr w:rsidR="00930170" w14:paraId="47392B74" w14:textId="77777777">
        <w:trPr>
          <w:jc w:val="center"/>
        </w:trPr>
        <w:tc>
          <w:tcPr>
            <w:tcW w:w="1074" w:type="dxa"/>
            <w:vAlign w:val="center"/>
          </w:tcPr>
          <w:p w14:paraId="7536A74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CR-2</w:t>
            </w:r>
          </w:p>
        </w:tc>
        <w:tc>
          <w:tcPr>
            <w:tcW w:w="972" w:type="dxa"/>
            <w:vAlign w:val="center"/>
          </w:tcPr>
          <w:p w14:paraId="4CBD14C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575</w:t>
            </w:r>
          </w:p>
        </w:tc>
        <w:tc>
          <w:tcPr>
            <w:tcW w:w="979" w:type="dxa"/>
            <w:vAlign w:val="center"/>
          </w:tcPr>
          <w:p w14:paraId="0CD408F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w:t>
            </w:r>
          </w:p>
        </w:tc>
        <w:tc>
          <w:tcPr>
            <w:tcW w:w="545" w:type="dxa"/>
            <w:vAlign w:val="center"/>
          </w:tcPr>
          <w:p w14:paraId="3D68B54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9.2</w:t>
            </w:r>
          </w:p>
        </w:tc>
        <w:tc>
          <w:tcPr>
            <w:tcW w:w="497" w:type="dxa"/>
            <w:vAlign w:val="center"/>
          </w:tcPr>
          <w:p w14:paraId="75007FC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w:t>
            </w:r>
          </w:p>
        </w:tc>
        <w:tc>
          <w:tcPr>
            <w:tcW w:w="909" w:type="dxa"/>
            <w:vAlign w:val="center"/>
          </w:tcPr>
          <w:p w14:paraId="2F32B43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544</w:t>
            </w:r>
          </w:p>
        </w:tc>
      </w:tr>
      <w:tr w:rsidR="00930170" w14:paraId="78F04EC1" w14:textId="77777777">
        <w:trPr>
          <w:jc w:val="center"/>
        </w:trPr>
        <w:tc>
          <w:tcPr>
            <w:tcW w:w="1074" w:type="dxa"/>
            <w:vAlign w:val="center"/>
          </w:tcPr>
          <w:p w14:paraId="7744C9D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CR-3</w:t>
            </w:r>
          </w:p>
        </w:tc>
        <w:tc>
          <w:tcPr>
            <w:tcW w:w="972" w:type="dxa"/>
            <w:vAlign w:val="center"/>
          </w:tcPr>
          <w:p w14:paraId="24FF5E7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576</w:t>
            </w:r>
          </w:p>
        </w:tc>
        <w:tc>
          <w:tcPr>
            <w:tcW w:w="979" w:type="dxa"/>
            <w:vAlign w:val="center"/>
          </w:tcPr>
          <w:p w14:paraId="73D8120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26</w:t>
            </w:r>
          </w:p>
        </w:tc>
        <w:tc>
          <w:tcPr>
            <w:tcW w:w="545" w:type="dxa"/>
            <w:vAlign w:val="center"/>
          </w:tcPr>
          <w:p w14:paraId="4339BBF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9.2</w:t>
            </w:r>
          </w:p>
        </w:tc>
        <w:tc>
          <w:tcPr>
            <w:tcW w:w="497" w:type="dxa"/>
            <w:vAlign w:val="center"/>
          </w:tcPr>
          <w:p w14:paraId="18EBD50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w:t>
            </w:r>
          </w:p>
        </w:tc>
        <w:tc>
          <w:tcPr>
            <w:tcW w:w="909" w:type="dxa"/>
            <w:vAlign w:val="center"/>
          </w:tcPr>
          <w:p w14:paraId="2A577A0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542</w:t>
            </w:r>
          </w:p>
        </w:tc>
      </w:tr>
      <w:tr w:rsidR="00930170" w14:paraId="6033E535" w14:textId="77777777">
        <w:trPr>
          <w:jc w:val="center"/>
        </w:trPr>
        <w:tc>
          <w:tcPr>
            <w:tcW w:w="1074" w:type="dxa"/>
            <w:vAlign w:val="center"/>
          </w:tcPr>
          <w:p w14:paraId="360A2C8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CR-4</w:t>
            </w:r>
          </w:p>
        </w:tc>
        <w:tc>
          <w:tcPr>
            <w:tcW w:w="972" w:type="dxa"/>
            <w:vAlign w:val="center"/>
          </w:tcPr>
          <w:p w14:paraId="3F5A74B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567</w:t>
            </w:r>
          </w:p>
        </w:tc>
        <w:tc>
          <w:tcPr>
            <w:tcW w:w="979" w:type="dxa"/>
            <w:vAlign w:val="center"/>
          </w:tcPr>
          <w:p w14:paraId="0C3D0D4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20</w:t>
            </w:r>
          </w:p>
        </w:tc>
        <w:tc>
          <w:tcPr>
            <w:tcW w:w="545" w:type="dxa"/>
            <w:vAlign w:val="center"/>
          </w:tcPr>
          <w:p w14:paraId="1D33A42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9.1</w:t>
            </w:r>
          </w:p>
        </w:tc>
        <w:tc>
          <w:tcPr>
            <w:tcW w:w="497" w:type="dxa"/>
            <w:vAlign w:val="center"/>
          </w:tcPr>
          <w:p w14:paraId="612E397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c>
          <w:tcPr>
            <w:tcW w:w="909" w:type="dxa"/>
            <w:vAlign w:val="center"/>
          </w:tcPr>
          <w:p w14:paraId="455EC83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555</w:t>
            </w:r>
          </w:p>
        </w:tc>
      </w:tr>
      <w:tr w:rsidR="00930170" w14:paraId="10F1A823" w14:textId="77777777">
        <w:trPr>
          <w:jc w:val="center"/>
        </w:trPr>
        <w:tc>
          <w:tcPr>
            <w:tcW w:w="1074" w:type="dxa"/>
            <w:vAlign w:val="center"/>
          </w:tcPr>
          <w:p w14:paraId="41ED0C6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CR-5</w:t>
            </w:r>
          </w:p>
        </w:tc>
        <w:tc>
          <w:tcPr>
            <w:tcW w:w="972" w:type="dxa"/>
            <w:vAlign w:val="center"/>
          </w:tcPr>
          <w:p w14:paraId="3E029A3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574</w:t>
            </w:r>
          </w:p>
        </w:tc>
        <w:tc>
          <w:tcPr>
            <w:tcW w:w="979" w:type="dxa"/>
            <w:vAlign w:val="center"/>
          </w:tcPr>
          <w:p w14:paraId="04E25FE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w:t>
            </w:r>
          </w:p>
        </w:tc>
        <w:tc>
          <w:tcPr>
            <w:tcW w:w="545" w:type="dxa"/>
            <w:vAlign w:val="center"/>
          </w:tcPr>
          <w:p w14:paraId="7B85344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9.2</w:t>
            </w:r>
          </w:p>
        </w:tc>
        <w:tc>
          <w:tcPr>
            <w:tcW w:w="497" w:type="dxa"/>
            <w:vAlign w:val="center"/>
          </w:tcPr>
          <w:p w14:paraId="40332CB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w:t>
            </w:r>
          </w:p>
        </w:tc>
        <w:tc>
          <w:tcPr>
            <w:tcW w:w="909" w:type="dxa"/>
            <w:vAlign w:val="center"/>
          </w:tcPr>
          <w:p w14:paraId="0647F0E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544</w:t>
            </w:r>
          </w:p>
        </w:tc>
      </w:tr>
      <w:tr w:rsidR="00930170" w14:paraId="3AD62EF0" w14:textId="77777777">
        <w:trPr>
          <w:jc w:val="center"/>
        </w:trPr>
        <w:tc>
          <w:tcPr>
            <w:tcW w:w="1074" w:type="dxa"/>
            <w:vAlign w:val="center"/>
          </w:tcPr>
          <w:p w14:paraId="21CBEE8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CR-6</w:t>
            </w:r>
          </w:p>
        </w:tc>
        <w:tc>
          <w:tcPr>
            <w:tcW w:w="972" w:type="dxa"/>
            <w:vAlign w:val="center"/>
          </w:tcPr>
          <w:p w14:paraId="27898FA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546</w:t>
            </w:r>
          </w:p>
        </w:tc>
        <w:tc>
          <w:tcPr>
            <w:tcW w:w="979" w:type="dxa"/>
            <w:vAlign w:val="center"/>
          </w:tcPr>
          <w:p w14:paraId="6358A36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w:t>
            </w:r>
          </w:p>
        </w:tc>
        <w:tc>
          <w:tcPr>
            <w:tcW w:w="545" w:type="dxa"/>
            <w:vAlign w:val="center"/>
          </w:tcPr>
          <w:p w14:paraId="5A8186E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8.9</w:t>
            </w:r>
          </w:p>
        </w:tc>
        <w:tc>
          <w:tcPr>
            <w:tcW w:w="497" w:type="dxa"/>
            <w:vAlign w:val="center"/>
          </w:tcPr>
          <w:p w14:paraId="36220A2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c>
          <w:tcPr>
            <w:tcW w:w="909" w:type="dxa"/>
            <w:vAlign w:val="center"/>
          </w:tcPr>
          <w:p w14:paraId="52EBCAF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554</w:t>
            </w:r>
          </w:p>
        </w:tc>
      </w:tr>
      <w:tr w:rsidR="00930170" w14:paraId="5E897D74" w14:textId="77777777">
        <w:trPr>
          <w:jc w:val="center"/>
        </w:trPr>
        <w:tc>
          <w:tcPr>
            <w:tcW w:w="1074" w:type="dxa"/>
            <w:vAlign w:val="center"/>
          </w:tcPr>
          <w:p w14:paraId="45D3726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lastRenderedPageBreak/>
              <w:t>SR-1</w:t>
            </w:r>
          </w:p>
        </w:tc>
        <w:tc>
          <w:tcPr>
            <w:tcW w:w="972" w:type="dxa"/>
            <w:vAlign w:val="center"/>
          </w:tcPr>
          <w:p w14:paraId="5BD96CC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539</w:t>
            </w:r>
          </w:p>
        </w:tc>
        <w:tc>
          <w:tcPr>
            <w:tcW w:w="979" w:type="dxa"/>
            <w:vAlign w:val="center"/>
          </w:tcPr>
          <w:p w14:paraId="3F2EFC7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w:t>
            </w:r>
          </w:p>
        </w:tc>
        <w:tc>
          <w:tcPr>
            <w:tcW w:w="545" w:type="dxa"/>
            <w:vAlign w:val="center"/>
          </w:tcPr>
          <w:p w14:paraId="08972EF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8.9</w:t>
            </w:r>
          </w:p>
        </w:tc>
        <w:tc>
          <w:tcPr>
            <w:tcW w:w="497" w:type="dxa"/>
            <w:vAlign w:val="center"/>
          </w:tcPr>
          <w:p w14:paraId="2AF201F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c>
          <w:tcPr>
            <w:tcW w:w="909" w:type="dxa"/>
            <w:vAlign w:val="center"/>
          </w:tcPr>
          <w:p w14:paraId="21413B3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548</w:t>
            </w:r>
          </w:p>
        </w:tc>
      </w:tr>
      <w:tr w:rsidR="00930170" w14:paraId="61BE557C" w14:textId="77777777">
        <w:trPr>
          <w:jc w:val="center"/>
        </w:trPr>
        <w:tc>
          <w:tcPr>
            <w:tcW w:w="1074" w:type="dxa"/>
            <w:vAlign w:val="center"/>
          </w:tcPr>
          <w:p w14:paraId="5B9EA82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SR-2</w:t>
            </w:r>
          </w:p>
        </w:tc>
        <w:tc>
          <w:tcPr>
            <w:tcW w:w="972" w:type="dxa"/>
            <w:vAlign w:val="center"/>
          </w:tcPr>
          <w:p w14:paraId="70A4BD6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561</w:t>
            </w:r>
          </w:p>
        </w:tc>
        <w:tc>
          <w:tcPr>
            <w:tcW w:w="979" w:type="dxa"/>
            <w:vAlign w:val="center"/>
          </w:tcPr>
          <w:p w14:paraId="7B03C45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20</w:t>
            </w:r>
          </w:p>
        </w:tc>
        <w:tc>
          <w:tcPr>
            <w:tcW w:w="545" w:type="dxa"/>
            <w:vAlign w:val="center"/>
          </w:tcPr>
          <w:p w14:paraId="5A90B51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9.1</w:t>
            </w:r>
          </w:p>
        </w:tc>
        <w:tc>
          <w:tcPr>
            <w:tcW w:w="497" w:type="dxa"/>
            <w:vAlign w:val="center"/>
          </w:tcPr>
          <w:p w14:paraId="7C80320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c>
          <w:tcPr>
            <w:tcW w:w="909" w:type="dxa"/>
            <w:vAlign w:val="center"/>
          </w:tcPr>
          <w:p w14:paraId="5D0D493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551</w:t>
            </w:r>
          </w:p>
        </w:tc>
      </w:tr>
      <w:tr w:rsidR="00930170" w14:paraId="07F333BC" w14:textId="77777777">
        <w:trPr>
          <w:jc w:val="center"/>
        </w:trPr>
        <w:tc>
          <w:tcPr>
            <w:tcW w:w="1074" w:type="dxa"/>
            <w:vAlign w:val="center"/>
          </w:tcPr>
          <w:p w14:paraId="5DE2711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SR-3</w:t>
            </w:r>
          </w:p>
        </w:tc>
        <w:tc>
          <w:tcPr>
            <w:tcW w:w="972" w:type="dxa"/>
            <w:vAlign w:val="center"/>
          </w:tcPr>
          <w:p w14:paraId="5318EFD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410</w:t>
            </w:r>
          </w:p>
        </w:tc>
        <w:tc>
          <w:tcPr>
            <w:tcW w:w="979" w:type="dxa"/>
            <w:vAlign w:val="center"/>
          </w:tcPr>
          <w:p w14:paraId="7EB61AA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-21</w:t>
            </w:r>
          </w:p>
        </w:tc>
        <w:tc>
          <w:tcPr>
            <w:tcW w:w="545" w:type="dxa"/>
            <w:vAlign w:val="center"/>
          </w:tcPr>
          <w:p w14:paraId="2B29ECD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7.8</w:t>
            </w:r>
          </w:p>
        </w:tc>
        <w:tc>
          <w:tcPr>
            <w:tcW w:w="497" w:type="dxa"/>
            <w:vAlign w:val="center"/>
          </w:tcPr>
          <w:p w14:paraId="02708C9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c>
          <w:tcPr>
            <w:tcW w:w="909" w:type="dxa"/>
            <w:vAlign w:val="center"/>
          </w:tcPr>
          <w:p w14:paraId="32CD459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551</w:t>
            </w:r>
          </w:p>
        </w:tc>
      </w:tr>
      <w:tr w:rsidR="00930170" w14:paraId="6405FCB3" w14:textId="77777777">
        <w:trPr>
          <w:jc w:val="center"/>
        </w:trPr>
        <w:tc>
          <w:tcPr>
            <w:tcW w:w="1074" w:type="dxa"/>
            <w:vAlign w:val="center"/>
          </w:tcPr>
          <w:p w14:paraId="18146C2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SR-4</w:t>
            </w:r>
          </w:p>
        </w:tc>
        <w:tc>
          <w:tcPr>
            <w:tcW w:w="972" w:type="dxa"/>
            <w:vAlign w:val="center"/>
          </w:tcPr>
          <w:p w14:paraId="6286824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539</w:t>
            </w:r>
          </w:p>
        </w:tc>
        <w:tc>
          <w:tcPr>
            <w:tcW w:w="979" w:type="dxa"/>
            <w:vAlign w:val="center"/>
          </w:tcPr>
          <w:p w14:paraId="5D41347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13</w:t>
            </w:r>
          </w:p>
        </w:tc>
        <w:tc>
          <w:tcPr>
            <w:tcW w:w="545" w:type="dxa"/>
            <w:vAlign w:val="center"/>
          </w:tcPr>
          <w:p w14:paraId="29867C1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8.9</w:t>
            </w:r>
          </w:p>
        </w:tc>
        <w:tc>
          <w:tcPr>
            <w:tcW w:w="497" w:type="dxa"/>
            <w:vAlign w:val="center"/>
          </w:tcPr>
          <w:p w14:paraId="275272E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c>
          <w:tcPr>
            <w:tcW w:w="909" w:type="dxa"/>
            <w:vAlign w:val="center"/>
          </w:tcPr>
          <w:p w14:paraId="210F539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550</w:t>
            </w:r>
          </w:p>
        </w:tc>
      </w:tr>
    </w:tbl>
    <w:p w14:paraId="54BC581C" w14:textId="77777777" w:rsidR="00930170" w:rsidRDefault="00930170">
      <w:pPr>
        <w:widowControl w:val="0"/>
        <w:jc w:val="both"/>
        <w:rPr>
          <w:rFonts w:ascii="Arial" w:eastAsia="Arial" w:hAnsi="Arial" w:cs="Arial"/>
          <w:b/>
          <w:sz w:val="22"/>
          <w:szCs w:val="22"/>
        </w:rPr>
      </w:pPr>
    </w:p>
    <w:p w14:paraId="588D1864" w14:textId="77777777" w:rsidR="00930170" w:rsidRDefault="00000000">
      <w:pPr>
        <w:spacing w:before="240" w:after="240"/>
        <w:rPr>
          <w:rFonts w:ascii="Arial" w:eastAsia="Arial" w:hAnsi="Arial" w:cs="Arial"/>
          <w:sz w:val="20"/>
          <w:szCs w:val="20"/>
        </w:rPr>
      </w:pPr>
      <w:r>
        <w:rPr>
          <w:rFonts w:ascii="Arial" w:eastAsia="Arial" w:hAnsi="Arial" w:cs="Arial"/>
          <w:sz w:val="22"/>
          <w:szCs w:val="22"/>
        </w:rPr>
        <w:t>La corrida de programación lineal tiene por objetivo hallar el punto de equilibrio para minimizar los costos Opex por cada escenario. Cada escenario considera costos unitarios diferentes, y de acuerdo con la selección de fuente de material, se requiere hallar el tonelaje máximo para tener el menor costo operativo para cal y caliza.</w:t>
      </w:r>
    </w:p>
    <w:p w14:paraId="37ED959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Escenario CR-3 presenta el mejor desempeño económico con FCF 576M$, VAN de 26 M$ y AISC más bajo de 542 $/oz-Eq.</w:t>
      </w:r>
    </w:p>
    <w:p w14:paraId="30906C7E" w14:textId="77777777" w:rsidR="00930170" w:rsidRDefault="00930170">
      <w:pPr>
        <w:widowControl w:val="0"/>
        <w:jc w:val="both"/>
        <w:rPr>
          <w:rFonts w:ascii="Arial" w:eastAsia="Arial" w:hAnsi="Arial" w:cs="Arial"/>
          <w:b/>
          <w:sz w:val="22"/>
          <w:szCs w:val="22"/>
        </w:rPr>
      </w:pPr>
    </w:p>
    <w:p w14:paraId="2F9EDED0"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4.1.2 Dimensión Social</w:t>
      </w:r>
    </w:p>
    <w:p w14:paraId="7CD69E83" w14:textId="77777777" w:rsidR="00930170" w:rsidRDefault="00000000">
      <w:pPr>
        <w:rPr>
          <w:rFonts w:ascii="Arial" w:eastAsia="Arial" w:hAnsi="Arial" w:cs="Arial"/>
          <w:sz w:val="18"/>
          <w:szCs w:val="18"/>
        </w:rPr>
      </w:pPr>
      <w:r>
        <w:rPr>
          <w:rFonts w:ascii="Arial" w:eastAsia="Arial" w:hAnsi="Arial" w:cs="Arial"/>
          <w:sz w:val="22"/>
          <w:szCs w:val="22"/>
        </w:rPr>
        <w:t>Según conceptos desarrollados sobre el valor compartido en la dimensión social en el capítulo de marco conceptual se consideran los siguientes indicadores: Concentración geográfica (proximidad de proveedores locales), Conocimientos y Habilidad (Nro. de capacitaciones de gestión y técnicas) y Capacidad Innovadora (Nro. de innovaciones en productos) A continuación, se muestra la tabla de indicadores y resultados.</w:t>
      </w:r>
    </w:p>
    <w:p w14:paraId="508BF655" w14:textId="77777777" w:rsidR="00930170" w:rsidRDefault="00930170">
      <w:pPr>
        <w:widowControl w:val="0"/>
        <w:jc w:val="both"/>
        <w:rPr>
          <w:rFonts w:ascii="Arial" w:eastAsia="Arial" w:hAnsi="Arial" w:cs="Arial"/>
          <w:b/>
          <w:sz w:val="22"/>
          <w:szCs w:val="22"/>
        </w:rPr>
      </w:pPr>
    </w:p>
    <w:p w14:paraId="247606B4" w14:textId="77777777" w:rsidR="00930170" w:rsidRDefault="00000000">
      <w:pPr>
        <w:spacing w:before="240"/>
        <w:rPr>
          <w:rFonts w:ascii="Arial" w:eastAsia="Arial" w:hAnsi="Arial" w:cs="Arial"/>
          <w:b/>
          <w:sz w:val="22"/>
          <w:szCs w:val="22"/>
        </w:rPr>
      </w:pPr>
      <w:r>
        <w:rPr>
          <w:rFonts w:ascii="Arial" w:eastAsia="Arial" w:hAnsi="Arial" w:cs="Arial"/>
          <w:i/>
          <w:sz w:val="22"/>
          <w:szCs w:val="22"/>
        </w:rPr>
        <w:t>Tabla 2: Resultados Dimensión Social</w:t>
      </w:r>
    </w:p>
    <w:tbl>
      <w:tblPr>
        <w:tblStyle w:val="a0"/>
        <w:tblW w:w="4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5"/>
        <w:gridCol w:w="870"/>
        <w:gridCol w:w="870"/>
        <w:gridCol w:w="705"/>
        <w:gridCol w:w="930"/>
        <w:gridCol w:w="810"/>
      </w:tblGrid>
      <w:tr w:rsidR="00930170" w14:paraId="70D4260B" w14:textId="77777777">
        <w:trPr>
          <w:tblHeader/>
        </w:trPr>
        <w:tc>
          <w:tcPr>
            <w:tcW w:w="795" w:type="dxa"/>
            <w:vAlign w:val="center"/>
          </w:tcPr>
          <w:p w14:paraId="5EEBE97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Escenario</w:t>
            </w:r>
          </w:p>
        </w:tc>
        <w:tc>
          <w:tcPr>
            <w:tcW w:w="870" w:type="dxa"/>
            <w:vAlign w:val="center"/>
          </w:tcPr>
          <w:p w14:paraId="1B68CF1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Empleados Au-Cu</w:t>
            </w:r>
          </w:p>
        </w:tc>
        <w:tc>
          <w:tcPr>
            <w:tcW w:w="870" w:type="dxa"/>
            <w:vAlign w:val="center"/>
          </w:tcPr>
          <w:p w14:paraId="1EDDF3D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Empleados Locales</w:t>
            </w:r>
          </w:p>
        </w:tc>
        <w:tc>
          <w:tcPr>
            <w:tcW w:w="705" w:type="dxa"/>
            <w:vAlign w:val="center"/>
          </w:tcPr>
          <w:p w14:paraId="43E1097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Local</w:t>
            </w:r>
          </w:p>
        </w:tc>
        <w:tc>
          <w:tcPr>
            <w:tcW w:w="930" w:type="dxa"/>
            <w:vAlign w:val="center"/>
          </w:tcPr>
          <w:p w14:paraId="2B355CE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Capacitaciones</w:t>
            </w:r>
          </w:p>
        </w:tc>
        <w:tc>
          <w:tcPr>
            <w:tcW w:w="810" w:type="dxa"/>
            <w:vAlign w:val="center"/>
          </w:tcPr>
          <w:p w14:paraId="3939934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Productos</w:t>
            </w:r>
          </w:p>
        </w:tc>
      </w:tr>
      <w:tr w:rsidR="00930170" w14:paraId="02BAE17A" w14:textId="77777777">
        <w:tc>
          <w:tcPr>
            <w:tcW w:w="795" w:type="dxa"/>
            <w:vAlign w:val="center"/>
          </w:tcPr>
          <w:p w14:paraId="15C45BA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CR-1</w:t>
            </w:r>
          </w:p>
        </w:tc>
        <w:tc>
          <w:tcPr>
            <w:tcW w:w="870" w:type="dxa"/>
            <w:vAlign w:val="center"/>
          </w:tcPr>
          <w:p w14:paraId="28FBC4B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7,530</w:t>
            </w:r>
          </w:p>
        </w:tc>
        <w:tc>
          <w:tcPr>
            <w:tcW w:w="870" w:type="dxa"/>
            <w:vAlign w:val="center"/>
          </w:tcPr>
          <w:p w14:paraId="5DB5A3A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1,261</w:t>
            </w:r>
          </w:p>
        </w:tc>
        <w:tc>
          <w:tcPr>
            <w:tcW w:w="705" w:type="dxa"/>
            <w:vAlign w:val="center"/>
          </w:tcPr>
          <w:p w14:paraId="1C53FFF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w:t>
            </w:r>
          </w:p>
        </w:tc>
        <w:tc>
          <w:tcPr>
            <w:tcW w:w="930" w:type="dxa"/>
            <w:vAlign w:val="center"/>
          </w:tcPr>
          <w:p w14:paraId="5D90108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650</w:t>
            </w:r>
          </w:p>
        </w:tc>
        <w:tc>
          <w:tcPr>
            <w:tcW w:w="810" w:type="dxa"/>
            <w:vAlign w:val="center"/>
          </w:tcPr>
          <w:p w14:paraId="7AD61A4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w:t>
            </w:r>
          </w:p>
        </w:tc>
      </w:tr>
      <w:tr w:rsidR="00930170" w14:paraId="72F859B5" w14:textId="77777777">
        <w:tc>
          <w:tcPr>
            <w:tcW w:w="795" w:type="dxa"/>
            <w:vAlign w:val="center"/>
          </w:tcPr>
          <w:p w14:paraId="5668A41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CR-2</w:t>
            </w:r>
          </w:p>
        </w:tc>
        <w:tc>
          <w:tcPr>
            <w:tcW w:w="870" w:type="dxa"/>
            <w:vAlign w:val="center"/>
          </w:tcPr>
          <w:p w14:paraId="076CDF7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7,530</w:t>
            </w:r>
          </w:p>
        </w:tc>
        <w:tc>
          <w:tcPr>
            <w:tcW w:w="870" w:type="dxa"/>
            <w:vAlign w:val="center"/>
          </w:tcPr>
          <w:p w14:paraId="76C62E3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1,261</w:t>
            </w:r>
          </w:p>
        </w:tc>
        <w:tc>
          <w:tcPr>
            <w:tcW w:w="705" w:type="dxa"/>
            <w:vAlign w:val="center"/>
          </w:tcPr>
          <w:p w14:paraId="2BE837E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w:t>
            </w:r>
          </w:p>
        </w:tc>
        <w:tc>
          <w:tcPr>
            <w:tcW w:w="930" w:type="dxa"/>
            <w:vAlign w:val="center"/>
          </w:tcPr>
          <w:p w14:paraId="06B60BE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650</w:t>
            </w:r>
          </w:p>
        </w:tc>
        <w:tc>
          <w:tcPr>
            <w:tcW w:w="810" w:type="dxa"/>
            <w:vAlign w:val="center"/>
          </w:tcPr>
          <w:p w14:paraId="10F3C5C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w:t>
            </w:r>
          </w:p>
        </w:tc>
      </w:tr>
      <w:tr w:rsidR="00930170" w14:paraId="383DC98C" w14:textId="77777777">
        <w:tc>
          <w:tcPr>
            <w:tcW w:w="795" w:type="dxa"/>
            <w:vAlign w:val="center"/>
          </w:tcPr>
          <w:p w14:paraId="3C9667D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CR-3</w:t>
            </w:r>
          </w:p>
        </w:tc>
        <w:tc>
          <w:tcPr>
            <w:tcW w:w="870" w:type="dxa"/>
            <w:vAlign w:val="center"/>
          </w:tcPr>
          <w:p w14:paraId="711AA34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4,121</w:t>
            </w:r>
          </w:p>
        </w:tc>
        <w:tc>
          <w:tcPr>
            <w:tcW w:w="870" w:type="dxa"/>
            <w:vAlign w:val="center"/>
          </w:tcPr>
          <w:p w14:paraId="25F7DF5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7,917</w:t>
            </w:r>
          </w:p>
        </w:tc>
        <w:tc>
          <w:tcPr>
            <w:tcW w:w="705" w:type="dxa"/>
            <w:vAlign w:val="center"/>
          </w:tcPr>
          <w:p w14:paraId="3141190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66%</w:t>
            </w:r>
          </w:p>
        </w:tc>
        <w:tc>
          <w:tcPr>
            <w:tcW w:w="930" w:type="dxa"/>
            <w:vAlign w:val="center"/>
          </w:tcPr>
          <w:p w14:paraId="296AE3E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14,137</w:t>
            </w:r>
          </w:p>
        </w:tc>
        <w:tc>
          <w:tcPr>
            <w:tcW w:w="810" w:type="dxa"/>
            <w:vAlign w:val="center"/>
          </w:tcPr>
          <w:p w14:paraId="04B53EF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r>
      <w:tr w:rsidR="00930170" w14:paraId="2209BABA" w14:textId="77777777">
        <w:tc>
          <w:tcPr>
            <w:tcW w:w="795" w:type="dxa"/>
            <w:vAlign w:val="center"/>
          </w:tcPr>
          <w:p w14:paraId="3569D9B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CR-4</w:t>
            </w:r>
          </w:p>
        </w:tc>
        <w:tc>
          <w:tcPr>
            <w:tcW w:w="870" w:type="dxa"/>
            <w:vAlign w:val="center"/>
          </w:tcPr>
          <w:p w14:paraId="38D179B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7,610</w:t>
            </w:r>
          </w:p>
        </w:tc>
        <w:tc>
          <w:tcPr>
            <w:tcW w:w="870" w:type="dxa"/>
            <w:vAlign w:val="center"/>
          </w:tcPr>
          <w:p w14:paraId="5736A16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1,143</w:t>
            </w:r>
          </w:p>
        </w:tc>
        <w:tc>
          <w:tcPr>
            <w:tcW w:w="705" w:type="dxa"/>
            <w:vAlign w:val="center"/>
          </w:tcPr>
          <w:p w14:paraId="65DB541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13%</w:t>
            </w:r>
          </w:p>
        </w:tc>
        <w:tc>
          <w:tcPr>
            <w:tcW w:w="930" w:type="dxa"/>
            <w:vAlign w:val="center"/>
          </w:tcPr>
          <w:p w14:paraId="2A360ED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589</w:t>
            </w:r>
          </w:p>
        </w:tc>
        <w:tc>
          <w:tcPr>
            <w:tcW w:w="810" w:type="dxa"/>
            <w:vAlign w:val="center"/>
          </w:tcPr>
          <w:p w14:paraId="76E3F3B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r>
      <w:tr w:rsidR="00930170" w14:paraId="0C880A90" w14:textId="77777777">
        <w:tc>
          <w:tcPr>
            <w:tcW w:w="795" w:type="dxa"/>
            <w:vAlign w:val="center"/>
          </w:tcPr>
          <w:p w14:paraId="6A4D462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CR-5</w:t>
            </w:r>
          </w:p>
        </w:tc>
        <w:tc>
          <w:tcPr>
            <w:tcW w:w="870" w:type="dxa"/>
            <w:vAlign w:val="center"/>
          </w:tcPr>
          <w:p w14:paraId="318995D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769</w:t>
            </w:r>
          </w:p>
        </w:tc>
        <w:tc>
          <w:tcPr>
            <w:tcW w:w="870" w:type="dxa"/>
            <w:vAlign w:val="center"/>
          </w:tcPr>
          <w:p w14:paraId="064752F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14,426</w:t>
            </w:r>
          </w:p>
        </w:tc>
        <w:tc>
          <w:tcPr>
            <w:tcW w:w="705" w:type="dxa"/>
            <w:vAlign w:val="center"/>
          </w:tcPr>
          <w:p w14:paraId="7946CE7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95%</w:t>
            </w:r>
          </w:p>
        </w:tc>
        <w:tc>
          <w:tcPr>
            <w:tcW w:w="930" w:type="dxa"/>
            <w:vAlign w:val="center"/>
          </w:tcPr>
          <w:p w14:paraId="2C6B3A9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27,154</w:t>
            </w:r>
          </w:p>
        </w:tc>
        <w:tc>
          <w:tcPr>
            <w:tcW w:w="810" w:type="dxa"/>
            <w:vAlign w:val="center"/>
          </w:tcPr>
          <w:p w14:paraId="28B395D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r>
      <w:tr w:rsidR="00930170" w14:paraId="19D3F3B5" w14:textId="77777777">
        <w:tc>
          <w:tcPr>
            <w:tcW w:w="795" w:type="dxa"/>
            <w:vAlign w:val="center"/>
          </w:tcPr>
          <w:p w14:paraId="5A09E54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CR-6</w:t>
            </w:r>
          </w:p>
        </w:tc>
        <w:tc>
          <w:tcPr>
            <w:tcW w:w="870" w:type="dxa"/>
            <w:vAlign w:val="center"/>
          </w:tcPr>
          <w:p w14:paraId="48AE43D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6,843</w:t>
            </w:r>
          </w:p>
        </w:tc>
        <w:tc>
          <w:tcPr>
            <w:tcW w:w="870" w:type="dxa"/>
            <w:vAlign w:val="center"/>
          </w:tcPr>
          <w:p w14:paraId="606C6D0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2,629</w:t>
            </w:r>
          </w:p>
        </w:tc>
        <w:tc>
          <w:tcPr>
            <w:tcW w:w="705" w:type="dxa"/>
            <w:vAlign w:val="center"/>
          </w:tcPr>
          <w:p w14:paraId="3A9FD06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28%</w:t>
            </w:r>
          </w:p>
        </w:tc>
        <w:tc>
          <w:tcPr>
            <w:tcW w:w="930" w:type="dxa"/>
            <w:vAlign w:val="center"/>
          </w:tcPr>
          <w:p w14:paraId="2009F87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1,354</w:t>
            </w:r>
          </w:p>
        </w:tc>
        <w:tc>
          <w:tcPr>
            <w:tcW w:w="810" w:type="dxa"/>
            <w:vAlign w:val="center"/>
          </w:tcPr>
          <w:p w14:paraId="398E0EA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r>
      <w:tr w:rsidR="00930170" w14:paraId="7E2EF921" w14:textId="77777777">
        <w:tc>
          <w:tcPr>
            <w:tcW w:w="795" w:type="dxa"/>
            <w:vAlign w:val="center"/>
          </w:tcPr>
          <w:p w14:paraId="7339299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SR-1</w:t>
            </w:r>
          </w:p>
        </w:tc>
        <w:tc>
          <w:tcPr>
            <w:tcW w:w="870" w:type="dxa"/>
            <w:vAlign w:val="center"/>
          </w:tcPr>
          <w:p w14:paraId="72FD609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2,223</w:t>
            </w:r>
          </w:p>
        </w:tc>
        <w:tc>
          <w:tcPr>
            <w:tcW w:w="870" w:type="dxa"/>
            <w:vAlign w:val="center"/>
          </w:tcPr>
          <w:p w14:paraId="7D6F7FD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11,600</w:t>
            </w:r>
          </w:p>
        </w:tc>
        <w:tc>
          <w:tcPr>
            <w:tcW w:w="705" w:type="dxa"/>
            <w:vAlign w:val="center"/>
          </w:tcPr>
          <w:p w14:paraId="3988F04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84%</w:t>
            </w:r>
          </w:p>
        </w:tc>
        <w:tc>
          <w:tcPr>
            <w:tcW w:w="930" w:type="dxa"/>
            <w:vAlign w:val="center"/>
          </w:tcPr>
          <w:p w14:paraId="5576365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19,295</w:t>
            </w:r>
          </w:p>
        </w:tc>
        <w:tc>
          <w:tcPr>
            <w:tcW w:w="810" w:type="dxa"/>
            <w:vAlign w:val="center"/>
          </w:tcPr>
          <w:p w14:paraId="330FBF6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r>
      <w:tr w:rsidR="00930170" w14:paraId="29608F4B" w14:textId="77777777">
        <w:tc>
          <w:tcPr>
            <w:tcW w:w="795" w:type="dxa"/>
            <w:vAlign w:val="center"/>
          </w:tcPr>
          <w:p w14:paraId="6B186CF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SR-2</w:t>
            </w:r>
          </w:p>
        </w:tc>
        <w:tc>
          <w:tcPr>
            <w:tcW w:w="870" w:type="dxa"/>
            <w:vAlign w:val="center"/>
          </w:tcPr>
          <w:p w14:paraId="2318EA8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7,610</w:t>
            </w:r>
          </w:p>
        </w:tc>
        <w:tc>
          <w:tcPr>
            <w:tcW w:w="870" w:type="dxa"/>
            <w:vAlign w:val="center"/>
          </w:tcPr>
          <w:p w14:paraId="0DE9990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1,143</w:t>
            </w:r>
          </w:p>
        </w:tc>
        <w:tc>
          <w:tcPr>
            <w:tcW w:w="705" w:type="dxa"/>
            <w:vAlign w:val="center"/>
          </w:tcPr>
          <w:p w14:paraId="559F870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13%</w:t>
            </w:r>
          </w:p>
        </w:tc>
        <w:tc>
          <w:tcPr>
            <w:tcW w:w="930" w:type="dxa"/>
            <w:vAlign w:val="center"/>
          </w:tcPr>
          <w:p w14:paraId="640C760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589</w:t>
            </w:r>
          </w:p>
        </w:tc>
        <w:tc>
          <w:tcPr>
            <w:tcW w:w="810" w:type="dxa"/>
            <w:vAlign w:val="center"/>
          </w:tcPr>
          <w:p w14:paraId="4D17E95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w:t>
            </w:r>
          </w:p>
        </w:tc>
      </w:tr>
      <w:tr w:rsidR="00930170" w14:paraId="519C4A93" w14:textId="77777777">
        <w:tc>
          <w:tcPr>
            <w:tcW w:w="795" w:type="dxa"/>
            <w:vAlign w:val="center"/>
          </w:tcPr>
          <w:p w14:paraId="7866096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SR-3</w:t>
            </w:r>
          </w:p>
        </w:tc>
        <w:tc>
          <w:tcPr>
            <w:tcW w:w="870" w:type="dxa"/>
            <w:vAlign w:val="center"/>
          </w:tcPr>
          <w:p w14:paraId="7D83E0D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2,223</w:t>
            </w:r>
          </w:p>
        </w:tc>
        <w:tc>
          <w:tcPr>
            <w:tcW w:w="870" w:type="dxa"/>
            <w:vAlign w:val="center"/>
          </w:tcPr>
          <w:p w14:paraId="4754FD3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11,600</w:t>
            </w:r>
          </w:p>
        </w:tc>
        <w:tc>
          <w:tcPr>
            <w:tcW w:w="705" w:type="dxa"/>
            <w:vAlign w:val="center"/>
          </w:tcPr>
          <w:p w14:paraId="2282AC2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84%</w:t>
            </w:r>
          </w:p>
        </w:tc>
        <w:tc>
          <w:tcPr>
            <w:tcW w:w="930" w:type="dxa"/>
            <w:vAlign w:val="center"/>
          </w:tcPr>
          <w:p w14:paraId="0A131C1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19,295</w:t>
            </w:r>
          </w:p>
        </w:tc>
        <w:tc>
          <w:tcPr>
            <w:tcW w:w="810" w:type="dxa"/>
            <w:vAlign w:val="center"/>
          </w:tcPr>
          <w:p w14:paraId="1A29D34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r>
      <w:tr w:rsidR="00930170" w14:paraId="4CBBE9CF" w14:textId="77777777">
        <w:tc>
          <w:tcPr>
            <w:tcW w:w="795" w:type="dxa"/>
            <w:vAlign w:val="center"/>
          </w:tcPr>
          <w:p w14:paraId="73E5D12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SR-4</w:t>
            </w:r>
          </w:p>
        </w:tc>
        <w:tc>
          <w:tcPr>
            <w:tcW w:w="870" w:type="dxa"/>
            <w:vAlign w:val="center"/>
          </w:tcPr>
          <w:p w14:paraId="52969B2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2,124</w:t>
            </w:r>
          </w:p>
        </w:tc>
        <w:tc>
          <w:tcPr>
            <w:tcW w:w="870" w:type="dxa"/>
            <w:vAlign w:val="center"/>
          </w:tcPr>
          <w:p w14:paraId="76CA8E3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11,299</w:t>
            </w:r>
          </w:p>
        </w:tc>
        <w:tc>
          <w:tcPr>
            <w:tcW w:w="705" w:type="dxa"/>
            <w:vAlign w:val="center"/>
          </w:tcPr>
          <w:p w14:paraId="53BEC18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84%</w:t>
            </w:r>
          </w:p>
        </w:tc>
        <w:tc>
          <w:tcPr>
            <w:tcW w:w="930" w:type="dxa"/>
            <w:vAlign w:val="center"/>
          </w:tcPr>
          <w:p w14:paraId="5813211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18,693</w:t>
            </w:r>
          </w:p>
        </w:tc>
        <w:tc>
          <w:tcPr>
            <w:tcW w:w="810" w:type="dxa"/>
            <w:vAlign w:val="center"/>
          </w:tcPr>
          <w:p w14:paraId="70E999B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w:t>
            </w:r>
          </w:p>
        </w:tc>
      </w:tr>
    </w:tbl>
    <w:p w14:paraId="600597AB" w14:textId="77777777" w:rsidR="00930170" w:rsidRDefault="00930170">
      <w:pPr>
        <w:widowControl w:val="0"/>
        <w:jc w:val="both"/>
        <w:rPr>
          <w:rFonts w:ascii="Arial" w:eastAsia="Arial" w:hAnsi="Arial" w:cs="Arial"/>
          <w:b/>
          <w:sz w:val="22"/>
          <w:szCs w:val="22"/>
        </w:rPr>
      </w:pPr>
    </w:p>
    <w:p w14:paraId="5198636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Escenario CR-5 maximiza el empleo local (95%), mientras CR-3 mantiene balance con 66% de participación local.</w:t>
      </w:r>
    </w:p>
    <w:p w14:paraId="5E2AFA14" w14:textId="77777777" w:rsidR="00930170" w:rsidRDefault="00930170">
      <w:pPr>
        <w:widowControl w:val="0"/>
        <w:jc w:val="both"/>
        <w:rPr>
          <w:rFonts w:ascii="Arial" w:eastAsia="Arial" w:hAnsi="Arial" w:cs="Arial"/>
          <w:b/>
          <w:sz w:val="22"/>
          <w:szCs w:val="22"/>
        </w:rPr>
      </w:pPr>
    </w:p>
    <w:p w14:paraId="31C8B4EC"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4.1.3 Dimensión Ambiental</w:t>
      </w:r>
    </w:p>
    <w:p w14:paraId="7BD18B89" w14:textId="77777777" w:rsidR="00930170" w:rsidRDefault="00000000">
      <w:pPr>
        <w:rPr>
          <w:rFonts w:ascii="Arial" w:eastAsia="Arial" w:hAnsi="Arial" w:cs="Arial"/>
          <w:sz w:val="22"/>
          <w:szCs w:val="22"/>
        </w:rPr>
      </w:pPr>
      <w:r>
        <w:rPr>
          <w:rFonts w:ascii="Arial" w:eastAsia="Arial" w:hAnsi="Arial" w:cs="Arial"/>
          <w:sz w:val="22"/>
          <w:szCs w:val="22"/>
        </w:rPr>
        <w:t xml:space="preserve">Según conceptos desarrollados sobre el valor compartido en la dimensión ambiental en el </w:t>
      </w:r>
      <w:r>
        <w:rPr>
          <w:rFonts w:ascii="Arial" w:eastAsia="Arial" w:hAnsi="Arial" w:cs="Arial"/>
          <w:sz w:val="22"/>
          <w:szCs w:val="22"/>
        </w:rPr>
        <w:t>capítulo de marco conceptual se consideran los siguientes indicadores: Economía Circular (Toneladas de piedra caliza reutilizada) y Uso eficiente de la energía (kilómetros de acarreo para cal final, cal gruesa y piedra caliza). A continuación, se muestra la tabla de indicadores y resultados.</w:t>
      </w:r>
      <w:r>
        <w:rPr>
          <w:rFonts w:ascii="Arial" w:eastAsia="Arial" w:hAnsi="Arial" w:cs="Arial"/>
          <w:sz w:val="22"/>
          <w:szCs w:val="22"/>
        </w:rPr>
        <w:br/>
      </w:r>
      <w:r>
        <w:rPr>
          <w:rFonts w:ascii="Arial" w:eastAsia="Arial" w:hAnsi="Arial" w:cs="Arial"/>
          <w:i/>
          <w:sz w:val="22"/>
          <w:szCs w:val="22"/>
        </w:rPr>
        <w:t>Tabla 3: Resultados Dimensión Ambiental</w:t>
      </w:r>
    </w:p>
    <w:tbl>
      <w:tblPr>
        <w:tblStyle w:val="a1"/>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5"/>
        <w:gridCol w:w="1080"/>
        <w:gridCol w:w="1230"/>
        <w:gridCol w:w="1215"/>
        <w:gridCol w:w="810"/>
      </w:tblGrid>
      <w:tr w:rsidR="00930170" w14:paraId="25B9088D" w14:textId="77777777">
        <w:trPr>
          <w:tblHeader/>
          <w:jc w:val="center"/>
        </w:trPr>
        <w:tc>
          <w:tcPr>
            <w:tcW w:w="645" w:type="dxa"/>
            <w:vAlign w:val="center"/>
          </w:tcPr>
          <w:p w14:paraId="30E303C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Escenario</w:t>
            </w:r>
          </w:p>
        </w:tc>
        <w:tc>
          <w:tcPr>
            <w:tcW w:w="1080" w:type="dxa"/>
            <w:vAlign w:val="center"/>
          </w:tcPr>
          <w:p w14:paraId="1013B5B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Caliza Reutilizada (t)</w:t>
            </w:r>
          </w:p>
        </w:tc>
        <w:tc>
          <w:tcPr>
            <w:tcW w:w="1230" w:type="dxa"/>
            <w:vAlign w:val="center"/>
          </w:tcPr>
          <w:p w14:paraId="5F2E121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Acarreo Caliza (km)</w:t>
            </w:r>
          </w:p>
        </w:tc>
        <w:tc>
          <w:tcPr>
            <w:tcW w:w="1215" w:type="dxa"/>
            <w:vAlign w:val="center"/>
          </w:tcPr>
          <w:p w14:paraId="05786DC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Acarreo Cal Fina (km)</w:t>
            </w:r>
          </w:p>
        </w:tc>
        <w:tc>
          <w:tcPr>
            <w:tcW w:w="810" w:type="dxa"/>
            <w:vAlign w:val="center"/>
          </w:tcPr>
          <w:p w14:paraId="7817021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Acarreo Cal Gruesa (km)</w:t>
            </w:r>
          </w:p>
        </w:tc>
      </w:tr>
      <w:tr w:rsidR="00930170" w14:paraId="77B09A9A" w14:textId="77777777">
        <w:trPr>
          <w:jc w:val="center"/>
        </w:trPr>
        <w:tc>
          <w:tcPr>
            <w:tcW w:w="645" w:type="dxa"/>
            <w:vAlign w:val="center"/>
          </w:tcPr>
          <w:p w14:paraId="4689BFF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CR-1</w:t>
            </w:r>
          </w:p>
        </w:tc>
        <w:tc>
          <w:tcPr>
            <w:tcW w:w="1080" w:type="dxa"/>
            <w:vAlign w:val="center"/>
          </w:tcPr>
          <w:p w14:paraId="2D976B0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24F10F9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515,858</w:t>
            </w:r>
          </w:p>
        </w:tc>
        <w:tc>
          <w:tcPr>
            <w:tcW w:w="1215" w:type="dxa"/>
            <w:vAlign w:val="center"/>
          </w:tcPr>
          <w:p w14:paraId="4EF08C0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1,725,388</w:t>
            </w:r>
          </w:p>
        </w:tc>
        <w:tc>
          <w:tcPr>
            <w:tcW w:w="810" w:type="dxa"/>
            <w:vAlign w:val="center"/>
          </w:tcPr>
          <w:p w14:paraId="7D38661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25,644</w:t>
            </w:r>
          </w:p>
        </w:tc>
      </w:tr>
      <w:tr w:rsidR="00930170" w14:paraId="6291895D" w14:textId="77777777">
        <w:trPr>
          <w:jc w:val="center"/>
        </w:trPr>
        <w:tc>
          <w:tcPr>
            <w:tcW w:w="645" w:type="dxa"/>
            <w:vAlign w:val="center"/>
          </w:tcPr>
          <w:p w14:paraId="4D27ECA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CR-2</w:t>
            </w:r>
          </w:p>
        </w:tc>
        <w:tc>
          <w:tcPr>
            <w:tcW w:w="1080" w:type="dxa"/>
            <w:vAlign w:val="center"/>
          </w:tcPr>
          <w:p w14:paraId="0FAF5D8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55A3ABC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515,858</w:t>
            </w:r>
          </w:p>
        </w:tc>
        <w:tc>
          <w:tcPr>
            <w:tcW w:w="1215" w:type="dxa"/>
            <w:vAlign w:val="center"/>
          </w:tcPr>
          <w:p w14:paraId="0300EF4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1,725,388</w:t>
            </w:r>
          </w:p>
        </w:tc>
        <w:tc>
          <w:tcPr>
            <w:tcW w:w="810" w:type="dxa"/>
            <w:vAlign w:val="center"/>
          </w:tcPr>
          <w:p w14:paraId="55E8E47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25,644</w:t>
            </w:r>
          </w:p>
        </w:tc>
      </w:tr>
      <w:tr w:rsidR="00930170" w14:paraId="1A992826" w14:textId="77777777">
        <w:trPr>
          <w:jc w:val="center"/>
        </w:trPr>
        <w:tc>
          <w:tcPr>
            <w:tcW w:w="645" w:type="dxa"/>
            <w:vAlign w:val="center"/>
          </w:tcPr>
          <w:p w14:paraId="044FA75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CR-3</w:t>
            </w:r>
          </w:p>
        </w:tc>
        <w:tc>
          <w:tcPr>
            <w:tcW w:w="1080" w:type="dxa"/>
            <w:vAlign w:val="center"/>
          </w:tcPr>
          <w:p w14:paraId="7ED3F71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24BC286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5,411,981</w:t>
            </w:r>
          </w:p>
        </w:tc>
        <w:tc>
          <w:tcPr>
            <w:tcW w:w="1215" w:type="dxa"/>
            <w:vAlign w:val="center"/>
          </w:tcPr>
          <w:p w14:paraId="616767B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1,455,399</w:t>
            </w:r>
          </w:p>
        </w:tc>
        <w:tc>
          <w:tcPr>
            <w:tcW w:w="810" w:type="dxa"/>
            <w:vAlign w:val="center"/>
          </w:tcPr>
          <w:p w14:paraId="57029EF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14,201</w:t>
            </w:r>
          </w:p>
        </w:tc>
      </w:tr>
      <w:tr w:rsidR="00930170" w14:paraId="1D3C3C49" w14:textId="77777777">
        <w:trPr>
          <w:jc w:val="center"/>
        </w:trPr>
        <w:tc>
          <w:tcPr>
            <w:tcW w:w="645" w:type="dxa"/>
            <w:vAlign w:val="center"/>
          </w:tcPr>
          <w:p w14:paraId="00A5F90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CR-4</w:t>
            </w:r>
          </w:p>
        </w:tc>
        <w:tc>
          <w:tcPr>
            <w:tcW w:w="1080" w:type="dxa"/>
            <w:vAlign w:val="center"/>
          </w:tcPr>
          <w:p w14:paraId="7A50008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6A30F33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515,858</w:t>
            </w:r>
          </w:p>
        </w:tc>
        <w:tc>
          <w:tcPr>
            <w:tcW w:w="1215" w:type="dxa"/>
            <w:vAlign w:val="center"/>
          </w:tcPr>
          <w:p w14:paraId="72F0596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1,455,399</w:t>
            </w:r>
          </w:p>
        </w:tc>
        <w:tc>
          <w:tcPr>
            <w:tcW w:w="810" w:type="dxa"/>
            <w:vAlign w:val="center"/>
          </w:tcPr>
          <w:p w14:paraId="09A1BF8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14,201</w:t>
            </w:r>
          </w:p>
        </w:tc>
      </w:tr>
      <w:tr w:rsidR="00930170" w14:paraId="473BD2BE" w14:textId="77777777">
        <w:trPr>
          <w:jc w:val="center"/>
        </w:trPr>
        <w:tc>
          <w:tcPr>
            <w:tcW w:w="645" w:type="dxa"/>
            <w:vAlign w:val="center"/>
          </w:tcPr>
          <w:p w14:paraId="2AE18B7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CR-5</w:t>
            </w:r>
          </w:p>
        </w:tc>
        <w:tc>
          <w:tcPr>
            <w:tcW w:w="1080" w:type="dxa"/>
            <w:vAlign w:val="center"/>
          </w:tcPr>
          <w:p w14:paraId="29B14BD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11B78CF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5,983,955</w:t>
            </w:r>
          </w:p>
        </w:tc>
        <w:tc>
          <w:tcPr>
            <w:tcW w:w="1215" w:type="dxa"/>
            <w:vAlign w:val="center"/>
          </w:tcPr>
          <w:p w14:paraId="49A79DF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1,443,956</w:t>
            </w:r>
          </w:p>
        </w:tc>
        <w:tc>
          <w:tcPr>
            <w:tcW w:w="810" w:type="dxa"/>
            <w:vAlign w:val="center"/>
          </w:tcPr>
          <w:p w14:paraId="3E65174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25,644</w:t>
            </w:r>
          </w:p>
        </w:tc>
      </w:tr>
      <w:tr w:rsidR="00930170" w14:paraId="715153A4" w14:textId="77777777">
        <w:trPr>
          <w:jc w:val="center"/>
        </w:trPr>
        <w:tc>
          <w:tcPr>
            <w:tcW w:w="645" w:type="dxa"/>
            <w:vAlign w:val="center"/>
          </w:tcPr>
          <w:p w14:paraId="5D10A0D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CR-6</w:t>
            </w:r>
          </w:p>
        </w:tc>
        <w:tc>
          <w:tcPr>
            <w:tcW w:w="1080" w:type="dxa"/>
            <w:vAlign w:val="center"/>
          </w:tcPr>
          <w:p w14:paraId="61F6F51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5A25CB9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515,858</w:t>
            </w:r>
          </w:p>
        </w:tc>
        <w:tc>
          <w:tcPr>
            <w:tcW w:w="1215" w:type="dxa"/>
            <w:vAlign w:val="center"/>
          </w:tcPr>
          <w:p w14:paraId="77008EA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1,014,057</w:t>
            </w:r>
          </w:p>
        </w:tc>
        <w:tc>
          <w:tcPr>
            <w:tcW w:w="810" w:type="dxa"/>
            <w:vAlign w:val="center"/>
          </w:tcPr>
          <w:p w14:paraId="6B6DE0A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46,306</w:t>
            </w:r>
          </w:p>
        </w:tc>
      </w:tr>
      <w:tr w:rsidR="00930170" w14:paraId="29D51A51" w14:textId="77777777">
        <w:trPr>
          <w:jc w:val="center"/>
        </w:trPr>
        <w:tc>
          <w:tcPr>
            <w:tcW w:w="645" w:type="dxa"/>
            <w:vAlign w:val="center"/>
          </w:tcPr>
          <w:p w14:paraId="5802B21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SR-1</w:t>
            </w:r>
          </w:p>
        </w:tc>
        <w:tc>
          <w:tcPr>
            <w:tcW w:w="1080" w:type="dxa"/>
            <w:vAlign w:val="center"/>
          </w:tcPr>
          <w:p w14:paraId="7A76EB6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3F31C07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8,952,471</w:t>
            </w:r>
          </w:p>
        </w:tc>
        <w:tc>
          <w:tcPr>
            <w:tcW w:w="1215" w:type="dxa"/>
            <w:vAlign w:val="center"/>
          </w:tcPr>
          <w:p w14:paraId="72B1340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1,014,057</w:t>
            </w:r>
          </w:p>
        </w:tc>
        <w:tc>
          <w:tcPr>
            <w:tcW w:w="810" w:type="dxa"/>
            <w:vAlign w:val="center"/>
          </w:tcPr>
          <w:p w14:paraId="1325BD1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46,306</w:t>
            </w:r>
          </w:p>
        </w:tc>
      </w:tr>
      <w:tr w:rsidR="00930170" w14:paraId="0C1D4692" w14:textId="77777777">
        <w:trPr>
          <w:jc w:val="center"/>
        </w:trPr>
        <w:tc>
          <w:tcPr>
            <w:tcW w:w="645" w:type="dxa"/>
            <w:vAlign w:val="center"/>
          </w:tcPr>
          <w:p w14:paraId="6F5F56E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SR-2</w:t>
            </w:r>
          </w:p>
        </w:tc>
        <w:tc>
          <w:tcPr>
            <w:tcW w:w="1080" w:type="dxa"/>
            <w:vAlign w:val="center"/>
          </w:tcPr>
          <w:p w14:paraId="37961F6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153FAEE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924,814</w:t>
            </w:r>
          </w:p>
        </w:tc>
        <w:tc>
          <w:tcPr>
            <w:tcW w:w="1215" w:type="dxa"/>
            <w:vAlign w:val="center"/>
          </w:tcPr>
          <w:p w14:paraId="472495E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1,443,956</w:t>
            </w:r>
          </w:p>
        </w:tc>
        <w:tc>
          <w:tcPr>
            <w:tcW w:w="810" w:type="dxa"/>
            <w:vAlign w:val="center"/>
          </w:tcPr>
          <w:p w14:paraId="6197802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25,644</w:t>
            </w:r>
          </w:p>
        </w:tc>
      </w:tr>
      <w:tr w:rsidR="00930170" w14:paraId="58B74E4D" w14:textId="77777777">
        <w:trPr>
          <w:jc w:val="center"/>
        </w:trPr>
        <w:tc>
          <w:tcPr>
            <w:tcW w:w="645" w:type="dxa"/>
            <w:vAlign w:val="center"/>
          </w:tcPr>
          <w:p w14:paraId="5A290B0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SR-3</w:t>
            </w:r>
          </w:p>
        </w:tc>
        <w:tc>
          <w:tcPr>
            <w:tcW w:w="1080" w:type="dxa"/>
            <w:vAlign w:val="center"/>
          </w:tcPr>
          <w:p w14:paraId="739A04E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4,422,924</w:t>
            </w:r>
          </w:p>
        </w:tc>
        <w:tc>
          <w:tcPr>
            <w:tcW w:w="1230" w:type="dxa"/>
            <w:vAlign w:val="center"/>
          </w:tcPr>
          <w:p w14:paraId="76BA220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13,344,962</w:t>
            </w:r>
          </w:p>
        </w:tc>
        <w:tc>
          <w:tcPr>
            <w:tcW w:w="1215" w:type="dxa"/>
            <w:vAlign w:val="center"/>
          </w:tcPr>
          <w:p w14:paraId="5DB91F5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1,014,057</w:t>
            </w:r>
          </w:p>
        </w:tc>
        <w:tc>
          <w:tcPr>
            <w:tcW w:w="810" w:type="dxa"/>
            <w:vAlign w:val="center"/>
          </w:tcPr>
          <w:p w14:paraId="21F5407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46,306</w:t>
            </w:r>
          </w:p>
        </w:tc>
      </w:tr>
      <w:tr w:rsidR="00930170" w14:paraId="184F0552" w14:textId="77777777">
        <w:trPr>
          <w:jc w:val="center"/>
        </w:trPr>
        <w:tc>
          <w:tcPr>
            <w:tcW w:w="645" w:type="dxa"/>
            <w:vAlign w:val="center"/>
          </w:tcPr>
          <w:p w14:paraId="0B43D2D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SR-4</w:t>
            </w:r>
          </w:p>
        </w:tc>
        <w:tc>
          <w:tcPr>
            <w:tcW w:w="1080" w:type="dxa"/>
            <w:vAlign w:val="center"/>
          </w:tcPr>
          <w:p w14:paraId="43FC470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4,615,781</w:t>
            </w:r>
          </w:p>
        </w:tc>
        <w:tc>
          <w:tcPr>
            <w:tcW w:w="1230" w:type="dxa"/>
            <w:vAlign w:val="center"/>
          </w:tcPr>
          <w:p w14:paraId="403E28A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8,650,392</w:t>
            </w:r>
          </w:p>
        </w:tc>
        <w:tc>
          <w:tcPr>
            <w:tcW w:w="1215" w:type="dxa"/>
            <w:vAlign w:val="center"/>
          </w:tcPr>
          <w:p w14:paraId="2BAB006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1,014,057</w:t>
            </w:r>
          </w:p>
        </w:tc>
        <w:tc>
          <w:tcPr>
            <w:tcW w:w="810" w:type="dxa"/>
            <w:vAlign w:val="center"/>
          </w:tcPr>
          <w:p w14:paraId="5A3AAEC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46,306</w:t>
            </w:r>
          </w:p>
        </w:tc>
      </w:tr>
    </w:tbl>
    <w:p w14:paraId="2A8BE126" w14:textId="77777777" w:rsidR="00930170" w:rsidRDefault="00930170">
      <w:pPr>
        <w:widowControl w:val="0"/>
        <w:jc w:val="both"/>
        <w:rPr>
          <w:rFonts w:ascii="Arial" w:eastAsia="Arial" w:hAnsi="Arial" w:cs="Arial"/>
          <w:b/>
          <w:sz w:val="22"/>
          <w:szCs w:val="22"/>
        </w:rPr>
      </w:pPr>
    </w:p>
    <w:p w14:paraId="534937C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Los escenarios CR (con cantera Rocca) mantienen menores distancias de transporte que los SR (sin cantera Rocca), optimizando la eficiencia energética.</w:t>
      </w:r>
    </w:p>
    <w:p w14:paraId="3AEDF0B6" w14:textId="77777777" w:rsidR="00930170" w:rsidRDefault="00930170">
      <w:pPr>
        <w:widowControl w:val="0"/>
        <w:jc w:val="both"/>
        <w:rPr>
          <w:rFonts w:ascii="Arial" w:eastAsia="Arial" w:hAnsi="Arial" w:cs="Arial"/>
          <w:b/>
          <w:sz w:val="22"/>
          <w:szCs w:val="22"/>
        </w:rPr>
      </w:pPr>
    </w:p>
    <w:p w14:paraId="55385606"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4.2 Resultados Integrados Normalizados</w:t>
      </w:r>
    </w:p>
    <w:p w14:paraId="6D491133" w14:textId="77777777" w:rsidR="00930170" w:rsidRDefault="00930170">
      <w:pPr>
        <w:widowControl w:val="0"/>
        <w:jc w:val="both"/>
        <w:rPr>
          <w:rFonts w:ascii="Arial" w:eastAsia="Arial" w:hAnsi="Arial" w:cs="Arial"/>
          <w:b/>
          <w:sz w:val="22"/>
          <w:szCs w:val="22"/>
        </w:rPr>
      </w:pPr>
    </w:p>
    <w:p w14:paraId="2725B66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Aplicando la metodología de normalización min-max, los resultados integrados en escala 0-100 son:</w:t>
      </w:r>
    </w:p>
    <w:p w14:paraId="6CD293F5" w14:textId="77777777" w:rsidR="00930170" w:rsidRDefault="00000000">
      <w:pPr>
        <w:rPr>
          <w:rFonts w:ascii="Arial" w:eastAsia="Arial" w:hAnsi="Arial" w:cs="Arial"/>
          <w:b/>
          <w:sz w:val="22"/>
          <w:szCs w:val="22"/>
        </w:rPr>
      </w:pPr>
      <w:r>
        <w:rPr>
          <w:rFonts w:ascii="Arial" w:eastAsia="Arial" w:hAnsi="Arial" w:cs="Arial"/>
          <w:i/>
          <w:sz w:val="22"/>
          <w:szCs w:val="22"/>
        </w:rPr>
        <w:t>Tabla 4: Resultados Integrados Normalizados</w:t>
      </w:r>
    </w:p>
    <w:tbl>
      <w:tblPr>
        <w:tblStyle w:val="a2"/>
        <w:tblW w:w="4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215"/>
        <w:gridCol w:w="1020"/>
        <w:gridCol w:w="1350"/>
      </w:tblGrid>
      <w:tr w:rsidR="00930170" w14:paraId="4DE8612A" w14:textId="77777777">
        <w:trPr>
          <w:tblHeader/>
        </w:trPr>
        <w:tc>
          <w:tcPr>
            <w:tcW w:w="1200" w:type="dxa"/>
            <w:vAlign w:val="center"/>
          </w:tcPr>
          <w:p w14:paraId="65830D5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Escenario</w:t>
            </w:r>
          </w:p>
        </w:tc>
        <w:tc>
          <w:tcPr>
            <w:tcW w:w="1215" w:type="dxa"/>
            <w:vAlign w:val="center"/>
          </w:tcPr>
          <w:p w14:paraId="6FA3E62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Económico</w:t>
            </w:r>
          </w:p>
        </w:tc>
        <w:tc>
          <w:tcPr>
            <w:tcW w:w="1020" w:type="dxa"/>
            <w:vAlign w:val="center"/>
          </w:tcPr>
          <w:p w14:paraId="7DC213D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Social</w:t>
            </w:r>
          </w:p>
        </w:tc>
        <w:tc>
          <w:tcPr>
            <w:tcW w:w="1350" w:type="dxa"/>
            <w:vAlign w:val="center"/>
          </w:tcPr>
          <w:p w14:paraId="197F90F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Ambiental</w:t>
            </w:r>
          </w:p>
        </w:tc>
      </w:tr>
      <w:tr w:rsidR="00930170" w14:paraId="45356466" w14:textId="77777777">
        <w:tc>
          <w:tcPr>
            <w:tcW w:w="1200" w:type="dxa"/>
            <w:vAlign w:val="center"/>
          </w:tcPr>
          <w:p w14:paraId="66E46C8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CR-1</w:t>
            </w:r>
          </w:p>
        </w:tc>
        <w:tc>
          <w:tcPr>
            <w:tcW w:w="1215" w:type="dxa"/>
            <w:vAlign w:val="center"/>
          </w:tcPr>
          <w:p w14:paraId="6423B8C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97.5</w:t>
            </w:r>
          </w:p>
        </w:tc>
        <w:tc>
          <w:tcPr>
            <w:tcW w:w="1020" w:type="dxa"/>
            <w:vAlign w:val="center"/>
          </w:tcPr>
          <w:p w14:paraId="4974864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8.3</w:t>
            </w:r>
          </w:p>
        </w:tc>
        <w:tc>
          <w:tcPr>
            <w:tcW w:w="1350" w:type="dxa"/>
            <w:vAlign w:val="center"/>
          </w:tcPr>
          <w:p w14:paraId="16513A4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62.5</w:t>
            </w:r>
          </w:p>
        </w:tc>
      </w:tr>
      <w:tr w:rsidR="00930170" w14:paraId="590EF8D6" w14:textId="77777777">
        <w:tc>
          <w:tcPr>
            <w:tcW w:w="1200" w:type="dxa"/>
            <w:vAlign w:val="center"/>
          </w:tcPr>
          <w:p w14:paraId="2C59762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CR-2</w:t>
            </w:r>
          </w:p>
        </w:tc>
        <w:tc>
          <w:tcPr>
            <w:tcW w:w="1215" w:type="dxa"/>
            <w:vAlign w:val="center"/>
          </w:tcPr>
          <w:p w14:paraId="7F16422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97.5</w:t>
            </w:r>
          </w:p>
        </w:tc>
        <w:tc>
          <w:tcPr>
            <w:tcW w:w="1020" w:type="dxa"/>
            <w:vAlign w:val="center"/>
          </w:tcPr>
          <w:p w14:paraId="13F4D4C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8.3</w:t>
            </w:r>
          </w:p>
        </w:tc>
        <w:tc>
          <w:tcPr>
            <w:tcW w:w="1350" w:type="dxa"/>
            <w:vAlign w:val="center"/>
          </w:tcPr>
          <w:p w14:paraId="3293541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62.5</w:t>
            </w:r>
          </w:p>
        </w:tc>
      </w:tr>
      <w:tr w:rsidR="00930170" w14:paraId="4D7B1DE4" w14:textId="77777777">
        <w:tc>
          <w:tcPr>
            <w:tcW w:w="1200" w:type="dxa"/>
            <w:vAlign w:val="center"/>
          </w:tcPr>
          <w:p w14:paraId="2E6CFFD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CR-3</w:t>
            </w:r>
          </w:p>
        </w:tc>
        <w:tc>
          <w:tcPr>
            <w:tcW w:w="1215" w:type="dxa"/>
            <w:vAlign w:val="center"/>
          </w:tcPr>
          <w:p w14:paraId="269F834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100.0</w:t>
            </w:r>
          </w:p>
        </w:tc>
        <w:tc>
          <w:tcPr>
            <w:tcW w:w="1020" w:type="dxa"/>
            <w:vAlign w:val="center"/>
          </w:tcPr>
          <w:p w14:paraId="507BAF5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75.0</w:t>
            </w:r>
          </w:p>
        </w:tc>
        <w:tc>
          <w:tcPr>
            <w:tcW w:w="1350" w:type="dxa"/>
            <w:vAlign w:val="center"/>
          </w:tcPr>
          <w:p w14:paraId="34020B5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68.8</w:t>
            </w:r>
          </w:p>
        </w:tc>
      </w:tr>
      <w:tr w:rsidR="00930170" w14:paraId="16B29CA9" w14:textId="77777777">
        <w:tc>
          <w:tcPr>
            <w:tcW w:w="1200" w:type="dxa"/>
            <w:vAlign w:val="center"/>
          </w:tcPr>
          <w:p w14:paraId="0736A0A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CR-4</w:t>
            </w:r>
          </w:p>
        </w:tc>
        <w:tc>
          <w:tcPr>
            <w:tcW w:w="1215" w:type="dxa"/>
            <w:vAlign w:val="center"/>
          </w:tcPr>
          <w:p w14:paraId="55BCEA1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75.0</w:t>
            </w:r>
          </w:p>
        </w:tc>
        <w:tc>
          <w:tcPr>
            <w:tcW w:w="1020" w:type="dxa"/>
            <w:vAlign w:val="center"/>
          </w:tcPr>
          <w:p w14:paraId="4B6CAD7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25.0</w:t>
            </w:r>
          </w:p>
        </w:tc>
        <w:tc>
          <w:tcPr>
            <w:tcW w:w="1350" w:type="dxa"/>
            <w:vAlign w:val="center"/>
          </w:tcPr>
          <w:p w14:paraId="2347DB3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75.0</w:t>
            </w:r>
          </w:p>
        </w:tc>
      </w:tr>
      <w:tr w:rsidR="00930170" w14:paraId="71B11D73" w14:textId="77777777">
        <w:tc>
          <w:tcPr>
            <w:tcW w:w="1200" w:type="dxa"/>
            <w:vAlign w:val="center"/>
          </w:tcPr>
          <w:p w14:paraId="5D30CFA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CR-5</w:t>
            </w:r>
          </w:p>
        </w:tc>
        <w:tc>
          <w:tcPr>
            <w:tcW w:w="1215" w:type="dxa"/>
            <w:vAlign w:val="center"/>
          </w:tcPr>
          <w:p w14:paraId="349AB50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95.0</w:t>
            </w:r>
          </w:p>
        </w:tc>
        <w:tc>
          <w:tcPr>
            <w:tcW w:w="1020" w:type="dxa"/>
            <w:vAlign w:val="center"/>
          </w:tcPr>
          <w:p w14:paraId="2E1F76F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100.0</w:t>
            </w:r>
          </w:p>
        </w:tc>
        <w:tc>
          <w:tcPr>
            <w:tcW w:w="1350" w:type="dxa"/>
            <w:vAlign w:val="center"/>
          </w:tcPr>
          <w:p w14:paraId="08243FD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62.5</w:t>
            </w:r>
          </w:p>
        </w:tc>
      </w:tr>
      <w:tr w:rsidR="00930170" w14:paraId="673A6A86" w14:textId="77777777">
        <w:tc>
          <w:tcPr>
            <w:tcW w:w="1200" w:type="dxa"/>
            <w:vAlign w:val="center"/>
          </w:tcPr>
          <w:p w14:paraId="32C3AD8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CR-6</w:t>
            </w:r>
          </w:p>
        </w:tc>
        <w:tc>
          <w:tcPr>
            <w:tcW w:w="1215" w:type="dxa"/>
            <w:vAlign w:val="center"/>
          </w:tcPr>
          <w:p w14:paraId="17E4EB7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65.0</w:t>
            </w:r>
          </w:p>
        </w:tc>
        <w:tc>
          <w:tcPr>
            <w:tcW w:w="1020" w:type="dxa"/>
            <w:vAlign w:val="center"/>
          </w:tcPr>
          <w:p w14:paraId="442ACCE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33.3</w:t>
            </w:r>
          </w:p>
        </w:tc>
        <w:tc>
          <w:tcPr>
            <w:tcW w:w="1350" w:type="dxa"/>
            <w:vAlign w:val="center"/>
          </w:tcPr>
          <w:p w14:paraId="3903F0D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62.5</w:t>
            </w:r>
          </w:p>
        </w:tc>
      </w:tr>
      <w:tr w:rsidR="00930170" w14:paraId="23B05607" w14:textId="77777777">
        <w:tc>
          <w:tcPr>
            <w:tcW w:w="1200" w:type="dxa"/>
            <w:vAlign w:val="center"/>
          </w:tcPr>
          <w:p w14:paraId="4715866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SR-1</w:t>
            </w:r>
          </w:p>
        </w:tc>
        <w:tc>
          <w:tcPr>
            <w:tcW w:w="1215" w:type="dxa"/>
            <w:vAlign w:val="center"/>
          </w:tcPr>
          <w:p w14:paraId="1FD1CA3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75.0</w:t>
            </w:r>
          </w:p>
        </w:tc>
        <w:tc>
          <w:tcPr>
            <w:tcW w:w="1020" w:type="dxa"/>
            <w:vAlign w:val="center"/>
          </w:tcPr>
          <w:p w14:paraId="4E47DE5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91.7</w:t>
            </w:r>
          </w:p>
        </w:tc>
        <w:tc>
          <w:tcPr>
            <w:tcW w:w="1350" w:type="dxa"/>
            <w:vAlign w:val="center"/>
          </w:tcPr>
          <w:p w14:paraId="362AD16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50.0</w:t>
            </w:r>
          </w:p>
        </w:tc>
      </w:tr>
      <w:tr w:rsidR="00930170" w14:paraId="5B917883" w14:textId="77777777">
        <w:tc>
          <w:tcPr>
            <w:tcW w:w="1200" w:type="dxa"/>
            <w:vAlign w:val="center"/>
          </w:tcPr>
          <w:p w14:paraId="3EE11CD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SR-2</w:t>
            </w:r>
          </w:p>
        </w:tc>
        <w:tc>
          <w:tcPr>
            <w:tcW w:w="1215" w:type="dxa"/>
            <w:vAlign w:val="center"/>
          </w:tcPr>
          <w:p w14:paraId="5D1B425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80.0</w:t>
            </w:r>
          </w:p>
        </w:tc>
        <w:tc>
          <w:tcPr>
            <w:tcW w:w="1020" w:type="dxa"/>
            <w:vAlign w:val="center"/>
          </w:tcPr>
          <w:p w14:paraId="79CCB0D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25.0</w:t>
            </w:r>
          </w:p>
        </w:tc>
        <w:tc>
          <w:tcPr>
            <w:tcW w:w="1350" w:type="dxa"/>
            <w:vAlign w:val="center"/>
          </w:tcPr>
          <w:p w14:paraId="3CA9DD0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68.8</w:t>
            </w:r>
          </w:p>
        </w:tc>
      </w:tr>
      <w:tr w:rsidR="00930170" w14:paraId="4C52494F" w14:textId="77777777">
        <w:tc>
          <w:tcPr>
            <w:tcW w:w="1200" w:type="dxa"/>
            <w:vAlign w:val="center"/>
          </w:tcPr>
          <w:p w14:paraId="76C9160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SR-3</w:t>
            </w:r>
          </w:p>
        </w:tc>
        <w:tc>
          <w:tcPr>
            <w:tcW w:w="1215" w:type="dxa"/>
            <w:vAlign w:val="center"/>
          </w:tcPr>
          <w:p w14:paraId="1B5FD01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7.5</w:t>
            </w:r>
          </w:p>
        </w:tc>
        <w:tc>
          <w:tcPr>
            <w:tcW w:w="1020" w:type="dxa"/>
            <w:vAlign w:val="center"/>
          </w:tcPr>
          <w:p w14:paraId="45BF7E7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91.7</w:t>
            </w:r>
          </w:p>
        </w:tc>
        <w:tc>
          <w:tcPr>
            <w:tcW w:w="1350" w:type="dxa"/>
            <w:vAlign w:val="center"/>
          </w:tcPr>
          <w:p w14:paraId="5E6463B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37.5</w:t>
            </w:r>
          </w:p>
        </w:tc>
      </w:tr>
      <w:tr w:rsidR="00930170" w14:paraId="2A2CC2F3" w14:textId="77777777">
        <w:tc>
          <w:tcPr>
            <w:tcW w:w="1200" w:type="dxa"/>
            <w:vAlign w:val="center"/>
          </w:tcPr>
          <w:p w14:paraId="0BD32FC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SR-4</w:t>
            </w:r>
          </w:p>
        </w:tc>
        <w:tc>
          <w:tcPr>
            <w:tcW w:w="1215" w:type="dxa"/>
            <w:vAlign w:val="center"/>
          </w:tcPr>
          <w:p w14:paraId="3FDC6AC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67.5</w:t>
            </w:r>
          </w:p>
        </w:tc>
        <w:tc>
          <w:tcPr>
            <w:tcW w:w="1020" w:type="dxa"/>
            <w:vAlign w:val="center"/>
          </w:tcPr>
          <w:p w14:paraId="05F89EA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91.7</w:t>
            </w:r>
          </w:p>
        </w:tc>
        <w:tc>
          <w:tcPr>
            <w:tcW w:w="1350" w:type="dxa"/>
            <w:vAlign w:val="center"/>
          </w:tcPr>
          <w:p w14:paraId="2DEAF7A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50.0</w:t>
            </w:r>
          </w:p>
        </w:tc>
      </w:tr>
    </w:tbl>
    <w:p w14:paraId="123FBDF8" w14:textId="77777777" w:rsidR="00930170" w:rsidRDefault="00930170">
      <w:pPr>
        <w:widowControl w:val="0"/>
        <w:jc w:val="both"/>
        <w:rPr>
          <w:rFonts w:ascii="Arial" w:eastAsia="Arial" w:hAnsi="Arial" w:cs="Arial"/>
          <w:b/>
          <w:sz w:val="22"/>
          <w:szCs w:val="22"/>
        </w:rPr>
      </w:pPr>
    </w:p>
    <w:p w14:paraId="326796D5" w14:textId="77777777" w:rsidR="00930170" w:rsidRDefault="00930170">
      <w:pPr>
        <w:widowControl w:val="0"/>
        <w:jc w:val="both"/>
        <w:rPr>
          <w:rFonts w:ascii="Arial" w:eastAsia="Arial" w:hAnsi="Arial" w:cs="Arial"/>
          <w:b/>
          <w:sz w:val="22"/>
          <w:szCs w:val="22"/>
        </w:rPr>
      </w:pPr>
    </w:p>
    <w:p w14:paraId="4B1224A6"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4.3 Ranking Final y Análisis de Sensibilidad</w:t>
      </w:r>
    </w:p>
    <w:p w14:paraId="1214C1C9" w14:textId="77777777" w:rsidR="00930170" w:rsidRDefault="00930170">
      <w:pPr>
        <w:widowControl w:val="0"/>
        <w:jc w:val="both"/>
        <w:rPr>
          <w:rFonts w:ascii="Arial" w:eastAsia="Arial" w:hAnsi="Arial" w:cs="Arial"/>
          <w:b/>
          <w:sz w:val="22"/>
          <w:szCs w:val="22"/>
        </w:rPr>
      </w:pPr>
    </w:p>
    <w:p w14:paraId="415AE87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Dentro de los escenarios con cantera propia, considerando los resultados combinados económicos, sociales y ambientales, el mejor escenario es el Escenario CR-3. Mientras que el mejor escenario sin cantera propia es el Escenario SR-1.</w:t>
      </w:r>
    </w:p>
    <w:p w14:paraId="579478F7" w14:textId="77777777" w:rsidR="00930170" w:rsidRDefault="00930170">
      <w:pPr>
        <w:widowControl w:val="0"/>
        <w:jc w:val="both"/>
        <w:rPr>
          <w:rFonts w:ascii="Arial" w:eastAsia="Arial" w:hAnsi="Arial" w:cs="Arial"/>
          <w:sz w:val="22"/>
          <w:szCs w:val="22"/>
        </w:rPr>
      </w:pPr>
    </w:p>
    <w:p w14:paraId="75F178DD" w14:textId="77777777" w:rsidR="00930170" w:rsidRDefault="00000000">
      <w:pPr>
        <w:rPr>
          <w:rFonts w:ascii="Arial" w:eastAsia="Arial" w:hAnsi="Arial" w:cs="Arial"/>
          <w:sz w:val="20"/>
          <w:szCs w:val="20"/>
        </w:rPr>
      </w:pPr>
      <w:r>
        <w:rPr>
          <w:rFonts w:ascii="Arial" w:eastAsia="Arial" w:hAnsi="Arial" w:cs="Arial"/>
          <w:i/>
          <w:sz w:val="22"/>
          <w:szCs w:val="22"/>
        </w:rPr>
        <w:t>Tabla 5: Ranking de Resultados</w:t>
      </w:r>
    </w:p>
    <w:sdt>
      <w:sdtPr>
        <w:tag w:val="goog_rdk_0"/>
        <w:id w:val="-1553300325"/>
        <w:lock w:val="contentLocked"/>
      </w:sdtPr>
      <w:sdtContent>
        <w:tbl>
          <w:tblPr>
            <w:tblStyle w:val="a3"/>
            <w:tblW w:w="48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080"/>
            <w:gridCol w:w="930"/>
            <w:gridCol w:w="1215"/>
            <w:gridCol w:w="960"/>
          </w:tblGrid>
          <w:tr w:rsidR="00930170" w14:paraId="53A52575" w14:textId="77777777">
            <w:trPr>
              <w:trHeight w:val="400"/>
            </w:trPr>
            <w:tc>
              <w:tcPr>
                <w:tcW w:w="690" w:type="dxa"/>
                <w:vMerge w:val="restart"/>
                <w:tcMar>
                  <w:top w:w="100" w:type="dxa"/>
                  <w:left w:w="100" w:type="dxa"/>
                  <w:bottom w:w="100" w:type="dxa"/>
                  <w:right w:w="100" w:type="dxa"/>
                </w:tcMar>
              </w:tcPr>
              <w:p w14:paraId="4BB6AE05" w14:textId="77777777" w:rsidR="00930170" w:rsidRDefault="00930170">
                <w:pPr>
                  <w:widowControl w:val="0"/>
                  <w:pBdr>
                    <w:top w:val="nil"/>
                    <w:left w:val="nil"/>
                    <w:bottom w:val="nil"/>
                    <w:right w:val="nil"/>
                    <w:between w:val="nil"/>
                  </w:pBdr>
                  <w:jc w:val="center"/>
                  <w:rPr>
                    <w:rFonts w:ascii="Arial" w:eastAsia="Arial" w:hAnsi="Arial" w:cs="Arial"/>
                    <w:sz w:val="20"/>
                    <w:szCs w:val="20"/>
                  </w:rPr>
                </w:pPr>
              </w:p>
              <w:p w14:paraId="3A3ED9D9" w14:textId="77777777" w:rsidR="00930170" w:rsidRDefault="00930170">
                <w:pPr>
                  <w:widowControl w:val="0"/>
                  <w:pBdr>
                    <w:top w:val="nil"/>
                    <w:left w:val="nil"/>
                    <w:bottom w:val="nil"/>
                    <w:right w:val="nil"/>
                    <w:between w:val="nil"/>
                  </w:pBdr>
                  <w:jc w:val="center"/>
                  <w:rPr>
                    <w:rFonts w:ascii="Arial" w:eastAsia="Arial" w:hAnsi="Arial" w:cs="Arial"/>
                    <w:sz w:val="20"/>
                    <w:szCs w:val="20"/>
                  </w:rPr>
                </w:pPr>
              </w:p>
              <w:p w14:paraId="1838201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ID</w:t>
                </w:r>
              </w:p>
            </w:tc>
            <w:tc>
              <w:tcPr>
                <w:tcW w:w="4185" w:type="dxa"/>
                <w:gridSpan w:val="4"/>
                <w:tcMar>
                  <w:top w:w="100" w:type="dxa"/>
                  <w:left w:w="100" w:type="dxa"/>
                  <w:bottom w:w="100" w:type="dxa"/>
                  <w:right w:w="100" w:type="dxa"/>
                </w:tcMar>
              </w:tcPr>
              <w:p w14:paraId="3C34E0E9"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Ranking</w:t>
                </w:r>
              </w:p>
            </w:tc>
          </w:tr>
          <w:tr w:rsidR="00930170" w14:paraId="284A9895" w14:textId="77777777">
            <w:trPr>
              <w:trHeight w:val="400"/>
            </w:trPr>
            <w:tc>
              <w:tcPr>
                <w:tcW w:w="690" w:type="dxa"/>
                <w:vMerge/>
                <w:tcMar>
                  <w:top w:w="100" w:type="dxa"/>
                  <w:left w:w="100" w:type="dxa"/>
                  <w:bottom w:w="100" w:type="dxa"/>
                  <w:right w:w="100" w:type="dxa"/>
                </w:tcMar>
              </w:tcPr>
              <w:p w14:paraId="019AD90B" w14:textId="77777777" w:rsidR="00930170" w:rsidRDefault="00930170">
                <w:pPr>
                  <w:widowControl w:val="0"/>
                  <w:pBdr>
                    <w:top w:val="nil"/>
                    <w:left w:val="nil"/>
                    <w:bottom w:val="nil"/>
                    <w:right w:val="nil"/>
                    <w:between w:val="nil"/>
                  </w:pBdr>
                  <w:jc w:val="center"/>
                  <w:rPr>
                    <w:rFonts w:ascii="Arial" w:eastAsia="Arial" w:hAnsi="Arial" w:cs="Arial"/>
                    <w:sz w:val="20"/>
                    <w:szCs w:val="20"/>
                  </w:rPr>
                </w:pPr>
              </w:p>
            </w:tc>
            <w:tc>
              <w:tcPr>
                <w:tcW w:w="1080" w:type="dxa"/>
                <w:tcMar>
                  <w:top w:w="100" w:type="dxa"/>
                  <w:left w:w="100" w:type="dxa"/>
                  <w:bottom w:w="100" w:type="dxa"/>
                  <w:right w:w="100" w:type="dxa"/>
                </w:tcMar>
              </w:tcPr>
              <w:p w14:paraId="2C851ED0"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Económico</w:t>
                </w:r>
              </w:p>
            </w:tc>
            <w:tc>
              <w:tcPr>
                <w:tcW w:w="930" w:type="dxa"/>
                <w:tcMar>
                  <w:top w:w="100" w:type="dxa"/>
                  <w:left w:w="100" w:type="dxa"/>
                  <w:bottom w:w="100" w:type="dxa"/>
                  <w:right w:w="100" w:type="dxa"/>
                </w:tcMar>
              </w:tcPr>
              <w:p w14:paraId="09FBE4AA"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Social</w:t>
                </w:r>
              </w:p>
            </w:tc>
            <w:tc>
              <w:tcPr>
                <w:tcW w:w="1215" w:type="dxa"/>
                <w:tcMar>
                  <w:top w:w="100" w:type="dxa"/>
                  <w:left w:w="100" w:type="dxa"/>
                  <w:bottom w:w="100" w:type="dxa"/>
                  <w:right w:w="100" w:type="dxa"/>
                </w:tcMar>
              </w:tcPr>
              <w:p w14:paraId="1F7FF73C"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Ambiental</w:t>
                </w:r>
              </w:p>
            </w:tc>
            <w:tc>
              <w:tcPr>
                <w:tcW w:w="960" w:type="dxa"/>
                <w:tcMar>
                  <w:top w:w="100" w:type="dxa"/>
                  <w:left w:w="100" w:type="dxa"/>
                  <w:bottom w:w="100" w:type="dxa"/>
                  <w:right w:w="100" w:type="dxa"/>
                </w:tcMar>
              </w:tcPr>
              <w:p w14:paraId="0B3C6DBD"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Ranking (Promedio)</w:t>
                </w:r>
              </w:p>
            </w:tc>
          </w:tr>
          <w:tr w:rsidR="00930170" w14:paraId="7A5A2D0B" w14:textId="77777777">
            <w:tc>
              <w:tcPr>
                <w:tcW w:w="690" w:type="dxa"/>
                <w:tcMar>
                  <w:top w:w="100" w:type="dxa"/>
                  <w:left w:w="100" w:type="dxa"/>
                  <w:bottom w:w="100" w:type="dxa"/>
                  <w:right w:w="100" w:type="dxa"/>
                </w:tcMar>
              </w:tcPr>
              <w:p w14:paraId="50CC4EB4" w14:textId="77777777" w:rsidR="00930170" w:rsidRDefault="00000000">
                <w:pPr>
                  <w:widowControl w:val="0"/>
                  <w:rPr>
                    <w:rFonts w:ascii="Arial" w:eastAsia="Arial" w:hAnsi="Arial" w:cs="Arial"/>
                    <w:sz w:val="20"/>
                    <w:szCs w:val="20"/>
                  </w:rPr>
                </w:pPr>
                <w:r>
                  <w:rPr>
                    <w:rFonts w:ascii="Arial" w:eastAsia="Arial" w:hAnsi="Arial" w:cs="Arial"/>
                    <w:sz w:val="20"/>
                    <w:szCs w:val="20"/>
                  </w:rPr>
                  <w:t>CR-1</w:t>
                </w:r>
              </w:p>
            </w:tc>
            <w:tc>
              <w:tcPr>
                <w:tcW w:w="1080" w:type="dxa"/>
                <w:tcMar>
                  <w:top w:w="100" w:type="dxa"/>
                  <w:left w:w="100" w:type="dxa"/>
                  <w:bottom w:w="100" w:type="dxa"/>
                  <w:right w:w="100" w:type="dxa"/>
                </w:tcMar>
              </w:tcPr>
              <w:p w14:paraId="48F424EC"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30" w:type="dxa"/>
                <w:tcMar>
                  <w:top w:w="100" w:type="dxa"/>
                  <w:left w:w="100" w:type="dxa"/>
                  <w:bottom w:w="100" w:type="dxa"/>
                  <w:right w:w="100" w:type="dxa"/>
                </w:tcMar>
              </w:tcPr>
              <w:p w14:paraId="59394581"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5</w:t>
                </w:r>
              </w:p>
            </w:tc>
            <w:tc>
              <w:tcPr>
                <w:tcW w:w="1215" w:type="dxa"/>
                <w:tcMar>
                  <w:top w:w="100" w:type="dxa"/>
                  <w:left w:w="100" w:type="dxa"/>
                  <w:bottom w:w="100" w:type="dxa"/>
                  <w:right w:w="100" w:type="dxa"/>
                </w:tcMar>
              </w:tcPr>
              <w:p w14:paraId="052C428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960" w:type="dxa"/>
                <w:tcMar>
                  <w:top w:w="100" w:type="dxa"/>
                  <w:left w:w="100" w:type="dxa"/>
                  <w:bottom w:w="100" w:type="dxa"/>
                  <w:right w:w="100" w:type="dxa"/>
                </w:tcMar>
              </w:tcPr>
              <w:p w14:paraId="0E01E927"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3.3</w:t>
                </w:r>
              </w:p>
            </w:tc>
          </w:tr>
          <w:tr w:rsidR="00930170" w14:paraId="248ACFE3" w14:textId="77777777">
            <w:tc>
              <w:tcPr>
                <w:tcW w:w="690" w:type="dxa"/>
                <w:tcMar>
                  <w:top w:w="100" w:type="dxa"/>
                  <w:left w:w="100" w:type="dxa"/>
                  <w:bottom w:w="100" w:type="dxa"/>
                  <w:right w:w="100" w:type="dxa"/>
                </w:tcMar>
              </w:tcPr>
              <w:p w14:paraId="707F01D1" w14:textId="77777777" w:rsidR="00930170" w:rsidRDefault="00000000">
                <w:pPr>
                  <w:widowControl w:val="0"/>
                  <w:rPr>
                    <w:rFonts w:ascii="Arial" w:eastAsia="Arial" w:hAnsi="Arial" w:cs="Arial"/>
                    <w:sz w:val="20"/>
                    <w:szCs w:val="20"/>
                  </w:rPr>
                </w:pPr>
                <w:r>
                  <w:rPr>
                    <w:rFonts w:ascii="Arial" w:eastAsia="Arial" w:hAnsi="Arial" w:cs="Arial"/>
                    <w:sz w:val="20"/>
                    <w:szCs w:val="20"/>
                  </w:rPr>
                  <w:t>CR-2</w:t>
                </w:r>
              </w:p>
            </w:tc>
            <w:tc>
              <w:tcPr>
                <w:tcW w:w="1080" w:type="dxa"/>
                <w:tcMar>
                  <w:top w:w="100" w:type="dxa"/>
                  <w:left w:w="100" w:type="dxa"/>
                  <w:bottom w:w="100" w:type="dxa"/>
                  <w:right w:w="100" w:type="dxa"/>
                </w:tcMar>
              </w:tcPr>
              <w:p w14:paraId="5375B4D2"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30" w:type="dxa"/>
                <w:tcMar>
                  <w:top w:w="100" w:type="dxa"/>
                  <w:left w:w="100" w:type="dxa"/>
                  <w:bottom w:w="100" w:type="dxa"/>
                  <w:right w:w="100" w:type="dxa"/>
                </w:tcMar>
              </w:tcPr>
              <w:p w14:paraId="65A6CCE8"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5</w:t>
                </w:r>
              </w:p>
            </w:tc>
            <w:tc>
              <w:tcPr>
                <w:tcW w:w="1215" w:type="dxa"/>
                <w:tcMar>
                  <w:top w:w="100" w:type="dxa"/>
                  <w:left w:w="100" w:type="dxa"/>
                  <w:bottom w:w="100" w:type="dxa"/>
                  <w:right w:w="100" w:type="dxa"/>
                </w:tcMar>
              </w:tcPr>
              <w:p w14:paraId="4B0FBA58"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960" w:type="dxa"/>
                <w:tcMar>
                  <w:top w:w="100" w:type="dxa"/>
                  <w:left w:w="100" w:type="dxa"/>
                  <w:bottom w:w="100" w:type="dxa"/>
                  <w:right w:w="100" w:type="dxa"/>
                </w:tcMar>
              </w:tcPr>
              <w:p w14:paraId="356CA88C"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3.3</w:t>
                </w:r>
              </w:p>
            </w:tc>
          </w:tr>
          <w:tr w:rsidR="00930170" w14:paraId="2D6F4BB9" w14:textId="77777777">
            <w:tc>
              <w:tcPr>
                <w:tcW w:w="690" w:type="dxa"/>
                <w:tcMar>
                  <w:top w:w="100" w:type="dxa"/>
                  <w:left w:w="100" w:type="dxa"/>
                  <w:bottom w:w="100" w:type="dxa"/>
                  <w:right w:w="100" w:type="dxa"/>
                </w:tcMar>
              </w:tcPr>
              <w:p w14:paraId="7C5606D0" w14:textId="77777777" w:rsidR="00930170" w:rsidRDefault="00000000">
                <w:pPr>
                  <w:widowControl w:val="0"/>
                  <w:rPr>
                    <w:rFonts w:ascii="Arial" w:eastAsia="Arial" w:hAnsi="Arial" w:cs="Arial"/>
                    <w:sz w:val="20"/>
                    <w:szCs w:val="20"/>
                  </w:rPr>
                </w:pPr>
                <w:r>
                  <w:rPr>
                    <w:rFonts w:ascii="Arial" w:eastAsia="Arial" w:hAnsi="Arial" w:cs="Arial"/>
                    <w:sz w:val="20"/>
                    <w:szCs w:val="20"/>
                  </w:rPr>
                  <w:t>CR-3</w:t>
                </w:r>
              </w:p>
            </w:tc>
            <w:tc>
              <w:tcPr>
                <w:tcW w:w="1080" w:type="dxa"/>
                <w:tcMar>
                  <w:top w:w="100" w:type="dxa"/>
                  <w:left w:w="100" w:type="dxa"/>
                  <w:bottom w:w="100" w:type="dxa"/>
                  <w:right w:w="100" w:type="dxa"/>
                </w:tcMar>
              </w:tcPr>
              <w:p w14:paraId="0B50411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930" w:type="dxa"/>
                <w:tcMar>
                  <w:top w:w="100" w:type="dxa"/>
                  <w:left w:w="100" w:type="dxa"/>
                  <w:bottom w:w="100" w:type="dxa"/>
                  <w:right w:w="100" w:type="dxa"/>
                </w:tcMar>
              </w:tcPr>
              <w:p w14:paraId="20DED093"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1215" w:type="dxa"/>
                <w:tcMar>
                  <w:top w:w="100" w:type="dxa"/>
                  <w:left w:w="100" w:type="dxa"/>
                  <w:bottom w:w="100" w:type="dxa"/>
                  <w:right w:w="100" w:type="dxa"/>
                </w:tcMar>
              </w:tcPr>
              <w:p w14:paraId="1EF4657B"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60" w:type="dxa"/>
                <w:tcMar>
                  <w:top w:w="100" w:type="dxa"/>
                  <w:left w:w="100" w:type="dxa"/>
                  <w:bottom w:w="100" w:type="dxa"/>
                  <w:right w:w="100" w:type="dxa"/>
                </w:tcMar>
              </w:tcPr>
              <w:p w14:paraId="20E5DD80"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1.7</w:t>
                </w:r>
              </w:p>
            </w:tc>
          </w:tr>
          <w:tr w:rsidR="00930170" w14:paraId="14E75E29" w14:textId="77777777">
            <w:tc>
              <w:tcPr>
                <w:tcW w:w="690" w:type="dxa"/>
                <w:tcMar>
                  <w:top w:w="100" w:type="dxa"/>
                  <w:left w:w="100" w:type="dxa"/>
                  <w:bottom w:w="100" w:type="dxa"/>
                  <w:right w:w="100" w:type="dxa"/>
                </w:tcMar>
              </w:tcPr>
              <w:p w14:paraId="21B8B1FB" w14:textId="77777777" w:rsidR="00930170" w:rsidRDefault="00000000">
                <w:pPr>
                  <w:widowControl w:val="0"/>
                  <w:rPr>
                    <w:rFonts w:ascii="Arial" w:eastAsia="Arial" w:hAnsi="Arial" w:cs="Arial"/>
                    <w:sz w:val="20"/>
                    <w:szCs w:val="20"/>
                  </w:rPr>
                </w:pPr>
                <w:r>
                  <w:rPr>
                    <w:rFonts w:ascii="Arial" w:eastAsia="Arial" w:hAnsi="Arial" w:cs="Arial"/>
                    <w:sz w:val="20"/>
                    <w:szCs w:val="20"/>
                  </w:rPr>
                  <w:t>CR-4</w:t>
                </w:r>
              </w:p>
            </w:tc>
            <w:tc>
              <w:tcPr>
                <w:tcW w:w="1080" w:type="dxa"/>
                <w:tcMar>
                  <w:top w:w="100" w:type="dxa"/>
                  <w:left w:w="100" w:type="dxa"/>
                  <w:bottom w:w="100" w:type="dxa"/>
                  <w:right w:w="100" w:type="dxa"/>
                </w:tcMar>
              </w:tcPr>
              <w:p w14:paraId="45909F62"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5</w:t>
                </w:r>
              </w:p>
            </w:tc>
            <w:tc>
              <w:tcPr>
                <w:tcW w:w="930" w:type="dxa"/>
                <w:tcMar>
                  <w:top w:w="100" w:type="dxa"/>
                  <w:left w:w="100" w:type="dxa"/>
                  <w:bottom w:w="100" w:type="dxa"/>
                  <w:right w:w="100" w:type="dxa"/>
                </w:tcMar>
              </w:tcPr>
              <w:p w14:paraId="583F4B17"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w:t>
                </w:r>
              </w:p>
            </w:tc>
            <w:tc>
              <w:tcPr>
                <w:tcW w:w="1215" w:type="dxa"/>
                <w:tcMar>
                  <w:top w:w="100" w:type="dxa"/>
                  <w:left w:w="100" w:type="dxa"/>
                  <w:bottom w:w="100" w:type="dxa"/>
                  <w:right w:w="100" w:type="dxa"/>
                </w:tcMar>
              </w:tcPr>
              <w:p w14:paraId="0F309F0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960" w:type="dxa"/>
                <w:tcMar>
                  <w:top w:w="100" w:type="dxa"/>
                  <w:left w:w="100" w:type="dxa"/>
                  <w:bottom w:w="100" w:type="dxa"/>
                  <w:right w:w="100" w:type="dxa"/>
                </w:tcMar>
              </w:tcPr>
              <w:p w14:paraId="57528C90"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3.3</w:t>
                </w:r>
              </w:p>
            </w:tc>
          </w:tr>
          <w:tr w:rsidR="00930170" w14:paraId="1B905F4C" w14:textId="77777777">
            <w:tc>
              <w:tcPr>
                <w:tcW w:w="690" w:type="dxa"/>
                <w:tcMar>
                  <w:top w:w="100" w:type="dxa"/>
                  <w:left w:w="100" w:type="dxa"/>
                  <w:bottom w:w="100" w:type="dxa"/>
                  <w:right w:w="100" w:type="dxa"/>
                </w:tcMar>
              </w:tcPr>
              <w:p w14:paraId="0B140950" w14:textId="77777777" w:rsidR="00930170" w:rsidRDefault="00000000">
                <w:pPr>
                  <w:widowControl w:val="0"/>
                  <w:rPr>
                    <w:rFonts w:ascii="Arial" w:eastAsia="Arial" w:hAnsi="Arial" w:cs="Arial"/>
                    <w:sz w:val="20"/>
                    <w:szCs w:val="20"/>
                  </w:rPr>
                </w:pPr>
                <w:r>
                  <w:rPr>
                    <w:rFonts w:ascii="Arial" w:eastAsia="Arial" w:hAnsi="Arial" w:cs="Arial"/>
                    <w:sz w:val="20"/>
                    <w:szCs w:val="20"/>
                  </w:rPr>
                  <w:t>CR-5</w:t>
                </w:r>
              </w:p>
            </w:tc>
            <w:tc>
              <w:tcPr>
                <w:tcW w:w="1080" w:type="dxa"/>
                <w:tcMar>
                  <w:top w:w="100" w:type="dxa"/>
                  <w:left w:w="100" w:type="dxa"/>
                  <w:bottom w:w="100" w:type="dxa"/>
                  <w:right w:w="100" w:type="dxa"/>
                </w:tcMar>
              </w:tcPr>
              <w:p w14:paraId="1AB6014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w:t>
                </w:r>
              </w:p>
            </w:tc>
            <w:tc>
              <w:tcPr>
                <w:tcW w:w="930" w:type="dxa"/>
                <w:tcMar>
                  <w:top w:w="100" w:type="dxa"/>
                  <w:left w:w="100" w:type="dxa"/>
                  <w:bottom w:w="100" w:type="dxa"/>
                  <w:right w:w="100" w:type="dxa"/>
                </w:tcMar>
              </w:tcPr>
              <w:p w14:paraId="535CCC80"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1215" w:type="dxa"/>
                <w:tcMar>
                  <w:top w:w="100" w:type="dxa"/>
                  <w:left w:w="100" w:type="dxa"/>
                  <w:bottom w:w="100" w:type="dxa"/>
                  <w:right w:w="100" w:type="dxa"/>
                </w:tcMar>
              </w:tcPr>
              <w:p w14:paraId="2A1E2910"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960" w:type="dxa"/>
                <w:tcMar>
                  <w:top w:w="100" w:type="dxa"/>
                  <w:left w:w="100" w:type="dxa"/>
                  <w:bottom w:w="100" w:type="dxa"/>
                  <w:right w:w="100" w:type="dxa"/>
                </w:tcMar>
              </w:tcPr>
              <w:p w14:paraId="621A0721"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2.7</w:t>
                </w:r>
              </w:p>
            </w:tc>
          </w:tr>
          <w:tr w:rsidR="00930170" w14:paraId="03C49468" w14:textId="77777777">
            <w:tc>
              <w:tcPr>
                <w:tcW w:w="690" w:type="dxa"/>
                <w:tcMar>
                  <w:top w:w="100" w:type="dxa"/>
                  <w:left w:w="100" w:type="dxa"/>
                  <w:bottom w:w="100" w:type="dxa"/>
                  <w:right w:w="100" w:type="dxa"/>
                </w:tcMar>
              </w:tcPr>
              <w:p w14:paraId="0CA4A614" w14:textId="77777777" w:rsidR="00930170" w:rsidRDefault="00000000">
                <w:pPr>
                  <w:widowControl w:val="0"/>
                  <w:rPr>
                    <w:rFonts w:ascii="Arial" w:eastAsia="Arial" w:hAnsi="Arial" w:cs="Arial"/>
                    <w:sz w:val="20"/>
                    <w:szCs w:val="20"/>
                  </w:rPr>
                </w:pPr>
                <w:r>
                  <w:rPr>
                    <w:rFonts w:ascii="Arial" w:eastAsia="Arial" w:hAnsi="Arial" w:cs="Arial"/>
                    <w:sz w:val="20"/>
                    <w:szCs w:val="20"/>
                  </w:rPr>
                  <w:t>CR-6</w:t>
                </w:r>
              </w:p>
            </w:tc>
            <w:tc>
              <w:tcPr>
                <w:tcW w:w="1080" w:type="dxa"/>
                <w:tcMar>
                  <w:top w:w="100" w:type="dxa"/>
                  <w:left w:w="100" w:type="dxa"/>
                  <w:bottom w:w="100" w:type="dxa"/>
                  <w:right w:w="100" w:type="dxa"/>
                </w:tcMar>
              </w:tcPr>
              <w:p w14:paraId="2383FAF9"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6</w:t>
                </w:r>
              </w:p>
            </w:tc>
            <w:tc>
              <w:tcPr>
                <w:tcW w:w="930" w:type="dxa"/>
                <w:tcMar>
                  <w:top w:w="100" w:type="dxa"/>
                  <w:left w:w="100" w:type="dxa"/>
                  <w:bottom w:w="100" w:type="dxa"/>
                  <w:right w:w="100" w:type="dxa"/>
                </w:tcMar>
              </w:tcPr>
              <w:p w14:paraId="193FF4A8"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1215" w:type="dxa"/>
                <w:tcMar>
                  <w:top w:w="100" w:type="dxa"/>
                  <w:left w:w="100" w:type="dxa"/>
                  <w:bottom w:w="100" w:type="dxa"/>
                  <w:right w:w="100" w:type="dxa"/>
                </w:tcMar>
              </w:tcPr>
              <w:p w14:paraId="45998E79"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960" w:type="dxa"/>
                <w:tcMar>
                  <w:top w:w="100" w:type="dxa"/>
                  <w:left w:w="100" w:type="dxa"/>
                  <w:bottom w:w="100" w:type="dxa"/>
                  <w:right w:w="100" w:type="dxa"/>
                </w:tcMar>
              </w:tcPr>
              <w:p w14:paraId="2EFB8FB3"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4.0</w:t>
                </w:r>
              </w:p>
            </w:tc>
          </w:tr>
          <w:tr w:rsidR="00930170" w14:paraId="32DA2D4B" w14:textId="77777777">
            <w:tc>
              <w:tcPr>
                <w:tcW w:w="690" w:type="dxa"/>
                <w:tcMar>
                  <w:top w:w="100" w:type="dxa"/>
                  <w:left w:w="100" w:type="dxa"/>
                  <w:bottom w:w="100" w:type="dxa"/>
                  <w:right w:w="100" w:type="dxa"/>
                </w:tcMar>
              </w:tcPr>
              <w:p w14:paraId="277E0D1C" w14:textId="77777777" w:rsidR="00930170" w:rsidRDefault="00000000">
                <w:pPr>
                  <w:widowControl w:val="0"/>
                  <w:rPr>
                    <w:rFonts w:ascii="Arial" w:eastAsia="Arial" w:hAnsi="Arial" w:cs="Arial"/>
                    <w:sz w:val="20"/>
                    <w:szCs w:val="20"/>
                  </w:rPr>
                </w:pPr>
                <w:r>
                  <w:rPr>
                    <w:rFonts w:ascii="Arial" w:eastAsia="Arial" w:hAnsi="Arial" w:cs="Arial"/>
                    <w:sz w:val="20"/>
                    <w:szCs w:val="20"/>
                  </w:rPr>
                  <w:t>SR-1</w:t>
                </w:r>
              </w:p>
            </w:tc>
            <w:tc>
              <w:tcPr>
                <w:tcW w:w="1080" w:type="dxa"/>
                <w:tcMar>
                  <w:top w:w="100" w:type="dxa"/>
                  <w:left w:w="100" w:type="dxa"/>
                  <w:bottom w:w="100" w:type="dxa"/>
                  <w:right w:w="100" w:type="dxa"/>
                </w:tcMar>
              </w:tcPr>
              <w:p w14:paraId="29C9AEE9"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30" w:type="dxa"/>
                <w:tcMar>
                  <w:top w:w="100" w:type="dxa"/>
                  <w:left w:w="100" w:type="dxa"/>
                  <w:bottom w:w="100" w:type="dxa"/>
                  <w:right w:w="100" w:type="dxa"/>
                </w:tcMar>
              </w:tcPr>
              <w:p w14:paraId="3947DBEA"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1215" w:type="dxa"/>
                <w:tcMar>
                  <w:top w:w="100" w:type="dxa"/>
                  <w:left w:w="100" w:type="dxa"/>
                  <w:bottom w:w="100" w:type="dxa"/>
                  <w:right w:w="100" w:type="dxa"/>
                </w:tcMar>
              </w:tcPr>
              <w:p w14:paraId="14CC6D7D"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60" w:type="dxa"/>
                <w:tcMar>
                  <w:top w:w="100" w:type="dxa"/>
                  <w:left w:w="100" w:type="dxa"/>
                  <w:bottom w:w="100" w:type="dxa"/>
                  <w:right w:w="100" w:type="dxa"/>
                </w:tcMar>
              </w:tcPr>
              <w:p w14:paraId="019100D9"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1.7</w:t>
                </w:r>
              </w:p>
            </w:tc>
          </w:tr>
          <w:tr w:rsidR="00930170" w14:paraId="341AAC80" w14:textId="77777777">
            <w:tc>
              <w:tcPr>
                <w:tcW w:w="690" w:type="dxa"/>
                <w:tcMar>
                  <w:top w:w="100" w:type="dxa"/>
                  <w:left w:w="100" w:type="dxa"/>
                  <w:bottom w:w="100" w:type="dxa"/>
                  <w:right w:w="100" w:type="dxa"/>
                </w:tcMar>
              </w:tcPr>
              <w:p w14:paraId="77087361" w14:textId="77777777" w:rsidR="00930170" w:rsidRDefault="00000000">
                <w:pPr>
                  <w:widowControl w:val="0"/>
                  <w:rPr>
                    <w:rFonts w:ascii="Arial" w:eastAsia="Arial" w:hAnsi="Arial" w:cs="Arial"/>
                    <w:sz w:val="20"/>
                    <w:szCs w:val="20"/>
                  </w:rPr>
                </w:pPr>
                <w:r>
                  <w:rPr>
                    <w:rFonts w:ascii="Arial" w:eastAsia="Arial" w:hAnsi="Arial" w:cs="Arial"/>
                    <w:sz w:val="20"/>
                    <w:szCs w:val="20"/>
                  </w:rPr>
                  <w:t>SR-2</w:t>
                </w:r>
              </w:p>
            </w:tc>
            <w:tc>
              <w:tcPr>
                <w:tcW w:w="1080" w:type="dxa"/>
                <w:tcMar>
                  <w:top w:w="100" w:type="dxa"/>
                  <w:left w:w="100" w:type="dxa"/>
                  <w:bottom w:w="100" w:type="dxa"/>
                  <w:right w:w="100" w:type="dxa"/>
                </w:tcMar>
              </w:tcPr>
              <w:p w14:paraId="1A3F537A"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930" w:type="dxa"/>
                <w:tcMar>
                  <w:top w:w="100" w:type="dxa"/>
                  <w:left w:w="100" w:type="dxa"/>
                  <w:bottom w:w="100" w:type="dxa"/>
                  <w:right w:w="100" w:type="dxa"/>
                </w:tcMar>
              </w:tcPr>
              <w:p w14:paraId="0A723B87"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w:t>
                </w:r>
              </w:p>
            </w:tc>
            <w:tc>
              <w:tcPr>
                <w:tcW w:w="1215" w:type="dxa"/>
                <w:tcMar>
                  <w:top w:w="100" w:type="dxa"/>
                  <w:left w:w="100" w:type="dxa"/>
                  <w:bottom w:w="100" w:type="dxa"/>
                  <w:right w:w="100" w:type="dxa"/>
                </w:tcMar>
              </w:tcPr>
              <w:p w14:paraId="5B62531A"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960" w:type="dxa"/>
                <w:tcMar>
                  <w:top w:w="100" w:type="dxa"/>
                  <w:left w:w="100" w:type="dxa"/>
                  <w:bottom w:w="100" w:type="dxa"/>
                  <w:right w:w="100" w:type="dxa"/>
                </w:tcMar>
              </w:tcPr>
              <w:p w14:paraId="661AFAF6"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r>
          <w:tr w:rsidR="00930170" w14:paraId="499C072C" w14:textId="77777777">
            <w:tc>
              <w:tcPr>
                <w:tcW w:w="690" w:type="dxa"/>
                <w:tcMar>
                  <w:top w:w="100" w:type="dxa"/>
                  <w:left w:w="100" w:type="dxa"/>
                  <w:bottom w:w="100" w:type="dxa"/>
                  <w:right w:w="100" w:type="dxa"/>
                </w:tcMar>
              </w:tcPr>
              <w:p w14:paraId="7E586B03" w14:textId="77777777" w:rsidR="00930170" w:rsidRDefault="00000000">
                <w:pPr>
                  <w:widowControl w:val="0"/>
                  <w:rPr>
                    <w:rFonts w:ascii="Arial" w:eastAsia="Arial" w:hAnsi="Arial" w:cs="Arial"/>
                    <w:sz w:val="20"/>
                    <w:szCs w:val="20"/>
                  </w:rPr>
                </w:pPr>
                <w:r>
                  <w:rPr>
                    <w:rFonts w:ascii="Arial" w:eastAsia="Arial" w:hAnsi="Arial" w:cs="Arial"/>
                    <w:sz w:val="20"/>
                    <w:szCs w:val="20"/>
                  </w:rPr>
                  <w:t>SR-3</w:t>
                </w:r>
              </w:p>
            </w:tc>
            <w:tc>
              <w:tcPr>
                <w:tcW w:w="1080" w:type="dxa"/>
                <w:tcMar>
                  <w:top w:w="100" w:type="dxa"/>
                  <w:left w:w="100" w:type="dxa"/>
                  <w:bottom w:w="100" w:type="dxa"/>
                  <w:right w:w="100" w:type="dxa"/>
                </w:tcMar>
              </w:tcPr>
              <w:p w14:paraId="210E3AFE"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w:t>
                </w:r>
              </w:p>
            </w:tc>
            <w:tc>
              <w:tcPr>
                <w:tcW w:w="930" w:type="dxa"/>
                <w:tcMar>
                  <w:top w:w="100" w:type="dxa"/>
                  <w:left w:w="100" w:type="dxa"/>
                  <w:bottom w:w="100" w:type="dxa"/>
                  <w:right w:w="100" w:type="dxa"/>
                </w:tcMar>
              </w:tcPr>
              <w:p w14:paraId="39F9E124"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1215" w:type="dxa"/>
                <w:tcMar>
                  <w:top w:w="100" w:type="dxa"/>
                  <w:left w:w="100" w:type="dxa"/>
                  <w:bottom w:w="100" w:type="dxa"/>
                  <w:right w:w="100" w:type="dxa"/>
                </w:tcMar>
              </w:tcPr>
              <w:p w14:paraId="423EE4C4"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4</w:t>
                </w:r>
              </w:p>
            </w:tc>
            <w:tc>
              <w:tcPr>
                <w:tcW w:w="960" w:type="dxa"/>
                <w:tcMar>
                  <w:top w:w="100" w:type="dxa"/>
                  <w:left w:w="100" w:type="dxa"/>
                  <w:bottom w:w="100" w:type="dxa"/>
                  <w:right w:w="100" w:type="dxa"/>
                </w:tcMar>
              </w:tcPr>
              <w:p w14:paraId="01DB0002"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3.0</w:t>
                </w:r>
              </w:p>
            </w:tc>
          </w:tr>
          <w:tr w:rsidR="00930170" w14:paraId="01563CF6" w14:textId="77777777">
            <w:tc>
              <w:tcPr>
                <w:tcW w:w="690" w:type="dxa"/>
                <w:tcMar>
                  <w:top w:w="100" w:type="dxa"/>
                  <w:left w:w="100" w:type="dxa"/>
                  <w:bottom w:w="100" w:type="dxa"/>
                  <w:right w:w="100" w:type="dxa"/>
                </w:tcMar>
              </w:tcPr>
              <w:p w14:paraId="01CBF08B" w14:textId="77777777" w:rsidR="00930170" w:rsidRDefault="00000000">
                <w:pPr>
                  <w:widowControl w:val="0"/>
                  <w:rPr>
                    <w:rFonts w:ascii="Arial" w:eastAsia="Arial" w:hAnsi="Arial" w:cs="Arial"/>
                    <w:sz w:val="20"/>
                    <w:szCs w:val="20"/>
                  </w:rPr>
                </w:pPr>
                <w:r>
                  <w:rPr>
                    <w:rFonts w:ascii="Arial" w:eastAsia="Arial" w:hAnsi="Arial" w:cs="Arial"/>
                    <w:sz w:val="20"/>
                    <w:szCs w:val="20"/>
                  </w:rPr>
                  <w:t>SR-4</w:t>
                </w:r>
              </w:p>
            </w:tc>
            <w:tc>
              <w:tcPr>
                <w:tcW w:w="1080" w:type="dxa"/>
                <w:tcMar>
                  <w:top w:w="100" w:type="dxa"/>
                  <w:left w:w="100" w:type="dxa"/>
                  <w:bottom w:w="100" w:type="dxa"/>
                  <w:right w:w="100" w:type="dxa"/>
                </w:tcMar>
              </w:tcPr>
              <w:p w14:paraId="07D7A88A"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3</w:t>
                </w:r>
              </w:p>
            </w:tc>
            <w:tc>
              <w:tcPr>
                <w:tcW w:w="930" w:type="dxa"/>
                <w:tcMar>
                  <w:top w:w="100" w:type="dxa"/>
                  <w:left w:w="100" w:type="dxa"/>
                  <w:bottom w:w="100" w:type="dxa"/>
                  <w:right w:w="100" w:type="dxa"/>
                </w:tcMar>
              </w:tcPr>
              <w:p w14:paraId="776977C5"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1</w:t>
                </w:r>
              </w:p>
            </w:tc>
            <w:tc>
              <w:tcPr>
                <w:tcW w:w="1215" w:type="dxa"/>
                <w:tcMar>
                  <w:top w:w="100" w:type="dxa"/>
                  <w:left w:w="100" w:type="dxa"/>
                  <w:bottom w:w="100" w:type="dxa"/>
                  <w:right w:w="100" w:type="dxa"/>
                </w:tcMar>
              </w:tcPr>
              <w:p w14:paraId="2424B5E6"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w:t>
                </w:r>
              </w:p>
            </w:tc>
            <w:tc>
              <w:tcPr>
                <w:tcW w:w="960" w:type="dxa"/>
                <w:tcMar>
                  <w:top w:w="100" w:type="dxa"/>
                  <w:left w:w="100" w:type="dxa"/>
                  <w:bottom w:w="100" w:type="dxa"/>
                  <w:right w:w="100" w:type="dxa"/>
                </w:tcMar>
              </w:tcPr>
              <w:p w14:paraId="2F62EE21" w14:textId="77777777" w:rsidR="00930170" w:rsidRDefault="00000000">
                <w:pPr>
                  <w:widowControl w:val="0"/>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2.0</w:t>
                </w:r>
              </w:p>
            </w:tc>
          </w:tr>
        </w:tbl>
      </w:sdtContent>
    </w:sdt>
    <w:p w14:paraId="646D5C17" w14:textId="77777777" w:rsidR="00930170" w:rsidRDefault="00930170">
      <w:pPr>
        <w:widowControl w:val="0"/>
        <w:jc w:val="both"/>
        <w:rPr>
          <w:rFonts w:ascii="Arial" w:eastAsia="Arial" w:hAnsi="Arial" w:cs="Arial"/>
          <w:sz w:val="20"/>
          <w:szCs w:val="20"/>
        </w:rPr>
      </w:pPr>
    </w:p>
    <w:p w14:paraId="5272DD6F" w14:textId="77777777" w:rsidR="00930170" w:rsidRDefault="00930170">
      <w:pPr>
        <w:widowControl w:val="0"/>
        <w:ind w:left="720"/>
        <w:jc w:val="both"/>
        <w:rPr>
          <w:rFonts w:ascii="Arial" w:eastAsia="Arial" w:hAnsi="Arial" w:cs="Arial"/>
          <w:sz w:val="22"/>
          <w:szCs w:val="22"/>
        </w:rPr>
      </w:pPr>
    </w:p>
    <w:p w14:paraId="1BA5D30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Considerando la viabilidad económica como factor crítico, el Escenario CR-3 emerge como la opción más equilibrada, combinando excelente desempeño económico (ranking #1) con alto impacto social (ranking #2) y ambiental (ranking #2).</w:t>
      </w:r>
    </w:p>
    <w:p w14:paraId="439D7601" w14:textId="77777777" w:rsidR="00930170" w:rsidRDefault="00930170">
      <w:pPr>
        <w:widowControl w:val="0"/>
        <w:jc w:val="both"/>
        <w:rPr>
          <w:rFonts w:ascii="Arial" w:eastAsia="Arial" w:hAnsi="Arial" w:cs="Arial"/>
          <w:sz w:val="22"/>
          <w:szCs w:val="22"/>
        </w:rPr>
      </w:pPr>
    </w:p>
    <w:p w14:paraId="0AC4E2A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análisis de sensibilidad revela que los escenarios SR presentan mayor vulnerabilidad económica, particularmente el SR-3 que genera VAN negativo. La inversión en molino de bolas (3.7 M$) se justifica económicamente en todos los escenarios con alta participación local.</w:t>
      </w:r>
    </w:p>
    <w:p w14:paraId="3E36DAEF" w14:textId="77777777" w:rsidR="00930170" w:rsidRDefault="00930170">
      <w:pPr>
        <w:widowControl w:val="0"/>
        <w:jc w:val="both"/>
        <w:rPr>
          <w:rFonts w:ascii="Arial" w:eastAsia="Arial" w:hAnsi="Arial" w:cs="Arial"/>
          <w:b/>
          <w:sz w:val="22"/>
          <w:szCs w:val="22"/>
        </w:rPr>
      </w:pPr>
    </w:p>
    <w:p w14:paraId="5979CF40"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 Conclusiones</w:t>
      </w:r>
    </w:p>
    <w:p w14:paraId="3110AE95" w14:textId="77777777" w:rsidR="00930170" w:rsidRDefault="00930170">
      <w:pPr>
        <w:widowControl w:val="0"/>
        <w:jc w:val="both"/>
        <w:rPr>
          <w:rFonts w:ascii="Arial" w:eastAsia="Arial" w:hAnsi="Arial" w:cs="Arial"/>
          <w:b/>
          <w:sz w:val="22"/>
          <w:szCs w:val="22"/>
        </w:rPr>
      </w:pPr>
    </w:p>
    <w:p w14:paraId="680645EB"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5.1 Cumplimiento de Objetivos</w:t>
      </w:r>
    </w:p>
    <w:p w14:paraId="53B546A0" w14:textId="77777777" w:rsidR="00930170" w:rsidRDefault="00930170">
      <w:pPr>
        <w:widowControl w:val="0"/>
        <w:jc w:val="both"/>
        <w:rPr>
          <w:rFonts w:ascii="Arial" w:eastAsia="Arial" w:hAnsi="Arial" w:cs="Arial"/>
          <w:b/>
          <w:sz w:val="22"/>
          <w:szCs w:val="22"/>
        </w:rPr>
      </w:pPr>
    </w:p>
    <w:p w14:paraId="6C63446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investigación logró desarrollar exitosamente un modelo cuantitativo para medir la generación de valor compartido en el abastecimiento de cal y caliza. Se cumplieron todos los objetivos específicos:</w:t>
      </w:r>
    </w:p>
    <w:p w14:paraId="37454E23" w14:textId="77777777" w:rsidR="00930170" w:rsidRDefault="00930170">
      <w:pPr>
        <w:widowControl w:val="0"/>
        <w:jc w:val="both"/>
        <w:rPr>
          <w:rFonts w:ascii="Arial" w:eastAsia="Arial" w:hAnsi="Arial" w:cs="Arial"/>
          <w:b/>
          <w:sz w:val="22"/>
          <w:szCs w:val="22"/>
        </w:rPr>
      </w:pPr>
    </w:p>
    <w:p w14:paraId="78D35945"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Dimensión Económica: </w:t>
      </w:r>
      <w:r>
        <w:rPr>
          <w:rFonts w:ascii="Arial" w:eastAsia="Arial" w:hAnsi="Arial" w:cs="Arial"/>
          <w:sz w:val="22"/>
          <w:szCs w:val="22"/>
        </w:rPr>
        <w:t>Se determinó que el Escenario CR-3 (Abastecimiento equilibrado) presenta el mejor desempeño económico integral, con VAN de 26 M$, TIR de 9.2% y AISC de 542 $/oz-Eq, superando consistentemente el rendimiento mínimo requerido del 8.5%.</w:t>
      </w:r>
    </w:p>
    <w:p w14:paraId="5F14B3FC" w14:textId="77777777" w:rsidR="00930170" w:rsidRDefault="00930170">
      <w:pPr>
        <w:widowControl w:val="0"/>
        <w:jc w:val="both"/>
        <w:rPr>
          <w:rFonts w:ascii="Arial" w:eastAsia="Arial" w:hAnsi="Arial" w:cs="Arial"/>
          <w:b/>
          <w:sz w:val="22"/>
          <w:szCs w:val="22"/>
        </w:rPr>
      </w:pPr>
    </w:p>
    <w:p w14:paraId="3849B791"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Dimensión Social: </w:t>
      </w:r>
      <w:r>
        <w:rPr>
          <w:rFonts w:ascii="Arial" w:eastAsia="Arial" w:hAnsi="Arial" w:cs="Arial"/>
          <w:sz w:val="22"/>
          <w:szCs w:val="22"/>
        </w:rPr>
        <w:t>Se identificó que aunque el Escenario CR-5 (Maximización de empleo local) maximiza el impacto social con 95% de participación local y 27,154 capacitaciones, el CR-3 mantiene un balance óptimo sustentable con 66% de participación local y 14,137 capacitaciones.</w:t>
      </w:r>
    </w:p>
    <w:p w14:paraId="7F141A87" w14:textId="77777777" w:rsidR="00930170" w:rsidRDefault="00930170">
      <w:pPr>
        <w:widowControl w:val="0"/>
        <w:jc w:val="both"/>
        <w:rPr>
          <w:rFonts w:ascii="Arial" w:eastAsia="Arial" w:hAnsi="Arial" w:cs="Arial"/>
          <w:b/>
          <w:sz w:val="22"/>
          <w:szCs w:val="22"/>
        </w:rPr>
      </w:pPr>
    </w:p>
    <w:p w14:paraId="414A999D"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Dimensión Ambiental: </w:t>
      </w:r>
      <w:sdt>
        <w:sdtPr>
          <w:tag w:val="goog_rdk_1"/>
          <w:id w:val="-2002465717"/>
        </w:sdtPr>
        <w:sdtContent>
          <w:r>
            <w:rPr>
              <w:rFonts w:ascii="Arial Unicode MS" w:eastAsia="Arial Unicode MS" w:hAnsi="Arial Unicode MS" w:cs="Arial Unicode MS"/>
              <w:sz w:val="22"/>
              <w:szCs w:val="22"/>
            </w:rPr>
            <w:t>El análisis reveló que el Escenario CR-4 (Ampliación agresiva) optimiza los aspectos ambientales minimizando distancias de transporte, mientras que todos los escenarios mantienen niveles similares de reutilización de materiales (≈4.4 Mt).</w:t>
          </w:r>
        </w:sdtContent>
      </w:sdt>
    </w:p>
    <w:p w14:paraId="65F3FD84" w14:textId="77777777" w:rsidR="00930170" w:rsidRDefault="00930170">
      <w:pPr>
        <w:widowControl w:val="0"/>
        <w:jc w:val="both"/>
        <w:rPr>
          <w:rFonts w:ascii="Arial" w:eastAsia="Arial" w:hAnsi="Arial" w:cs="Arial"/>
          <w:b/>
          <w:sz w:val="22"/>
          <w:szCs w:val="22"/>
        </w:rPr>
      </w:pPr>
    </w:p>
    <w:p w14:paraId="5C5196DB"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 xml:space="preserve">Integración de Dimensiones: </w:t>
      </w:r>
      <w:r>
        <w:rPr>
          <w:rFonts w:ascii="Arial" w:eastAsia="Arial" w:hAnsi="Arial" w:cs="Arial"/>
          <w:sz w:val="22"/>
          <w:szCs w:val="22"/>
        </w:rPr>
        <w:t>Se desarrolló exitosamente un indicador agregado mediante normalización min-max que permite comparación objetiva entre escenarios, confirmando que el CR-3 representa la opción más equilibrada para la creación de valor compartido.</w:t>
      </w:r>
    </w:p>
    <w:p w14:paraId="41152A99" w14:textId="77777777" w:rsidR="00930170" w:rsidRDefault="00930170">
      <w:pPr>
        <w:widowControl w:val="0"/>
        <w:jc w:val="both"/>
        <w:rPr>
          <w:rFonts w:ascii="Arial" w:eastAsia="Arial" w:hAnsi="Arial" w:cs="Arial"/>
          <w:b/>
          <w:sz w:val="22"/>
          <w:szCs w:val="22"/>
        </w:rPr>
      </w:pPr>
    </w:p>
    <w:p w14:paraId="640FFDA8"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5.2 Hallazgos Principales</w:t>
      </w:r>
    </w:p>
    <w:p w14:paraId="5482FA36" w14:textId="77777777" w:rsidR="00930170" w:rsidRDefault="00930170">
      <w:pPr>
        <w:widowControl w:val="0"/>
        <w:jc w:val="both"/>
        <w:rPr>
          <w:rFonts w:ascii="Arial" w:eastAsia="Arial" w:hAnsi="Arial" w:cs="Arial"/>
          <w:b/>
          <w:sz w:val="22"/>
          <w:szCs w:val="22"/>
        </w:rPr>
      </w:pPr>
    </w:p>
    <w:p w14:paraId="3FC5BDD6"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5.2.1 Importancia de la Evaluación Integrada</w:t>
      </w:r>
    </w:p>
    <w:p w14:paraId="20109AE1" w14:textId="77777777" w:rsidR="00930170" w:rsidRDefault="00930170">
      <w:pPr>
        <w:widowControl w:val="0"/>
        <w:jc w:val="both"/>
        <w:rPr>
          <w:rFonts w:ascii="Arial" w:eastAsia="Arial" w:hAnsi="Arial" w:cs="Arial"/>
          <w:b/>
          <w:sz w:val="22"/>
          <w:szCs w:val="22"/>
        </w:rPr>
      </w:pPr>
    </w:p>
    <w:p w14:paraId="38125EF0" w14:textId="77777777" w:rsidR="00930170" w:rsidRDefault="00000000">
      <w:pPr>
        <w:widowControl w:val="0"/>
        <w:jc w:val="both"/>
        <w:rPr>
          <w:rFonts w:ascii="Arial" w:eastAsia="Arial" w:hAnsi="Arial" w:cs="Arial"/>
          <w:b/>
          <w:sz w:val="22"/>
          <w:szCs w:val="22"/>
        </w:rPr>
      </w:pPr>
      <w:r>
        <w:rPr>
          <w:rFonts w:ascii="Arial" w:eastAsia="Arial" w:hAnsi="Arial" w:cs="Arial"/>
          <w:sz w:val="22"/>
          <w:szCs w:val="22"/>
        </w:rPr>
        <w:t>Los resultados demuestran empíricamente que evaluar una sola dimensión de manera aislada puede llevar a decisiones estratégicas subóptimas. Ningún escenario maximiza simultáneamente todos los aspectos, validando la hipótesis de la necesidad de un enfoque integrado para la creación auténtica de valor compartido.</w:t>
      </w:r>
    </w:p>
    <w:p w14:paraId="33D0F5AE" w14:textId="77777777" w:rsidR="00930170" w:rsidRDefault="00930170">
      <w:pPr>
        <w:widowControl w:val="0"/>
        <w:jc w:val="both"/>
        <w:rPr>
          <w:rFonts w:ascii="Arial" w:eastAsia="Arial" w:hAnsi="Arial" w:cs="Arial"/>
          <w:b/>
          <w:sz w:val="22"/>
          <w:szCs w:val="22"/>
        </w:rPr>
      </w:pPr>
    </w:p>
    <w:p w14:paraId="726DDB8A"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5.2.2 Viabilidad del Clúster Regional</w:t>
      </w:r>
    </w:p>
    <w:p w14:paraId="7B8C3A56" w14:textId="77777777" w:rsidR="00930170" w:rsidRDefault="00930170">
      <w:pPr>
        <w:widowControl w:val="0"/>
        <w:jc w:val="both"/>
        <w:rPr>
          <w:rFonts w:ascii="Arial" w:eastAsia="Arial" w:hAnsi="Arial" w:cs="Arial"/>
          <w:b/>
          <w:sz w:val="22"/>
          <w:szCs w:val="22"/>
        </w:rPr>
      </w:pPr>
    </w:p>
    <w:p w14:paraId="4DA6E32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estudio confirma la viabilidad técnica y económica de desarrollar un clúster de cal y caliza en la región, aprovechando la concentración de 12 empresas locales en el Distrito A, los 43 depósitos de caliza identificados, y la demanda sostenida de 260,000 toneladas anuales durante 20 años.</w:t>
      </w:r>
    </w:p>
    <w:p w14:paraId="166587B8" w14:textId="77777777" w:rsidR="00930170" w:rsidRDefault="00930170">
      <w:pPr>
        <w:widowControl w:val="0"/>
        <w:jc w:val="both"/>
        <w:rPr>
          <w:rFonts w:ascii="Arial" w:eastAsia="Arial" w:hAnsi="Arial" w:cs="Arial"/>
          <w:b/>
          <w:sz w:val="22"/>
          <w:szCs w:val="22"/>
        </w:rPr>
      </w:pPr>
    </w:p>
    <w:p w14:paraId="50145FEE"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5.2.3 Equilibrio Óptimo para Sostenibilidad</w:t>
      </w:r>
    </w:p>
    <w:p w14:paraId="38B10F3E" w14:textId="77777777" w:rsidR="00930170" w:rsidRDefault="00930170">
      <w:pPr>
        <w:widowControl w:val="0"/>
        <w:jc w:val="both"/>
        <w:rPr>
          <w:rFonts w:ascii="Arial" w:eastAsia="Arial" w:hAnsi="Arial" w:cs="Arial"/>
          <w:b/>
          <w:sz w:val="22"/>
          <w:szCs w:val="22"/>
        </w:rPr>
      </w:pPr>
    </w:p>
    <w:p w14:paraId="7BA298E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El Escenario CR-3 emerge como la estrategia recomendada, equilibrando eficientemente la participación local (66%) con la viabilidad económica de largo plazo, requiriendo una inversión CAPEX moderada de 10.38 M$ y generando beneficios sostenibles para todas las partes interesadas.</w:t>
      </w:r>
    </w:p>
    <w:p w14:paraId="27D1F9BE" w14:textId="77777777" w:rsidR="00930170" w:rsidRDefault="00930170">
      <w:pPr>
        <w:widowControl w:val="0"/>
        <w:jc w:val="both"/>
        <w:rPr>
          <w:rFonts w:ascii="Arial" w:eastAsia="Arial" w:hAnsi="Arial" w:cs="Arial"/>
          <w:b/>
          <w:sz w:val="22"/>
          <w:szCs w:val="22"/>
        </w:rPr>
      </w:pPr>
    </w:p>
    <w:p w14:paraId="3D66BDAC"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5.3 Contribuciones Metodológicas</w:t>
      </w:r>
    </w:p>
    <w:p w14:paraId="29874C8C" w14:textId="77777777" w:rsidR="00930170" w:rsidRDefault="00930170">
      <w:pPr>
        <w:widowControl w:val="0"/>
        <w:jc w:val="both"/>
        <w:rPr>
          <w:rFonts w:ascii="Arial" w:eastAsia="Arial" w:hAnsi="Arial" w:cs="Arial"/>
          <w:b/>
          <w:sz w:val="22"/>
          <w:szCs w:val="22"/>
        </w:rPr>
      </w:pPr>
    </w:p>
    <w:p w14:paraId="46906143"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lastRenderedPageBreak/>
        <w:t>5.3.1 Modelo de Medición Cuantitativa</w:t>
      </w:r>
    </w:p>
    <w:p w14:paraId="2BF02F58" w14:textId="77777777" w:rsidR="00930170" w:rsidRDefault="00930170">
      <w:pPr>
        <w:widowControl w:val="0"/>
        <w:jc w:val="both"/>
        <w:rPr>
          <w:rFonts w:ascii="Arial" w:eastAsia="Arial" w:hAnsi="Arial" w:cs="Arial"/>
          <w:b/>
          <w:sz w:val="22"/>
          <w:szCs w:val="22"/>
        </w:rPr>
      </w:pPr>
    </w:p>
    <w:p w14:paraId="3854FAF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Se desarrolló un modelo metodológico reproducible que integra programación lineal, normalización de datos y técnicas de ranking para evaluar cuantitativamente estrategias de valor compartido en contextos de industrias extractivas.</w:t>
      </w:r>
    </w:p>
    <w:p w14:paraId="2F2BBD54" w14:textId="77777777" w:rsidR="00930170" w:rsidRDefault="00930170">
      <w:pPr>
        <w:widowControl w:val="0"/>
        <w:jc w:val="both"/>
        <w:rPr>
          <w:rFonts w:ascii="Arial" w:eastAsia="Arial" w:hAnsi="Arial" w:cs="Arial"/>
          <w:b/>
          <w:sz w:val="22"/>
          <w:szCs w:val="22"/>
        </w:rPr>
      </w:pPr>
    </w:p>
    <w:p w14:paraId="3C0B07D2"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5.3.2 Framework de Indicadores Específicos</w:t>
      </w:r>
    </w:p>
    <w:p w14:paraId="0E37E7FF" w14:textId="77777777" w:rsidR="00930170" w:rsidRDefault="00930170">
      <w:pPr>
        <w:widowControl w:val="0"/>
        <w:jc w:val="both"/>
        <w:rPr>
          <w:rFonts w:ascii="Arial" w:eastAsia="Arial" w:hAnsi="Arial" w:cs="Arial"/>
          <w:b/>
          <w:sz w:val="22"/>
          <w:szCs w:val="22"/>
        </w:rPr>
      </w:pPr>
    </w:p>
    <w:p w14:paraId="11CBD9E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Se estableció un conjunto validado de indicadores específicos para cada dimensión, adaptados al contexto de la industria minera y replicable en otros proyectos similares del sector extractivo.</w:t>
      </w:r>
    </w:p>
    <w:p w14:paraId="547382EE" w14:textId="77777777" w:rsidR="00930170" w:rsidRDefault="00930170">
      <w:pPr>
        <w:widowControl w:val="0"/>
        <w:jc w:val="both"/>
        <w:rPr>
          <w:rFonts w:ascii="Arial" w:eastAsia="Arial" w:hAnsi="Arial" w:cs="Arial"/>
          <w:b/>
          <w:sz w:val="22"/>
          <w:szCs w:val="22"/>
        </w:rPr>
      </w:pPr>
    </w:p>
    <w:p w14:paraId="6E72C2A5"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5.4 Limitaciones y Recomendaciones Futuras</w:t>
      </w:r>
    </w:p>
    <w:p w14:paraId="43A21A25" w14:textId="77777777" w:rsidR="00930170" w:rsidRDefault="00930170">
      <w:pPr>
        <w:widowControl w:val="0"/>
        <w:jc w:val="both"/>
        <w:rPr>
          <w:rFonts w:ascii="Arial" w:eastAsia="Arial" w:hAnsi="Arial" w:cs="Arial"/>
          <w:b/>
          <w:sz w:val="22"/>
          <w:szCs w:val="22"/>
        </w:rPr>
      </w:pPr>
    </w:p>
    <w:p w14:paraId="3CD1CDF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La investigación presenta limitaciones en cuanto a la ponderación equitativa de variables y la exclusión de factores geopolíticos. Se recomienda para futuras investigaciones desarrollar análisis de sensibilidad para diferentes ponderaciones, incorporar evaluación de riesgos de monopolio de mercado local, y extender el modelo a otros insumos críticos de operaciones mineras.</w:t>
      </w:r>
    </w:p>
    <w:p w14:paraId="57D846DD" w14:textId="77777777" w:rsidR="00930170" w:rsidRDefault="00930170">
      <w:pPr>
        <w:widowControl w:val="0"/>
        <w:jc w:val="both"/>
        <w:rPr>
          <w:rFonts w:ascii="Arial" w:eastAsia="Arial" w:hAnsi="Arial" w:cs="Arial"/>
          <w:b/>
          <w:sz w:val="22"/>
          <w:szCs w:val="22"/>
        </w:rPr>
      </w:pPr>
    </w:p>
    <w:p w14:paraId="1F2371F7"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5.5 Implicaciones Estratégicas</w:t>
      </w:r>
    </w:p>
    <w:p w14:paraId="2DD7D6DD" w14:textId="77777777" w:rsidR="00930170" w:rsidRDefault="00930170">
      <w:pPr>
        <w:widowControl w:val="0"/>
        <w:jc w:val="both"/>
        <w:rPr>
          <w:rFonts w:ascii="Arial" w:eastAsia="Arial" w:hAnsi="Arial" w:cs="Arial"/>
          <w:b/>
          <w:sz w:val="22"/>
          <w:szCs w:val="22"/>
        </w:rPr>
      </w:pPr>
    </w:p>
    <w:p w14:paraId="4C5AB6B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Para Minera Au-Cu, la implementación del Escenario CR-3 permitirá optimizar la cadena de valor, reducir riesgos de abastecimiento y mejorar sustancialmente la relación con comunidades locales. Para la industria minera, el modelo proporciona un marco metodológico para evaluar estrategias de valor compartido. Para el desarrollo regional, el fortalecimiento del clúster puede generar efectos multiplicadores significativos en la economía local.</w:t>
      </w:r>
    </w:p>
    <w:p w14:paraId="4F20BA43" w14:textId="77777777" w:rsidR="00930170" w:rsidRDefault="00930170">
      <w:pPr>
        <w:widowControl w:val="0"/>
        <w:jc w:val="both"/>
        <w:rPr>
          <w:rFonts w:ascii="Arial" w:eastAsia="Arial" w:hAnsi="Arial" w:cs="Arial"/>
          <w:sz w:val="22"/>
          <w:szCs w:val="22"/>
        </w:rPr>
      </w:pPr>
    </w:p>
    <w:p w14:paraId="35967B2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Esta investigación demuestra que la creación de valor compartido no es solamente un concepto teórico, sino una estrategia práctica implementable que puede generar beneficios tangibles y medibles tanto para las empresas como para las comunidades, contribuyendo al desarrollo de una minería más responsable y sostenible.</w:t>
      </w:r>
    </w:p>
    <w:p w14:paraId="68FE4BD8" w14:textId="77777777" w:rsidR="00930170" w:rsidRDefault="00930170">
      <w:pPr>
        <w:widowControl w:val="0"/>
        <w:jc w:val="both"/>
        <w:rPr>
          <w:rFonts w:ascii="Arial" w:eastAsia="Arial" w:hAnsi="Arial" w:cs="Arial"/>
          <w:b/>
          <w:sz w:val="22"/>
          <w:szCs w:val="22"/>
        </w:rPr>
      </w:pPr>
    </w:p>
    <w:p w14:paraId="7EB099C5" w14:textId="77777777" w:rsidR="00930170" w:rsidRDefault="00000000">
      <w:pPr>
        <w:widowControl w:val="0"/>
        <w:jc w:val="both"/>
        <w:rPr>
          <w:rFonts w:ascii="Arial" w:eastAsia="Arial" w:hAnsi="Arial" w:cs="Arial"/>
          <w:b/>
          <w:sz w:val="22"/>
          <w:szCs w:val="22"/>
        </w:rPr>
      </w:pPr>
      <w:r>
        <w:rPr>
          <w:rFonts w:ascii="Arial" w:eastAsia="Arial" w:hAnsi="Arial" w:cs="Arial"/>
          <w:b/>
          <w:sz w:val="22"/>
          <w:szCs w:val="22"/>
        </w:rPr>
        <w:t>Referencias Bibliográficas</w:t>
      </w:r>
    </w:p>
    <w:p w14:paraId="580827E1" w14:textId="77777777" w:rsidR="00930170" w:rsidRDefault="00930170">
      <w:pPr>
        <w:widowControl w:val="0"/>
        <w:jc w:val="both"/>
        <w:rPr>
          <w:rFonts w:ascii="Arial" w:eastAsia="Arial" w:hAnsi="Arial" w:cs="Arial"/>
          <w:b/>
          <w:sz w:val="22"/>
          <w:szCs w:val="22"/>
        </w:rPr>
      </w:pPr>
    </w:p>
    <w:p w14:paraId="4BEED2C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Altenburg, T. (1999). How to promote clusters: Policy experiences from Latin America. </w:t>
      </w:r>
      <w:r>
        <w:rPr>
          <w:rFonts w:ascii="Arial" w:eastAsia="Arial" w:hAnsi="Arial" w:cs="Arial"/>
          <w:i/>
          <w:sz w:val="22"/>
          <w:szCs w:val="22"/>
        </w:rPr>
        <w:t>World Development</w:t>
      </w:r>
      <w:r>
        <w:rPr>
          <w:rFonts w:ascii="Arial" w:eastAsia="Arial" w:hAnsi="Arial" w:cs="Arial"/>
          <w:sz w:val="22"/>
          <w:szCs w:val="22"/>
        </w:rPr>
        <w:t>, 27(9), 1693-1713.</w:t>
      </w:r>
    </w:p>
    <w:p w14:paraId="24182529" w14:textId="77777777" w:rsidR="00930170" w:rsidRDefault="00930170">
      <w:pPr>
        <w:widowControl w:val="0"/>
        <w:jc w:val="both"/>
        <w:rPr>
          <w:rFonts w:ascii="Arial" w:eastAsia="Arial" w:hAnsi="Arial" w:cs="Arial"/>
          <w:sz w:val="22"/>
          <w:szCs w:val="22"/>
        </w:rPr>
      </w:pPr>
    </w:p>
    <w:p w14:paraId="4D5650B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Arena, M., Azzone, G., &amp; Piantoni, G. (2020). Shared value creation during site decommissioning: A case study from the energy sector. </w:t>
      </w:r>
      <w:r>
        <w:rPr>
          <w:rFonts w:ascii="Arial" w:eastAsia="Arial" w:hAnsi="Arial" w:cs="Arial"/>
          <w:i/>
          <w:sz w:val="22"/>
          <w:szCs w:val="22"/>
        </w:rPr>
        <w:t>Journal of Cleaner Production</w:t>
      </w:r>
      <w:r>
        <w:rPr>
          <w:rFonts w:ascii="Arial" w:eastAsia="Arial" w:hAnsi="Arial" w:cs="Arial"/>
          <w:sz w:val="22"/>
          <w:szCs w:val="22"/>
        </w:rPr>
        <w:t>, 251, 119587.</w:t>
      </w:r>
      <w:hyperlink r:id="rId20">
        <w:r>
          <w:rPr>
            <w:rFonts w:ascii="Arial" w:eastAsia="Arial" w:hAnsi="Arial" w:cs="Arial"/>
            <w:color w:val="0000FF"/>
            <w:sz w:val="22"/>
            <w:szCs w:val="22"/>
            <w:u w:val="single"/>
          </w:rPr>
          <w:t>https://doi.org/10.1016/j.jclepro.2019.1195</w:t>
        </w:r>
        <w:r>
          <w:rPr>
            <w:rFonts w:ascii="Arial" w:eastAsia="Arial" w:hAnsi="Arial" w:cs="Arial"/>
            <w:color w:val="0000FF"/>
            <w:sz w:val="22"/>
            <w:szCs w:val="22"/>
            <w:u w:val="single"/>
          </w:rPr>
          <w:t>87</w:t>
        </w:r>
      </w:hyperlink>
    </w:p>
    <w:p w14:paraId="03634683" w14:textId="77777777" w:rsidR="00930170" w:rsidRDefault="00930170">
      <w:pPr>
        <w:widowControl w:val="0"/>
        <w:jc w:val="both"/>
        <w:rPr>
          <w:rFonts w:ascii="Arial" w:eastAsia="Arial" w:hAnsi="Arial" w:cs="Arial"/>
          <w:sz w:val="22"/>
          <w:szCs w:val="22"/>
        </w:rPr>
      </w:pPr>
    </w:p>
    <w:p w14:paraId="1294D4C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Azmat, F., Fujimoto, Y., &amp; Subramaniam, N. (2019). Revisiting the concept of shared value in developing countries: Towards an organisational framework. </w:t>
      </w:r>
      <w:r>
        <w:rPr>
          <w:rFonts w:ascii="Arial" w:eastAsia="Arial" w:hAnsi="Arial" w:cs="Arial"/>
          <w:i/>
          <w:sz w:val="22"/>
          <w:szCs w:val="22"/>
        </w:rPr>
        <w:t>Social Business</w:t>
      </w:r>
      <w:r>
        <w:rPr>
          <w:rFonts w:ascii="Arial" w:eastAsia="Arial" w:hAnsi="Arial" w:cs="Arial"/>
          <w:sz w:val="22"/>
          <w:szCs w:val="22"/>
        </w:rPr>
        <w:t xml:space="preserve">, 9(3), 205-226. </w:t>
      </w:r>
      <w:hyperlink r:id="rId21">
        <w:r>
          <w:rPr>
            <w:rFonts w:ascii="Arial" w:eastAsia="Arial" w:hAnsi="Arial" w:cs="Arial"/>
            <w:color w:val="0000FF"/>
            <w:sz w:val="22"/>
            <w:szCs w:val="22"/>
            <w:u w:val="single"/>
          </w:rPr>
          <w:t>https://doi.org/10.1362/204440819X15633617555867</w:t>
        </w:r>
      </w:hyperlink>
    </w:p>
    <w:p w14:paraId="72B29653" w14:textId="77777777" w:rsidR="00930170" w:rsidRDefault="00930170">
      <w:pPr>
        <w:widowControl w:val="0"/>
        <w:jc w:val="both"/>
        <w:rPr>
          <w:rFonts w:ascii="Arial" w:eastAsia="Arial" w:hAnsi="Arial" w:cs="Arial"/>
          <w:sz w:val="22"/>
          <w:szCs w:val="22"/>
        </w:rPr>
      </w:pPr>
    </w:p>
    <w:p w14:paraId="483DE06B"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Banco Mundial. (2005). </w:t>
      </w:r>
      <w:r>
        <w:rPr>
          <w:rFonts w:ascii="Arial" w:eastAsia="Arial" w:hAnsi="Arial" w:cs="Arial"/>
          <w:i/>
          <w:sz w:val="22"/>
          <w:szCs w:val="22"/>
        </w:rPr>
        <w:t>Riqueza y Sostenibilidad: Dimensiones Sociales y Ambientales de la Minería en el Perú</w:t>
      </w:r>
      <w:r>
        <w:rPr>
          <w:rFonts w:ascii="Arial" w:eastAsia="Arial" w:hAnsi="Arial" w:cs="Arial"/>
          <w:sz w:val="22"/>
          <w:szCs w:val="22"/>
        </w:rPr>
        <w:t xml:space="preserve">. </w:t>
      </w:r>
      <w:hyperlink r:id="rId22">
        <w:r>
          <w:rPr>
            <w:rFonts w:ascii="Arial" w:eastAsia="Arial" w:hAnsi="Arial" w:cs="Arial"/>
            <w:color w:val="0000FF"/>
            <w:sz w:val="22"/>
            <w:szCs w:val="22"/>
            <w:u w:val="single"/>
          </w:rPr>
          <w:t>https://documentos.bancomundial.org/es/publication/documents-reports/documentdetail/410671468079729976/resumen-ejecutivo</w:t>
        </w:r>
      </w:hyperlink>
    </w:p>
    <w:p w14:paraId="08D742DD" w14:textId="77777777" w:rsidR="00930170" w:rsidRDefault="00930170">
      <w:pPr>
        <w:widowControl w:val="0"/>
        <w:jc w:val="both"/>
        <w:rPr>
          <w:rFonts w:ascii="Arial" w:eastAsia="Arial" w:hAnsi="Arial" w:cs="Arial"/>
          <w:sz w:val="22"/>
          <w:szCs w:val="22"/>
        </w:rPr>
      </w:pPr>
    </w:p>
    <w:p w14:paraId="452CD18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Bao, C., &amp; Blanco, S. (2014). Modelos de formación de clústeres industriales: revisión de las ideas que los sustentan. </w:t>
      </w:r>
      <w:r>
        <w:rPr>
          <w:rFonts w:ascii="Arial" w:eastAsia="Arial" w:hAnsi="Arial" w:cs="Arial"/>
          <w:i/>
          <w:sz w:val="22"/>
          <w:szCs w:val="22"/>
        </w:rPr>
        <w:t>Revista Galega de Economía</w:t>
      </w:r>
      <w:r>
        <w:rPr>
          <w:rFonts w:ascii="Arial" w:eastAsia="Arial" w:hAnsi="Arial" w:cs="Arial"/>
          <w:sz w:val="22"/>
          <w:szCs w:val="22"/>
        </w:rPr>
        <w:t>, 23(2), 179-198.</w:t>
      </w:r>
    </w:p>
    <w:p w14:paraId="636F1F8D" w14:textId="77777777" w:rsidR="00930170" w:rsidRDefault="00930170">
      <w:pPr>
        <w:widowControl w:val="0"/>
        <w:jc w:val="both"/>
        <w:rPr>
          <w:rFonts w:ascii="Arial" w:eastAsia="Arial" w:hAnsi="Arial" w:cs="Arial"/>
          <w:sz w:val="22"/>
          <w:szCs w:val="22"/>
        </w:rPr>
      </w:pPr>
    </w:p>
    <w:p w14:paraId="391A599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Becerra-Vicario, R., León-Gómez, A., Gutiérrez-Ruiz, A., &amp; Fernández-Gámez, M. (2020). Sustainable development through Corporate Social Responsibility, Corporate Philanthropy and Creating Shared Value. </w:t>
      </w:r>
      <w:r>
        <w:rPr>
          <w:rFonts w:ascii="Arial" w:eastAsia="Arial" w:hAnsi="Arial" w:cs="Arial"/>
          <w:i/>
          <w:sz w:val="22"/>
          <w:szCs w:val="22"/>
        </w:rPr>
        <w:t>Technium Social Sciences Journal</w:t>
      </w:r>
      <w:r>
        <w:rPr>
          <w:rFonts w:ascii="Arial" w:eastAsia="Arial" w:hAnsi="Arial" w:cs="Arial"/>
          <w:sz w:val="22"/>
          <w:szCs w:val="22"/>
        </w:rPr>
        <w:t xml:space="preserve">, 10, 291-298. </w:t>
      </w:r>
      <w:hyperlink r:id="rId23">
        <w:r>
          <w:rPr>
            <w:rFonts w:ascii="Arial" w:eastAsia="Arial" w:hAnsi="Arial" w:cs="Arial"/>
            <w:color w:val="0000FF"/>
            <w:sz w:val="22"/>
            <w:szCs w:val="22"/>
            <w:u w:val="single"/>
          </w:rPr>
          <w:t>https://doi.org/10.47577/tssj.v10i1.1325</w:t>
        </w:r>
      </w:hyperlink>
    </w:p>
    <w:p w14:paraId="42EAAE06" w14:textId="77777777" w:rsidR="00930170" w:rsidRDefault="00930170">
      <w:pPr>
        <w:widowControl w:val="0"/>
        <w:jc w:val="both"/>
        <w:rPr>
          <w:rFonts w:ascii="Arial" w:eastAsia="Arial" w:hAnsi="Arial" w:cs="Arial"/>
          <w:sz w:val="22"/>
          <w:szCs w:val="22"/>
        </w:rPr>
      </w:pPr>
    </w:p>
    <w:p w14:paraId="4022E54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Börjeson, L., Höjer, M., Dreborg, K., Ekvall, T., &amp; Finnveden, G. (2006). Scenario types and techniques: Towards a user's guide. </w:t>
      </w:r>
      <w:r>
        <w:rPr>
          <w:rFonts w:ascii="Arial" w:eastAsia="Arial" w:hAnsi="Arial" w:cs="Arial"/>
          <w:i/>
          <w:sz w:val="22"/>
          <w:szCs w:val="22"/>
        </w:rPr>
        <w:t>Futures</w:t>
      </w:r>
      <w:r>
        <w:rPr>
          <w:rFonts w:ascii="Arial" w:eastAsia="Arial" w:hAnsi="Arial" w:cs="Arial"/>
          <w:sz w:val="22"/>
          <w:szCs w:val="22"/>
        </w:rPr>
        <w:t>, 38(7), 723-739.</w:t>
      </w:r>
    </w:p>
    <w:p w14:paraId="15C3EC55" w14:textId="77777777" w:rsidR="00930170" w:rsidRDefault="00930170">
      <w:pPr>
        <w:widowControl w:val="0"/>
        <w:jc w:val="both"/>
        <w:rPr>
          <w:rFonts w:ascii="Arial" w:eastAsia="Arial" w:hAnsi="Arial" w:cs="Arial"/>
          <w:sz w:val="22"/>
          <w:szCs w:val="22"/>
        </w:rPr>
      </w:pPr>
    </w:p>
    <w:p w14:paraId="184E2A2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Chester, B., Fenwick, E., &amp; Summers, V. (2015). Limestone and Lime—Important Differences. </w:t>
      </w:r>
      <w:r>
        <w:rPr>
          <w:rFonts w:ascii="Arial" w:eastAsia="Arial" w:hAnsi="Arial" w:cs="Arial"/>
          <w:i/>
          <w:sz w:val="22"/>
          <w:szCs w:val="22"/>
        </w:rPr>
        <w:t>Quirky Science</w:t>
      </w:r>
      <w:r>
        <w:rPr>
          <w:rFonts w:ascii="Arial" w:eastAsia="Arial" w:hAnsi="Arial" w:cs="Arial"/>
          <w:sz w:val="22"/>
          <w:szCs w:val="22"/>
        </w:rPr>
        <w:t xml:space="preserve">. </w:t>
      </w:r>
      <w:hyperlink r:id="rId24">
        <w:r>
          <w:rPr>
            <w:rFonts w:ascii="Arial" w:eastAsia="Arial" w:hAnsi="Arial" w:cs="Arial"/>
            <w:color w:val="0000FF"/>
            <w:sz w:val="22"/>
            <w:szCs w:val="22"/>
            <w:u w:val="single"/>
          </w:rPr>
          <w:t>https://www.quirkyscience.com/important-differences-between-lime-and-limestone/</w:t>
        </w:r>
      </w:hyperlink>
    </w:p>
    <w:p w14:paraId="09B5147C" w14:textId="77777777" w:rsidR="00930170" w:rsidRDefault="00930170">
      <w:pPr>
        <w:widowControl w:val="0"/>
        <w:jc w:val="both"/>
        <w:rPr>
          <w:rFonts w:ascii="Arial" w:eastAsia="Arial" w:hAnsi="Arial" w:cs="Arial"/>
          <w:sz w:val="22"/>
          <w:szCs w:val="22"/>
        </w:rPr>
      </w:pPr>
    </w:p>
    <w:p w14:paraId="02DF907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De Los Reyes, G., Scholz, M., &amp; Smith, N. C. (2017). Beyond the "Win-Win": Creating Shared Value Requires Ethical Frameworks. </w:t>
      </w:r>
      <w:r>
        <w:rPr>
          <w:rFonts w:ascii="Arial" w:eastAsia="Arial" w:hAnsi="Arial" w:cs="Arial"/>
          <w:i/>
          <w:sz w:val="22"/>
          <w:szCs w:val="22"/>
        </w:rPr>
        <w:t>California Management Review</w:t>
      </w:r>
      <w:r>
        <w:rPr>
          <w:rFonts w:ascii="Arial" w:eastAsia="Arial" w:hAnsi="Arial" w:cs="Arial"/>
          <w:sz w:val="22"/>
          <w:szCs w:val="22"/>
        </w:rPr>
        <w:t>, 59(2), 142-167.</w:t>
      </w:r>
    </w:p>
    <w:p w14:paraId="55B71B7F" w14:textId="77777777" w:rsidR="00930170" w:rsidRDefault="00930170">
      <w:pPr>
        <w:widowControl w:val="0"/>
        <w:jc w:val="both"/>
        <w:rPr>
          <w:rFonts w:ascii="Arial" w:eastAsia="Arial" w:hAnsi="Arial" w:cs="Arial"/>
          <w:sz w:val="22"/>
          <w:szCs w:val="22"/>
        </w:rPr>
      </w:pPr>
    </w:p>
    <w:p w14:paraId="6CA6BC4A"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Enright, M. (1996). Regional Clusters and Economic Development: A Research Agenda. En U.H. Staber, N.V. Schaefer &amp; B. Sharma (Eds.), </w:t>
      </w:r>
      <w:r>
        <w:rPr>
          <w:rFonts w:ascii="Arial" w:eastAsia="Arial" w:hAnsi="Arial" w:cs="Arial"/>
          <w:i/>
          <w:sz w:val="22"/>
          <w:szCs w:val="22"/>
        </w:rPr>
        <w:t>Business Networks: Prospects for Regional Development</w:t>
      </w:r>
      <w:r>
        <w:rPr>
          <w:rFonts w:ascii="Arial" w:eastAsia="Arial" w:hAnsi="Arial" w:cs="Arial"/>
          <w:sz w:val="22"/>
          <w:szCs w:val="22"/>
        </w:rPr>
        <w:t xml:space="preserve"> (pp. 190-213). Walter de Gruyter.</w:t>
      </w:r>
    </w:p>
    <w:p w14:paraId="53925BF7" w14:textId="77777777" w:rsidR="00930170" w:rsidRDefault="00930170">
      <w:pPr>
        <w:widowControl w:val="0"/>
        <w:jc w:val="both"/>
        <w:rPr>
          <w:rFonts w:ascii="Arial" w:eastAsia="Arial" w:hAnsi="Arial" w:cs="Arial"/>
          <w:sz w:val="22"/>
          <w:szCs w:val="22"/>
        </w:rPr>
      </w:pPr>
    </w:p>
    <w:p w14:paraId="30DF00F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EYGM Limited. (2021). </w:t>
      </w:r>
      <w:r>
        <w:rPr>
          <w:rFonts w:ascii="Arial" w:eastAsia="Arial" w:hAnsi="Arial" w:cs="Arial"/>
          <w:i/>
          <w:sz w:val="22"/>
          <w:szCs w:val="22"/>
        </w:rPr>
        <w:t>Los 10 principales riesgos y oportunidades de minería y metales en 2022</w:t>
      </w:r>
      <w:r>
        <w:rPr>
          <w:rFonts w:ascii="Arial" w:eastAsia="Arial" w:hAnsi="Arial" w:cs="Arial"/>
          <w:sz w:val="22"/>
          <w:szCs w:val="22"/>
        </w:rPr>
        <w:t xml:space="preserve">. </w:t>
      </w:r>
      <w:hyperlink r:id="rId25">
        <w:r>
          <w:rPr>
            <w:rFonts w:ascii="Arial" w:eastAsia="Arial" w:hAnsi="Arial" w:cs="Arial"/>
            <w:color w:val="0000FF"/>
            <w:sz w:val="22"/>
            <w:szCs w:val="22"/>
            <w:u w:val="single"/>
          </w:rPr>
          <w:t>https://assets.ey.com/content/dam/ey-sites/ey-com/es_cl/webcast/2021/12/ey-chile-business-risks-2022.pdf</w:t>
        </w:r>
      </w:hyperlink>
    </w:p>
    <w:p w14:paraId="76344B88" w14:textId="77777777" w:rsidR="00930170" w:rsidRDefault="00930170">
      <w:pPr>
        <w:widowControl w:val="0"/>
        <w:jc w:val="both"/>
        <w:rPr>
          <w:rFonts w:ascii="Arial" w:eastAsia="Arial" w:hAnsi="Arial" w:cs="Arial"/>
          <w:sz w:val="22"/>
          <w:szCs w:val="22"/>
        </w:rPr>
      </w:pPr>
    </w:p>
    <w:p w14:paraId="4F4297C4"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lastRenderedPageBreak/>
        <w:t xml:space="preserve">Fraser, J., Kunz, N. C., &amp; Batdorj, B. (2019). Can mineral exploration projects create and share value with communities? A case study from Mongolia. </w:t>
      </w:r>
      <w:r>
        <w:rPr>
          <w:rFonts w:ascii="Arial" w:eastAsia="Arial" w:hAnsi="Arial" w:cs="Arial"/>
          <w:i/>
          <w:sz w:val="22"/>
          <w:szCs w:val="22"/>
        </w:rPr>
        <w:t>Resources Policy</w:t>
      </w:r>
      <w:r>
        <w:rPr>
          <w:rFonts w:ascii="Arial" w:eastAsia="Arial" w:hAnsi="Arial" w:cs="Arial"/>
          <w:sz w:val="22"/>
          <w:szCs w:val="22"/>
        </w:rPr>
        <w:t xml:space="preserve">, 63, 101455. </w:t>
      </w:r>
      <w:hyperlink r:id="rId26">
        <w:r>
          <w:rPr>
            <w:rFonts w:ascii="Arial" w:eastAsia="Arial" w:hAnsi="Arial" w:cs="Arial"/>
            <w:color w:val="0000FF"/>
            <w:sz w:val="22"/>
            <w:szCs w:val="22"/>
            <w:u w:val="single"/>
          </w:rPr>
          <w:t>https://doi.org/10.1016/j.resourpol.2019.101455</w:t>
        </w:r>
      </w:hyperlink>
    </w:p>
    <w:p w14:paraId="48C521A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Godet, M. (2003). </w:t>
      </w:r>
      <w:r>
        <w:rPr>
          <w:rFonts w:ascii="Arial" w:eastAsia="Arial" w:hAnsi="Arial" w:cs="Arial"/>
          <w:i/>
          <w:sz w:val="22"/>
          <w:szCs w:val="22"/>
        </w:rPr>
        <w:t>La caja de herramientas de la prospectiva estratégica</w:t>
      </w:r>
      <w:r>
        <w:rPr>
          <w:rFonts w:ascii="Arial" w:eastAsia="Arial" w:hAnsi="Arial" w:cs="Arial"/>
          <w:sz w:val="22"/>
          <w:szCs w:val="22"/>
        </w:rPr>
        <w:t xml:space="preserve"> (4ta ed.). Grupo de Desarrollo Económico de la Región Centro Occidente.</w:t>
      </w:r>
    </w:p>
    <w:p w14:paraId="4DA9E421" w14:textId="77777777" w:rsidR="00930170" w:rsidRDefault="00930170">
      <w:pPr>
        <w:widowControl w:val="0"/>
        <w:jc w:val="both"/>
        <w:rPr>
          <w:rFonts w:ascii="Arial" w:eastAsia="Arial" w:hAnsi="Arial" w:cs="Arial"/>
          <w:sz w:val="22"/>
          <w:szCs w:val="22"/>
        </w:rPr>
      </w:pPr>
    </w:p>
    <w:p w14:paraId="09A1B09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Gurau, M. A. (2012). The use of profitability index in economic evaluation of industrial investment projects. </w:t>
      </w:r>
      <w:r>
        <w:rPr>
          <w:rFonts w:ascii="Arial" w:eastAsia="Arial" w:hAnsi="Arial" w:cs="Arial"/>
          <w:i/>
          <w:sz w:val="22"/>
          <w:szCs w:val="22"/>
        </w:rPr>
        <w:t>Theoretical and Applied Economics</w:t>
      </w:r>
      <w:r>
        <w:rPr>
          <w:rFonts w:ascii="Arial" w:eastAsia="Arial" w:hAnsi="Arial" w:cs="Arial"/>
          <w:sz w:val="22"/>
          <w:szCs w:val="22"/>
        </w:rPr>
        <w:t>, 6(1), 55-58.</w:t>
      </w:r>
    </w:p>
    <w:p w14:paraId="1B013CB9" w14:textId="77777777" w:rsidR="00930170" w:rsidRDefault="00930170">
      <w:pPr>
        <w:widowControl w:val="0"/>
        <w:jc w:val="both"/>
        <w:rPr>
          <w:rFonts w:ascii="Arial" w:eastAsia="Arial" w:hAnsi="Arial" w:cs="Arial"/>
          <w:sz w:val="22"/>
          <w:szCs w:val="22"/>
        </w:rPr>
      </w:pPr>
    </w:p>
    <w:p w14:paraId="198335D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Hamilton, A., &amp; Preston, P. (2018). </w:t>
      </w:r>
      <w:r>
        <w:rPr>
          <w:rFonts w:ascii="Arial" w:eastAsia="Arial" w:hAnsi="Arial" w:cs="Arial"/>
          <w:i/>
          <w:sz w:val="22"/>
          <w:szCs w:val="22"/>
        </w:rPr>
        <w:t>Shared Value Measurement</w:t>
      </w:r>
      <w:r>
        <w:rPr>
          <w:rFonts w:ascii="Arial" w:eastAsia="Arial" w:hAnsi="Arial" w:cs="Arial"/>
          <w:sz w:val="22"/>
          <w:szCs w:val="22"/>
        </w:rPr>
        <w:t xml:space="preserve">. </w:t>
      </w:r>
      <w:hyperlink r:id="rId27">
        <w:r>
          <w:rPr>
            <w:rFonts w:ascii="Arial" w:eastAsia="Arial" w:hAnsi="Arial" w:cs="Arial"/>
            <w:color w:val="0000FF"/>
            <w:sz w:val="22"/>
            <w:szCs w:val="22"/>
            <w:u w:val="single"/>
          </w:rPr>
          <w:t>https://philpreston.com.au/wp-content/uploads/2018/09/sv-measurement-resource-hamilton-preston-may18-final.pdf</w:t>
        </w:r>
      </w:hyperlink>
    </w:p>
    <w:p w14:paraId="59B52829" w14:textId="77777777" w:rsidR="00930170" w:rsidRDefault="00930170">
      <w:pPr>
        <w:widowControl w:val="0"/>
        <w:jc w:val="both"/>
        <w:rPr>
          <w:rFonts w:ascii="Arial" w:eastAsia="Arial" w:hAnsi="Arial" w:cs="Arial"/>
          <w:sz w:val="22"/>
          <w:szCs w:val="22"/>
        </w:rPr>
      </w:pPr>
    </w:p>
    <w:p w14:paraId="15D2896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Han, J., Pei, J., &amp; Tong, H. (2023). </w:t>
      </w:r>
      <w:r>
        <w:rPr>
          <w:rFonts w:ascii="Arial" w:eastAsia="Arial" w:hAnsi="Arial" w:cs="Arial"/>
          <w:i/>
          <w:sz w:val="22"/>
          <w:szCs w:val="22"/>
        </w:rPr>
        <w:t>Data Mining: Concepts and Techniques</w:t>
      </w:r>
      <w:r>
        <w:rPr>
          <w:rFonts w:ascii="Arial" w:eastAsia="Arial" w:hAnsi="Arial" w:cs="Arial"/>
          <w:sz w:val="22"/>
          <w:szCs w:val="22"/>
        </w:rPr>
        <w:t xml:space="preserve"> (4ta ed.). Elsevier Inc.</w:t>
      </w:r>
    </w:p>
    <w:p w14:paraId="48EF275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Harrir, M. (2022). Optimization of transport costs and CO2 emissions reduction policies in a continuous cycle supply chain: case study. </w:t>
      </w:r>
      <w:r>
        <w:rPr>
          <w:rFonts w:ascii="Arial" w:eastAsia="Arial" w:hAnsi="Arial" w:cs="Arial"/>
          <w:i/>
          <w:sz w:val="22"/>
          <w:szCs w:val="22"/>
        </w:rPr>
        <w:t>E3S Web of Conferences</w:t>
      </w:r>
      <w:r>
        <w:rPr>
          <w:rFonts w:ascii="Arial" w:eastAsia="Arial" w:hAnsi="Arial" w:cs="Arial"/>
          <w:sz w:val="22"/>
          <w:szCs w:val="22"/>
        </w:rPr>
        <w:t xml:space="preserve">, 336, 00060. </w:t>
      </w:r>
      <w:hyperlink r:id="rId28">
        <w:r>
          <w:rPr>
            <w:rFonts w:ascii="Arial" w:eastAsia="Arial" w:hAnsi="Arial" w:cs="Arial"/>
            <w:color w:val="0000FF"/>
            <w:sz w:val="22"/>
            <w:szCs w:val="22"/>
            <w:u w:val="single"/>
          </w:rPr>
          <w:t>https://doi.org/10.1051/e3sconf/202233600060</w:t>
        </w:r>
      </w:hyperlink>
    </w:p>
    <w:p w14:paraId="19C4068D" w14:textId="77777777" w:rsidR="00930170" w:rsidRDefault="00930170">
      <w:pPr>
        <w:widowControl w:val="0"/>
        <w:jc w:val="both"/>
        <w:rPr>
          <w:rFonts w:ascii="Arial" w:eastAsia="Arial" w:hAnsi="Arial" w:cs="Arial"/>
          <w:sz w:val="22"/>
          <w:szCs w:val="22"/>
        </w:rPr>
      </w:pPr>
    </w:p>
    <w:p w14:paraId="103C049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INGEMMET. (2020). </w:t>
      </w:r>
      <w:r>
        <w:rPr>
          <w:rFonts w:ascii="Arial" w:eastAsia="Arial" w:hAnsi="Arial" w:cs="Arial"/>
          <w:i/>
          <w:sz w:val="22"/>
          <w:szCs w:val="22"/>
        </w:rPr>
        <w:t>Depósitos de Caliza en el Perú</w:t>
      </w:r>
      <w:r>
        <w:rPr>
          <w:rFonts w:ascii="Arial" w:eastAsia="Arial" w:hAnsi="Arial" w:cs="Arial"/>
          <w:sz w:val="22"/>
          <w:szCs w:val="22"/>
        </w:rPr>
        <w:t>. Instituto Geológico Minero y Metalúrgico.</w:t>
      </w:r>
    </w:p>
    <w:p w14:paraId="69883B77" w14:textId="77777777" w:rsidR="00930170" w:rsidRDefault="00930170">
      <w:pPr>
        <w:widowControl w:val="0"/>
        <w:jc w:val="both"/>
        <w:rPr>
          <w:rFonts w:ascii="Arial" w:eastAsia="Arial" w:hAnsi="Arial" w:cs="Arial"/>
          <w:sz w:val="22"/>
          <w:szCs w:val="22"/>
        </w:rPr>
      </w:pPr>
    </w:p>
    <w:p w14:paraId="2A5E29AF"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Jackson, I., &amp; Limbrick, L. (2019). Creating shared value in an industrial conurbation: Evidence from the North Staffordshire ceramics cluster. </w:t>
      </w:r>
      <w:r>
        <w:rPr>
          <w:rFonts w:ascii="Arial" w:eastAsia="Arial" w:hAnsi="Arial" w:cs="Arial"/>
          <w:i/>
          <w:sz w:val="22"/>
          <w:szCs w:val="22"/>
        </w:rPr>
        <w:t>Strategic Change</w:t>
      </w:r>
      <w:r>
        <w:rPr>
          <w:rFonts w:ascii="Arial" w:eastAsia="Arial" w:hAnsi="Arial" w:cs="Arial"/>
          <w:sz w:val="22"/>
          <w:szCs w:val="22"/>
        </w:rPr>
        <w:t xml:space="preserve">, 28(2), 133-138. </w:t>
      </w:r>
      <w:hyperlink r:id="rId29">
        <w:r>
          <w:rPr>
            <w:rFonts w:ascii="Arial" w:eastAsia="Arial" w:hAnsi="Arial" w:cs="Arial"/>
            <w:color w:val="0000FF"/>
            <w:sz w:val="22"/>
            <w:szCs w:val="22"/>
            <w:u w:val="single"/>
          </w:rPr>
          <w:t>https://doi.org/10.1002/jsc.2254</w:t>
        </w:r>
      </w:hyperlink>
    </w:p>
    <w:p w14:paraId="7971F62A" w14:textId="77777777" w:rsidR="00930170" w:rsidRDefault="00930170">
      <w:pPr>
        <w:widowControl w:val="0"/>
        <w:jc w:val="both"/>
        <w:rPr>
          <w:rFonts w:ascii="Arial" w:eastAsia="Arial" w:hAnsi="Arial" w:cs="Arial"/>
          <w:sz w:val="22"/>
          <w:szCs w:val="22"/>
        </w:rPr>
      </w:pPr>
    </w:p>
    <w:p w14:paraId="23FD901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Jin, C-H. (2018). The effects of creating shared value (CSV) on the consumer self–brand connection: Perspective of sustainable development. </w:t>
      </w:r>
      <w:r>
        <w:rPr>
          <w:rFonts w:ascii="Arial" w:eastAsia="Arial" w:hAnsi="Arial" w:cs="Arial"/>
          <w:i/>
          <w:sz w:val="22"/>
          <w:szCs w:val="22"/>
        </w:rPr>
        <w:t>Corporate Social Responsibility and Environmental Management</w:t>
      </w:r>
      <w:r>
        <w:rPr>
          <w:rFonts w:ascii="Arial" w:eastAsia="Arial" w:hAnsi="Arial" w:cs="Arial"/>
          <w:sz w:val="22"/>
          <w:szCs w:val="22"/>
        </w:rPr>
        <w:t xml:space="preserve">, 25(6), 1246-1257. </w:t>
      </w:r>
      <w:hyperlink r:id="rId30">
        <w:r>
          <w:rPr>
            <w:rFonts w:ascii="Arial" w:eastAsia="Arial" w:hAnsi="Arial" w:cs="Arial"/>
            <w:color w:val="0000FF"/>
            <w:sz w:val="22"/>
            <w:szCs w:val="22"/>
            <w:u w:val="single"/>
          </w:rPr>
          <w:t>https://doi.org/10.1002/csr.1635</w:t>
        </w:r>
      </w:hyperlink>
    </w:p>
    <w:p w14:paraId="518C7161" w14:textId="77777777" w:rsidR="00930170" w:rsidRDefault="00930170">
      <w:pPr>
        <w:widowControl w:val="0"/>
        <w:jc w:val="both"/>
        <w:rPr>
          <w:rFonts w:ascii="Arial" w:eastAsia="Arial" w:hAnsi="Arial" w:cs="Arial"/>
          <w:sz w:val="22"/>
          <w:szCs w:val="22"/>
        </w:rPr>
      </w:pPr>
    </w:p>
    <w:p w14:paraId="13E67F9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Juhász, L. (2011). Net present value versus internal rate of return. </w:t>
      </w:r>
      <w:r>
        <w:rPr>
          <w:rFonts w:ascii="Arial" w:eastAsia="Arial" w:hAnsi="Arial" w:cs="Arial"/>
          <w:i/>
          <w:sz w:val="22"/>
          <w:szCs w:val="22"/>
        </w:rPr>
        <w:t>Economics and Sociology</w:t>
      </w:r>
      <w:r>
        <w:rPr>
          <w:rFonts w:ascii="Arial" w:eastAsia="Arial" w:hAnsi="Arial" w:cs="Arial"/>
          <w:sz w:val="22"/>
          <w:szCs w:val="22"/>
        </w:rPr>
        <w:t>, 4(1), 46-53.</w:t>
      </w:r>
    </w:p>
    <w:p w14:paraId="0CB9862C" w14:textId="77777777" w:rsidR="00930170" w:rsidRDefault="00930170">
      <w:pPr>
        <w:widowControl w:val="0"/>
        <w:jc w:val="both"/>
        <w:rPr>
          <w:rFonts w:ascii="Arial" w:eastAsia="Arial" w:hAnsi="Arial" w:cs="Arial"/>
          <w:sz w:val="22"/>
          <w:szCs w:val="22"/>
        </w:rPr>
      </w:pPr>
    </w:p>
    <w:p w14:paraId="445CEFF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Julca, D. (2022). </w:t>
      </w:r>
      <w:r>
        <w:rPr>
          <w:rFonts w:ascii="Arial" w:eastAsia="Arial" w:hAnsi="Arial" w:cs="Arial"/>
          <w:i/>
          <w:sz w:val="22"/>
          <w:szCs w:val="22"/>
        </w:rPr>
        <w:t>La economía circular en la minería peruana</w:t>
      </w:r>
      <w:r>
        <w:rPr>
          <w:rFonts w:ascii="Arial" w:eastAsia="Arial" w:hAnsi="Arial" w:cs="Arial"/>
          <w:sz w:val="22"/>
          <w:szCs w:val="22"/>
        </w:rPr>
        <w:t>. Comisión Económica para América Latina y el Caribe (CEPAL).</w:t>
      </w:r>
    </w:p>
    <w:p w14:paraId="3C6DE5F7" w14:textId="77777777" w:rsidR="00930170" w:rsidRDefault="00930170">
      <w:pPr>
        <w:widowControl w:val="0"/>
        <w:jc w:val="both"/>
        <w:rPr>
          <w:rFonts w:ascii="Arial" w:eastAsia="Arial" w:hAnsi="Arial" w:cs="Arial"/>
          <w:sz w:val="22"/>
          <w:szCs w:val="22"/>
        </w:rPr>
      </w:pPr>
    </w:p>
    <w:p w14:paraId="5F1C006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Laudal, T. (2018). Measuring shared value in multinational corporations. </w:t>
      </w:r>
      <w:r>
        <w:rPr>
          <w:rFonts w:ascii="Arial" w:eastAsia="Arial" w:hAnsi="Arial" w:cs="Arial"/>
          <w:i/>
          <w:sz w:val="22"/>
          <w:szCs w:val="22"/>
        </w:rPr>
        <w:t>Social Responsibility Journal</w:t>
      </w:r>
      <w:r>
        <w:rPr>
          <w:rFonts w:ascii="Arial" w:eastAsia="Arial" w:hAnsi="Arial" w:cs="Arial"/>
          <w:sz w:val="22"/>
          <w:szCs w:val="22"/>
        </w:rPr>
        <w:t xml:space="preserve">, 14(4), 917-933. </w:t>
      </w:r>
      <w:hyperlink r:id="rId31">
        <w:r>
          <w:rPr>
            <w:rFonts w:ascii="Arial" w:eastAsia="Arial" w:hAnsi="Arial" w:cs="Arial"/>
            <w:color w:val="0000FF"/>
            <w:sz w:val="22"/>
            <w:szCs w:val="22"/>
            <w:u w:val="single"/>
          </w:rPr>
          <w:t>https://doi.org/10.1108/SRJ-08-2017-0169</w:t>
        </w:r>
      </w:hyperlink>
    </w:p>
    <w:p w14:paraId="50488127" w14:textId="77777777" w:rsidR="00930170" w:rsidRDefault="00930170">
      <w:pPr>
        <w:widowControl w:val="0"/>
        <w:jc w:val="both"/>
        <w:rPr>
          <w:rFonts w:ascii="Arial" w:eastAsia="Arial" w:hAnsi="Arial" w:cs="Arial"/>
          <w:sz w:val="22"/>
          <w:szCs w:val="22"/>
        </w:rPr>
      </w:pPr>
    </w:p>
    <w:p w14:paraId="088F9A2D"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Ludeke-Freund, F., Massa, L., Bocken, N., Brent, </w:t>
      </w:r>
      <w:r>
        <w:rPr>
          <w:rFonts w:ascii="Arial" w:eastAsia="Arial" w:hAnsi="Arial" w:cs="Arial"/>
          <w:sz w:val="22"/>
          <w:szCs w:val="22"/>
        </w:rPr>
        <w:t xml:space="preserve">A., &amp; Musando, J. (2016). </w:t>
      </w:r>
      <w:r>
        <w:rPr>
          <w:rFonts w:ascii="Arial" w:eastAsia="Arial" w:hAnsi="Arial" w:cs="Arial"/>
          <w:i/>
          <w:sz w:val="22"/>
          <w:szCs w:val="22"/>
        </w:rPr>
        <w:t>Business Models for shared value: Main report</w:t>
      </w:r>
      <w:r>
        <w:rPr>
          <w:rFonts w:ascii="Arial" w:eastAsia="Arial" w:hAnsi="Arial" w:cs="Arial"/>
          <w:sz w:val="22"/>
          <w:szCs w:val="22"/>
        </w:rPr>
        <w:t>. Network for Business Sustainability.</w:t>
      </w:r>
    </w:p>
    <w:p w14:paraId="081A5E22" w14:textId="77777777" w:rsidR="00930170" w:rsidRDefault="00930170">
      <w:pPr>
        <w:widowControl w:val="0"/>
        <w:jc w:val="both"/>
        <w:rPr>
          <w:rFonts w:ascii="Arial" w:eastAsia="Arial" w:hAnsi="Arial" w:cs="Arial"/>
          <w:sz w:val="22"/>
          <w:szCs w:val="22"/>
        </w:rPr>
      </w:pPr>
    </w:p>
    <w:p w14:paraId="7699F12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Ministerio de Energía y Minas. (2022). </w:t>
      </w:r>
      <w:r>
        <w:rPr>
          <w:rFonts w:ascii="Arial" w:eastAsia="Arial" w:hAnsi="Arial" w:cs="Arial"/>
          <w:i/>
          <w:sz w:val="22"/>
          <w:szCs w:val="22"/>
        </w:rPr>
        <w:t>Anuario Minero 2022</w:t>
      </w:r>
      <w:r>
        <w:rPr>
          <w:rFonts w:ascii="Arial" w:eastAsia="Arial" w:hAnsi="Arial" w:cs="Arial"/>
          <w:sz w:val="22"/>
          <w:szCs w:val="22"/>
        </w:rPr>
        <w:t>. MINEM.</w:t>
      </w:r>
    </w:p>
    <w:p w14:paraId="0AC544DB" w14:textId="77777777" w:rsidR="00930170" w:rsidRDefault="00930170">
      <w:pPr>
        <w:widowControl w:val="0"/>
        <w:jc w:val="both"/>
        <w:rPr>
          <w:rFonts w:ascii="Arial" w:eastAsia="Arial" w:hAnsi="Arial" w:cs="Arial"/>
          <w:sz w:val="22"/>
          <w:szCs w:val="22"/>
        </w:rPr>
      </w:pPr>
    </w:p>
    <w:p w14:paraId="4CEF376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Moore, T., &amp; Mirzaei, A. (2016). The Impact of the Global Financial Crisis on Industry Growth. </w:t>
      </w:r>
      <w:r>
        <w:rPr>
          <w:rFonts w:ascii="Arial" w:eastAsia="Arial" w:hAnsi="Arial" w:cs="Arial"/>
          <w:i/>
          <w:sz w:val="22"/>
          <w:szCs w:val="22"/>
        </w:rPr>
        <w:t>The Manchester School</w:t>
      </w:r>
      <w:r>
        <w:rPr>
          <w:rFonts w:ascii="Arial" w:eastAsia="Arial" w:hAnsi="Arial" w:cs="Arial"/>
          <w:sz w:val="22"/>
          <w:szCs w:val="22"/>
        </w:rPr>
        <w:t xml:space="preserve">, 84(2), 159-180. </w:t>
      </w:r>
      <w:hyperlink r:id="rId32">
        <w:r>
          <w:rPr>
            <w:rFonts w:ascii="Arial" w:eastAsia="Arial" w:hAnsi="Arial" w:cs="Arial"/>
            <w:color w:val="0000FF"/>
            <w:sz w:val="22"/>
            <w:szCs w:val="22"/>
            <w:u w:val="single"/>
          </w:rPr>
          <w:t>https://doi.org/10.1111/manc.12090</w:t>
        </w:r>
      </w:hyperlink>
    </w:p>
    <w:p w14:paraId="102CA2CA" w14:textId="77777777" w:rsidR="00930170" w:rsidRDefault="00930170">
      <w:pPr>
        <w:widowControl w:val="0"/>
        <w:jc w:val="both"/>
        <w:rPr>
          <w:rFonts w:ascii="Arial" w:eastAsia="Arial" w:hAnsi="Arial" w:cs="Arial"/>
          <w:sz w:val="22"/>
          <w:szCs w:val="22"/>
        </w:rPr>
      </w:pPr>
    </w:p>
    <w:p w14:paraId="1B6DE059"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Nashchekina, O., Nwafor, F., &amp; Tymoshenkov, I. (2020). Aligning the Interests of Business and Society: Shared Value, Integrated Value, And Corporate Social Responsibility. </w:t>
      </w:r>
      <w:r>
        <w:rPr>
          <w:rFonts w:ascii="Arial" w:eastAsia="Arial" w:hAnsi="Arial" w:cs="Arial"/>
          <w:i/>
          <w:sz w:val="22"/>
          <w:szCs w:val="22"/>
        </w:rPr>
        <w:t>Bìznes Inform</w:t>
      </w:r>
      <w:r>
        <w:rPr>
          <w:rFonts w:ascii="Arial" w:eastAsia="Arial" w:hAnsi="Arial" w:cs="Arial"/>
          <w:sz w:val="22"/>
          <w:szCs w:val="22"/>
        </w:rPr>
        <w:t xml:space="preserve">, 10(513), 349-361. </w:t>
      </w:r>
      <w:hyperlink r:id="rId33">
        <w:r>
          <w:rPr>
            <w:rFonts w:ascii="Arial" w:eastAsia="Arial" w:hAnsi="Arial" w:cs="Arial"/>
            <w:color w:val="0000FF"/>
            <w:sz w:val="22"/>
            <w:szCs w:val="22"/>
            <w:u w:val="single"/>
          </w:rPr>
          <w:t>https://doi.org/10.32983/2222-4459-2020-10-349-361</w:t>
        </w:r>
      </w:hyperlink>
    </w:p>
    <w:p w14:paraId="61447C50" w14:textId="77777777" w:rsidR="00930170" w:rsidRDefault="00930170">
      <w:pPr>
        <w:widowControl w:val="0"/>
        <w:jc w:val="both"/>
        <w:rPr>
          <w:rFonts w:ascii="Arial" w:eastAsia="Arial" w:hAnsi="Arial" w:cs="Arial"/>
          <w:sz w:val="22"/>
          <w:szCs w:val="22"/>
        </w:rPr>
      </w:pPr>
    </w:p>
    <w:p w14:paraId="1B61FBEE"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Navarrete, J., Montoya, L., &amp; Montoya, I. (2009). Clústeres como un modelo en el desarrollo de los negocios electrónicos. </w:t>
      </w:r>
      <w:r>
        <w:rPr>
          <w:rFonts w:ascii="Arial" w:eastAsia="Arial" w:hAnsi="Arial" w:cs="Arial"/>
          <w:i/>
          <w:sz w:val="22"/>
          <w:szCs w:val="22"/>
        </w:rPr>
        <w:t>INNOVAR Revista de Ciencias Administrativas y Sociales</w:t>
      </w:r>
      <w:r>
        <w:rPr>
          <w:rFonts w:ascii="Arial" w:eastAsia="Arial" w:hAnsi="Arial" w:cs="Arial"/>
          <w:sz w:val="22"/>
          <w:szCs w:val="22"/>
        </w:rPr>
        <w:t>, 19(34), 35-52.</w:t>
      </w:r>
    </w:p>
    <w:p w14:paraId="190A9E6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Observatorio de Conflictos Mineros de América Latina. (2022). </w:t>
      </w:r>
      <w:r>
        <w:rPr>
          <w:rFonts w:ascii="Arial" w:eastAsia="Arial" w:hAnsi="Arial" w:cs="Arial"/>
          <w:i/>
          <w:sz w:val="22"/>
          <w:szCs w:val="22"/>
        </w:rPr>
        <w:t>Conflictos Mineros en Perú</w:t>
      </w:r>
      <w:r>
        <w:rPr>
          <w:rFonts w:ascii="Arial" w:eastAsia="Arial" w:hAnsi="Arial" w:cs="Arial"/>
          <w:sz w:val="22"/>
          <w:szCs w:val="22"/>
        </w:rPr>
        <w:t xml:space="preserve">. </w:t>
      </w:r>
      <w:hyperlink r:id="rId34">
        <w:r>
          <w:rPr>
            <w:rFonts w:ascii="Arial" w:eastAsia="Arial" w:hAnsi="Arial" w:cs="Arial"/>
            <w:color w:val="0000FF"/>
            <w:sz w:val="22"/>
            <w:szCs w:val="22"/>
            <w:u w:val="single"/>
          </w:rPr>
          <w:t>https://mapa.conflictosmineros.net/ocmal_db-v2/conflicto/lista/02034800</w:t>
        </w:r>
      </w:hyperlink>
    </w:p>
    <w:p w14:paraId="476B66BA" w14:textId="77777777" w:rsidR="00930170" w:rsidRDefault="00930170">
      <w:pPr>
        <w:widowControl w:val="0"/>
        <w:jc w:val="both"/>
        <w:rPr>
          <w:rFonts w:ascii="Arial" w:eastAsia="Arial" w:hAnsi="Arial" w:cs="Arial"/>
          <w:sz w:val="22"/>
          <w:szCs w:val="22"/>
        </w:rPr>
      </w:pPr>
    </w:p>
    <w:p w14:paraId="7E50C5D5"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Porter, M., &amp; Kramer, M. (2011). Creating Shared Value. </w:t>
      </w:r>
      <w:r>
        <w:rPr>
          <w:rFonts w:ascii="Arial" w:eastAsia="Arial" w:hAnsi="Arial" w:cs="Arial"/>
          <w:i/>
          <w:sz w:val="22"/>
          <w:szCs w:val="22"/>
        </w:rPr>
        <w:t>Harvard Business Review</w:t>
      </w:r>
      <w:r>
        <w:rPr>
          <w:rFonts w:ascii="Arial" w:eastAsia="Arial" w:hAnsi="Arial" w:cs="Arial"/>
          <w:sz w:val="22"/>
          <w:szCs w:val="22"/>
        </w:rPr>
        <w:t>, 89(1-2), 62-77.</w:t>
      </w:r>
    </w:p>
    <w:p w14:paraId="7BC27B8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Porter, M., Hills, G., Pfitzer, M., Patscheke, S., &amp; Hawkins, E. (2012). </w:t>
      </w:r>
      <w:r>
        <w:rPr>
          <w:rFonts w:ascii="Arial" w:eastAsia="Arial" w:hAnsi="Arial" w:cs="Arial"/>
          <w:i/>
          <w:sz w:val="22"/>
          <w:szCs w:val="22"/>
        </w:rPr>
        <w:t>Measuring Shared Value: How to unlock Value by linking social and Business Results</w:t>
      </w:r>
      <w:r>
        <w:rPr>
          <w:rFonts w:ascii="Arial" w:eastAsia="Arial" w:hAnsi="Arial" w:cs="Arial"/>
          <w:sz w:val="22"/>
          <w:szCs w:val="22"/>
        </w:rPr>
        <w:t>. FSG.</w:t>
      </w:r>
    </w:p>
    <w:p w14:paraId="6F09F3AF" w14:textId="77777777" w:rsidR="00930170" w:rsidRDefault="00930170">
      <w:pPr>
        <w:widowControl w:val="0"/>
        <w:jc w:val="both"/>
        <w:rPr>
          <w:rFonts w:ascii="Arial" w:eastAsia="Arial" w:hAnsi="Arial" w:cs="Arial"/>
          <w:sz w:val="22"/>
          <w:szCs w:val="22"/>
        </w:rPr>
      </w:pPr>
    </w:p>
    <w:p w14:paraId="6BD6745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Purba, A., Sukoharsono, E., &amp; Hariadi, B. (2020). Meaningful practice creating shared value as a contribute to sustainable development goals. </w:t>
      </w:r>
      <w:r>
        <w:rPr>
          <w:rFonts w:ascii="Arial" w:eastAsia="Arial" w:hAnsi="Arial" w:cs="Arial"/>
          <w:i/>
          <w:sz w:val="22"/>
          <w:szCs w:val="22"/>
        </w:rPr>
        <w:t>International Journal of Research in Business and Social Science</w:t>
      </w:r>
      <w:r>
        <w:rPr>
          <w:rFonts w:ascii="Arial" w:eastAsia="Arial" w:hAnsi="Arial" w:cs="Arial"/>
          <w:sz w:val="22"/>
          <w:szCs w:val="22"/>
        </w:rPr>
        <w:t xml:space="preserve">, 9(7), 222-232. </w:t>
      </w:r>
      <w:hyperlink r:id="rId35">
        <w:r>
          <w:rPr>
            <w:rFonts w:ascii="Arial" w:eastAsia="Arial" w:hAnsi="Arial" w:cs="Arial"/>
            <w:color w:val="0000FF"/>
            <w:sz w:val="22"/>
            <w:szCs w:val="22"/>
            <w:u w:val="single"/>
          </w:rPr>
          <w:t>https://doi.org/10.20525/ijrbs.v9i7.934</w:t>
        </w:r>
      </w:hyperlink>
    </w:p>
    <w:p w14:paraId="1D39F983" w14:textId="77777777" w:rsidR="00930170" w:rsidRDefault="00930170">
      <w:pPr>
        <w:widowControl w:val="0"/>
        <w:jc w:val="both"/>
        <w:rPr>
          <w:rFonts w:ascii="Arial" w:eastAsia="Arial" w:hAnsi="Arial" w:cs="Arial"/>
          <w:sz w:val="22"/>
          <w:szCs w:val="22"/>
        </w:rPr>
      </w:pPr>
    </w:p>
    <w:p w14:paraId="5425CA37"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Rosenfeld, S. (1997). Bringing Business Clusters Into the Mainstream of Economic Development. </w:t>
      </w:r>
      <w:r>
        <w:rPr>
          <w:rFonts w:ascii="Arial" w:eastAsia="Arial" w:hAnsi="Arial" w:cs="Arial"/>
          <w:i/>
          <w:sz w:val="22"/>
          <w:szCs w:val="22"/>
        </w:rPr>
        <w:t>European Planning Studies</w:t>
      </w:r>
      <w:r>
        <w:rPr>
          <w:rFonts w:ascii="Arial" w:eastAsia="Arial" w:hAnsi="Arial" w:cs="Arial"/>
          <w:sz w:val="22"/>
          <w:szCs w:val="22"/>
        </w:rPr>
        <w:t>, 5(1), 3-23.</w:t>
      </w:r>
    </w:p>
    <w:p w14:paraId="48CB7F97" w14:textId="77777777" w:rsidR="00930170" w:rsidRDefault="00930170">
      <w:pPr>
        <w:widowControl w:val="0"/>
        <w:jc w:val="both"/>
        <w:rPr>
          <w:rFonts w:ascii="Arial" w:eastAsia="Arial" w:hAnsi="Arial" w:cs="Arial"/>
          <w:sz w:val="22"/>
          <w:szCs w:val="22"/>
        </w:rPr>
      </w:pPr>
    </w:p>
    <w:p w14:paraId="41EA9501"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Sáenz, C. (2018). The context in mining projects influences the corporate social responsibility strategy to earn a social licence to operate: A case study in Peru. </w:t>
      </w:r>
      <w:r>
        <w:rPr>
          <w:rFonts w:ascii="Arial" w:eastAsia="Arial" w:hAnsi="Arial" w:cs="Arial"/>
          <w:i/>
          <w:sz w:val="22"/>
          <w:szCs w:val="22"/>
        </w:rPr>
        <w:t>Corporate Social Responsibility and Environmental Management</w:t>
      </w:r>
      <w:r>
        <w:rPr>
          <w:rFonts w:ascii="Arial" w:eastAsia="Arial" w:hAnsi="Arial" w:cs="Arial"/>
          <w:sz w:val="22"/>
          <w:szCs w:val="22"/>
        </w:rPr>
        <w:t xml:space="preserve">, 25(4), 554-564. </w:t>
      </w:r>
      <w:hyperlink r:id="rId36">
        <w:r>
          <w:rPr>
            <w:rFonts w:ascii="Arial" w:eastAsia="Arial" w:hAnsi="Arial" w:cs="Arial"/>
            <w:color w:val="0000FF"/>
            <w:sz w:val="22"/>
            <w:szCs w:val="22"/>
            <w:u w:val="single"/>
          </w:rPr>
          <w:t>https://doi.org/10.1002/csr.1478</w:t>
        </w:r>
      </w:hyperlink>
    </w:p>
    <w:p w14:paraId="5F631656" w14:textId="77777777" w:rsidR="00930170" w:rsidRDefault="00930170">
      <w:pPr>
        <w:widowControl w:val="0"/>
        <w:jc w:val="both"/>
        <w:rPr>
          <w:rFonts w:ascii="Arial" w:eastAsia="Arial" w:hAnsi="Arial" w:cs="Arial"/>
          <w:sz w:val="22"/>
          <w:szCs w:val="22"/>
        </w:rPr>
      </w:pPr>
    </w:p>
    <w:p w14:paraId="775CCC50"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Sáenz, C. (2019). Creating shared value using materiality analysis: Strategies from the mining industry. </w:t>
      </w:r>
      <w:r>
        <w:rPr>
          <w:rFonts w:ascii="Arial" w:eastAsia="Arial" w:hAnsi="Arial" w:cs="Arial"/>
          <w:i/>
          <w:sz w:val="22"/>
          <w:szCs w:val="22"/>
        </w:rPr>
        <w:t>Corporate Social Responsibility and Environmental Management</w:t>
      </w:r>
      <w:r>
        <w:rPr>
          <w:rFonts w:ascii="Arial" w:eastAsia="Arial" w:hAnsi="Arial" w:cs="Arial"/>
          <w:sz w:val="22"/>
          <w:szCs w:val="22"/>
        </w:rPr>
        <w:t xml:space="preserve">, 26(6), 1351-1360. </w:t>
      </w:r>
      <w:hyperlink r:id="rId37">
        <w:r>
          <w:rPr>
            <w:rFonts w:ascii="Arial" w:eastAsia="Arial" w:hAnsi="Arial" w:cs="Arial"/>
            <w:color w:val="0000FF"/>
            <w:sz w:val="22"/>
            <w:szCs w:val="22"/>
            <w:u w:val="single"/>
          </w:rPr>
          <w:t>https://doi.org/10.1002/csr.1751</w:t>
        </w:r>
      </w:hyperlink>
    </w:p>
    <w:p w14:paraId="3E17088E" w14:textId="77777777" w:rsidR="00930170" w:rsidRDefault="00930170">
      <w:pPr>
        <w:widowControl w:val="0"/>
        <w:jc w:val="both"/>
        <w:rPr>
          <w:rFonts w:ascii="Arial" w:eastAsia="Arial" w:hAnsi="Arial" w:cs="Arial"/>
          <w:sz w:val="22"/>
          <w:szCs w:val="22"/>
        </w:rPr>
      </w:pPr>
    </w:p>
    <w:p w14:paraId="14B01438"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Saxenian, A. (1994). </w:t>
      </w:r>
      <w:r>
        <w:rPr>
          <w:rFonts w:ascii="Arial" w:eastAsia="Arial" w:hAnsi="Arial" w:cs="Arial"/>
          <w:i/>
          <w:sz w:val="22"/>
          <w:szCs w:val="22"/>
        </w:rPr>
        <w:t>Regional Advantage: Culture and Competition in Silicon Valley and Route 128</w:t>
      </w:r>
      <w:r>
        <w:rPr>
          <w:rFonts w:ascii="Arial" w:eastAsia="Arial" w:hAnsi="Arial" w:cs="Arial"/>
          <w:sz w:val="22"/>
          <w:szCs w:val="22"/>
        </w:rPr>
        <w:t>. Harvard University Press.</w:t>
      </w:r>
    </w:p>
    <w:p w14:paraId="420459A6" w14:textId="77777777" w:rsidR="00930170" w:rsidRDefault="00930170">
      <w:pPr>
        <w:widowControl w:val="0"/>
        <w:jc w:val="both"/>
        <w:rPr>
          <w:rFonts w:ascii="Arial" w:eastAsia="Arial" w:hAnsi="Arial" w:cs="Arial"/>
          <w:sz w:val="22"/>
          <w:szCs w:val="22"/>
        </w:rPr>
      </w:pPr>
    </w:p>
    <w:p w14:paraId="3BEFFCB6"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Smith, J., Bradford, J., &amp; Gallegos, A. (2023). The global crux of the energy transition: Making sure everyone benefits from the coming mining boom. </w:t>
      </w:r>
      <w:r>
        <w:rPr>
          <w:rFonts w:ascii="Arial" w:eastAsia="Arial" w:hAnsi="Arial" w:cs="Arial"/>
          <w:i/>
          <w:sz w:val="22"/>
          <w:szCs w:val="22"/>
        </w:rPr>
        <w:t>Real Clear Energy</w:t>
      </w:r>
      <w:r>
        <w:rPr>
          <w:rFonts w:ascii="Arial" w:eastAsia="Arial" w:hAnsi="Arial" w:cs="Arial"/>
          <w:sz w:val="22"/>
          <w:szCs w:val="22"/>
        </w:rPr>
        <w:t xml:space="preserve">. </w:t>
      </w:r>
      <w:hyperlink r:id="rId38">
        <w:r>
          <w:rPr>
            <w:rFonts w:ascii="Arial" w:eastAsia="Arial" w:hAnsi="Arial" w:cs="Arial"/>
            <w:color w:val="0000FF"/>
            <w:sz w:val="22"/>
            <w:szCs w:val="22"/>
            <w:u w:val="single"/>
          </w:rPr>
          <w:t>https://www.realclearenergy.org/articles/2023/02/19/the_global_crux_of_the_energy_transition_making_sure_everyone_benefits_from_the_coming_mining_boom_882436.html</w:t>
        </w:r>
      </w:hyperlink>
    </w:p>
    <w:p w14:paraId="00BEAFEE" w14:textId="77777777" w:rsidR="00930170" w:rsidRDefault="00930170">
      <w:pPr>
        <w:widowControl w:val="0"/>
        <w:jc w:val="both"/>
        <w:rPr>
          <w:rFonts w:ascii="Arial" w:eastAsia="Arial" w:hAnsi="Arial" w:cs="Arial"/>
          <w:sz w:val="22"/>
          <w:szCs w:val="22"/>
        </w:rPr>
      </w:pPr>
    </w:p>
    <w:p w14:paraId="2E7000D3"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Wieland, J. (2017). </w:t>
      </w:r>
      <w:r>
        <w:rPr>
          <w:rFonts w:ascii="Arial" w:eastAsia="Arial" w:hAnsi="Arial" w:cs="Arial"/>
          <w:i/>
          <w:sz w:val="22"/>
          <w:szCs w:val="22"/>
        </w:rPr>
        <w:t xml:space="preserve">Creating Shared Value – </w:t>
      </w:r>
      <w:r>
        <w:rPr>
          <w:rFonts w:ascii="Arial" w:eastAsia="Arial" w:hAnsi="Arial" w:cs="Arial"/>
          <w:i/>
          <w:sz w:val="22"/>
          <w:szCs w:val="22"/>
        </w:rPr>
        <w:t>Concepts, Experience, Criticism</w:t>
      </w:r>
      <w:r>
        <w:rPr>
          <w:rFonts w:ascii="Arial" w:eastAsia="Arial" w:hAnsi="Arial" w:cs="Arial"/>
          <w:sz w:val="22"/>
          <w:szCs w:val="22"/>
        </w:rPr>
        <w:t>. Springer.</w:t>
      </w:r>
    </w:p>
    <w:p w14:paraId="19DC5D72"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Yapo, A. G., &amp; Camm, T. W. (2017). </w:t>
      </w:r>
      <w:r>
        <w:rPr>
          <w:rFonts w:ascii="Arial" w:eastAsia="Arial" w:hAnsi="Arial" w:cs="Arial"/>
          <w:i/>
          <w:sz w:val="22"/>
          <w:szCs w:val="22"/>
        </w:rPr>
        <w:t>All-In Sustaining Cost Analysis: Pros and Cons</w:t>
      </w:r>
      <w:r>
        <w:rPr>
          <w:rFonts w:ascii="Arial" w:eastAsia="Arial" w:hAnsi="Arial" w:cs="Arial"/>
          <w:sz w:val="22"/>
          <w:szCs w:val="22"/>
        </w:rPr>
        <w:t>. Montana Tech Digital Commons.</w:t>
      </w:r>
    </w:p>
    <w:p w14:paraId="35F9A5A2" w14:textId="77777777" w:rsidR="00930170" w:rsidRDefault="00930170">
      <w:pPr>
        <w:widowControl w:val="0"/>
        <w:jc w:val="both"/>
        <w:rPr>
          <w:rFonts w:ascii="Arial" w:eastAsia="Arial" w:hAnsi="Arial" w:cs="Arial"/>
          <w:sz w:val="22"/>
          <w:szCs w:val="22"/>
        </w:rPr>
      </w:pPr>
    </w:p>
    <w:p w14:paraId="4554176C" w14:textId="77777777" w:rsidR="00930170" w:rsidRDefault="00000000">
      <w:pPr>
        <w:widowControl w:val="0"/>
        <w:jc w:val="both"/>
        <w:rPr>
          <w:rFonts w:ascii="Arial" w:eastAsia="Arial" w:hAnsi="Arial" w:cs="Arial"/>
          <w:sz w:val="22"/>
          <w:szCs w:val="22"/>
        </w:rPr>
      </w:pPr>
      <w:r>
        <w:rPr>
          <w:rFonts w:ascii="Arial" w:eastAsia="Arial" w:hAnsi="Arial" w:cs="Arial"/>
          <w:sz w:val="22"/>
          <w:szCs w:val="22"/>
        </w:rPr>
        <w:t xml:space="preserve">Yeo, H.-J. (2018). Role of free cash flows in making investment and dividend decisions: The case of the shipping industry. </w:t>
      </w:r>
      <w:r>
        <w:rPr>
          <w:rFonts w:ascii="Arial" w:eastAsia="Arial" w:hAnsi="Arial" w:cs="Arial"/>
          <w:i/>
          <w:sz w:val="22"/>
          <w:szCs w:val="22"/>
        </w:rPr>
        <w:t>Asian Journal of Shipping and Logistics</w:t>
      </w:r>
      <w:r>
        <w:rPr>
          <w:rFonts w:ascii="Arial" w:eastAsia="Arial" w:hAnsi="Arial" w:cs="Arial"/>
          <w:sz w:val="22"/>
          <w:szCs w:val="22"/>
        </w:rPr>
        <w:t xml:space="preserve">, 34(2), 113-118. </w:t>
      </w:r>
      <w:hyperlink r:id="rId39">
        <w:r>
          <w:rPr>
            <w:rFonts w:ascii="Arial" w:eastAsia="Arial" w:hAnsi="Arial" w:cs="Arial"/>
            <w:color w:val="0000FF"/>
            <w:sz w:val="22"/>
            <w:szCs w:val="22"/>
            <w:u w:val="single"/>
          </w:rPr>
          <w:t>https://doi.org/10.1016/j.ajsl.2018.06.007</w:t>
        </w:r>
      </w:hyperlink>
    </w:p>
    <w:p w14:paraId="46136B0B" w14:textId="77777777" w:rsidR="00930170" w:rsidRDefault="00930170">
      <w:pPr>
        <w:widowControl w:val="0"/>
        <w:jc w:val="both"/>
        <w:rPr>
          <w:rFonts w:ascii="Arial" w:eastAsia="Arial" w:hAnsi="Arial" w:cs="Arial"/>
          <w:sz w:val="22"/>
          <w:szCs w:val="22"/>
        </w:rPr>
      </w:pPr>
    </w:p>
    <w:p w14:paraId="71FE528B" w14:textId="77777777" w:rsidR="00930170" w:rsidRDefault="00930170">
      <w:pPr>
        <w:ind w:left="142" w:hanging="142"/>
        <w:jc w:val="both"/>
        <w:rPr>
          <w:rFonts w:ascii="Arial" w:eastAsia="Arial" w:hAnsi="Arial" w:cs="Arial"/>
          <w:sz w:val="22"/>
          <w:szCs w:val="22"/>
        </w:rPr>
      </w:pPr>
    </w:p>
    <w:p w14:paraId="44B19EA0" w14:textId="77777777" w:rsidR="00930170" w:rsidRDefault="00930170">
      <w:pPr>
        <w:ind w:left="142" w:hanging="142"/>
        <w:jc w:val="both"/>
        <w:rPr>
          <w:rFonts w:ascii="Arial" w:eastAsia="Arial" w:hAnsi="Arial" w:cs="Arial"/>
          <w:sz w:val="22"/>
          <w:szCs w:val="22"/>
        </w:rPr>
      </w:pPr>
    </w:p>
    <w:p w14:paraId="6D1F2AFA" w14:textId="77777777" w:rsidR="00930170" w:rsidRDefault="00930170">
      <w:pPr>
        <w:ind w:left="142" w:hanging="142"/>
        <w:jc w:val="both"/>
        <w:rPr>
          <w:rFonts w:ascii="Arial" w:eastAsia="Arial" w:hAnsi="Arial" w:cs="Arial"/>
          <w:sz w:val="22"/>
          <w:szCs w:val="22"/>
        </w:rPr>
      </w:pPr>
    </w:p>
    <w:p w14:paraId="5FC0A444" w14:textId="77777777" w:rsidR="00930170" w:rsidRDefault="00930170">
      <w:pPr>
        <w:ind w:left="142" w:hanging="142"/>
        <w:jc w:val="both"/>
        <w:rPr>
          <w:rFonts w:ascii="Arial" w:eastAsia="Arial" w:hAnsi="Arial" w:cs="Arial"/>
          <w:sz w:val="22"/>
          <w:szCs w:val="22"/>
        </w:rPr>
        <w:sectPr w:rsidR="00930170">
          <w:type w:val="continuous"/>
          <w:pgSz w:w="11900" w:h="16840"/>
          <w:pgMar w:top="1134" w:right="680" w:bottom="964" w:left="851" w:header="680" w:footer="567" w:gutter="0"/>
          <w:cols w:num="2" w:space="720" w:equalWidth="0">
            <w:col w:w="4986" w:space="397"/>
            <w:col w:w="4986" w:space="0"/>
          </w:cols>
        </w:sectPr>
      </w:pPr>
    </w:p>
    <w:p w14:paraId="7C6AB0D2" w14:textId="77777777" w:rsidR="00930170" w:rsidRDefault="00930170">
      <w:pPr>
        <w:ind w:left="142" w:hanging="142"/>
        <w:jc w:val="both"/>
        <w:rPr>
          <w:rFonts w:ascii="Arial" w:eastAsia="Arial" w:hAnsi="Arial" w:cs="Arial"/>
          <w:b/>
          <w:sz w:val="22"/>
          <w:szCs w:val="22"/>
        </w:rPr>
      </w:pPr>
    </w:p>
    <w:p w14:paraId="240E6C9D" w14:textId="77777777" w:rsidR="00930170" w:rsidRDefault="00930170">
      <w:pPr>
        <w:ind w:left="142" w:hanging="142"/>
        <w:jc w:val="both"/>
        <w:rPr>
          <w:rFonts w:ascii="Arial" w:eastAsia="Arial" w:hAnsi="Arial" w:cs="Arial"/>
          <w:b/>
          <w:sz w:val="22"/>
          <w:szCs w:val="22"/>
        </w:rPr>
      </w:pPr>
    </w:p>
    <w:p w14:paraId="5869947B" w14:textId="77777777" w:rsidR="00930170" w:rsidRDefault="00930170">
      <w:pPr>
        <w:ind w:left="142" w:hanging="142"/>
        <w:jc w:val="both"/>
        <w:rPr>
          <w:rFonts w:ascii="Arial" w:eastAsia="Arial" w:hAnsi="Arial" w:cs="Arial"/>
          <w:b/>
          <w:sz w:val="22"/>
          <w:szCs w:val="22"/>
        </w:rPr>
      </w:pPr>
    </w:p>
    <w:p w14:paraId="65721D88" w14:textId="77777777" w:rsidR="00930170" w:rsidRDefault="00000000">
      <w:pPr>
        <w:jc w:val="both"/>
        <w:rPr>
          <w:rFonts w:ascii="Arial" w:eastAsia="Arial" w:hAnsi="Arial" w:cs="Arial"/>
          <w:b/>
          <w:sz w:val="22"/>
          <w:szCs w:val="22"/>
        </w:rPr>
      </w:pPr>
      <w:r>
        <w:br w:type="page"/>
      </w:r>
    </w:p>
    <w:p w14:paraId="65E3C4FE" w14:textId="77777777" w:rsidR="00930170" w:rsidRDefault="00000000">
      <w:pPr>
        <w:ind w:left="142" w:hanging="142"/>
        <w:jc w:val="both"/>
        <w:rPr>
          <w:rFonts w:ascii="Arial" w:eastAsia="Arial" w:hAnsi="Arial" w:cs="Arial"/>
          <w:b/>
          <w:sz w:val="22"/>
          <w:szCs w:val="22"/>
        </w:rPr>
      </w:pPr>
      <w:r>
        <w:rPr>
          <w:rFonts w:ascii="Arial" w:eastAsia="Arial" w:hAnsi="Arial" w:cs="Arial"/>
          <w:b/>
          <w:sz w:val="22"/>
          <w:szCs w:val="22"/>
        </w:rPr>
        <w:lastRenderedPageBreak/>
        <w:t>AUTORIZACIÓN DE PARTICIPACIÓN</w:t>
      </w:r>
    </w:p>
    <w:p w14:paraId="6E093543" w14:textId="77777777" w:rsidR="00930170" w:rsidRDefault="00930170">
      <w:pPr>
        <w:ind w:left="142" w:hanging="142"/>
        <w:jc w:val="both"/>
        <w:rPr>
          <w:rFonts w:ascii="Arial" w:eastAsia="Arial" w:hAnsi="Arial" w:cs="Arial"/>
          <w:sz w:val="22"/>
          <w:szCs w:val="22"/>
        </w:rPr>
      </w:pPr>
    </w:p>
    <w:p w14:paraId="724D483E" w14:textId="77777777" w:rsidR="00930170" w:rsidRDefault="00930170">
      <w:pPr>
        <w:ind w:left="142" w:hanging="142"/>
        <w:jc w:val="both"/>
        <w:rPr>
          <w:rFonts w:ascii="Arial" w:eastAsia="Arial" w:hAnsi="Arial" w:cs="Arial"/>
          <w:sz w:val="22"/>
          <w:szCs w:val="22"/>
        </w:rPr>
      </w:pPr>
    </w:p>
    <w:p w14:paraId="19D96AF0" w14:textId="77777777" w:rsidR="00930170" w:rsidRDefault="00930170">
      <w:pPr>
        <w:spacing w:line="480" w:lineRule="auto"/>
        <w:ind w:left="142" w:hanging="142"/>
        <w:jc w:val="both"/>
        <w:rPr>
          <w:rFonts w:ascii="Arial" w:eastAsia="Arial" w:hAnsi="Arial" w:cs="Arial"/>
          <w:sz w:val="22"/>
          <w:szCs w:val="22"/>
        </w:rPr>
      </w:pPr>
    </w:p>
    <w:p w14:paraId="44E828C4" w14:textId="77777777" w:rsidR="00930170" w:rsidRDefault="00000000">
      <w:pPr>
        <w:spacing w:line="480" w:lineRule="auto"/>
        <w:ind w:left="142" w:hanging="142"/>
        <w:jc w:val="both"/>
        <w:rPr>
          <w:rFonts w:ascii="Arial" w:eastAsia="Arial" w:hAnsi="Arial" w:cs="Arial"/>
          <w:sz w:val="22"/>
          <w:szCs w:val="22"/>
        </w:rPr>
      </w:pPr>
      <w:r>
        <w:rPr>
          <w:rFonts w:ascii="Arial" w:eastAsia="Arial" w:hAnsi="Arial" w:cs="Arial"/>
          <w:sz w:val="22"/>
          <w:szCs w:val="22"/>
        </w:rPr>
        <w:t xml:space="preserve">Yo </w:t>
      </w:r>
      <w:r>
        <w:rPr>
          <w:rFonts w:ascii="Arial" w:eastAsia="Arial" w:hAnsi="Arial" w:cs="Arial"/>
          <w:sz w:val="22"/>
          <w:szCs w:val="22"/>
          <w:u w:val="single"/>
        </w:rPr>
        <w:t>(Nombre completo), (cargo), (Nombre de la empresa o institución educativa)</w:t>
      </w:r>
      <w:r>
        <w:rPr>
          <w:rFonts w:ascii="Arial" w:eastAsia="Arial" w:hAnsi="Arial" w:cs="Arial"/>
          <w:sz w:val="22"/>
          <w:szCs w:val="22"/>
        </w:rPr>
        <w:t>; autorizo que el trabajo</w:t>
      </w:r>
    </w:p>
    <w:p w14:paraId="1970CE28" w14:textId="77777777" w:rsidR="00930170" w:rsidRDefault="00000000">
      <w:pPr>
        <w:spacing w:line="480" w:lineRule="auto"/>
        <w:jc w:val="both"/>
        <w:rPr>
          <w:rFonts w:ascii="Arial" w:eastAsia="Arial" w:hAnsi="Arial" w:cs="Arial"/>
          <w:sz w:val="22"/>
          <w:szCs w:val="22"/>
        </w:rPr>
      </w:pPr>
      <w:r>
        <w:rPr>
          <w:rFonts w:ascii="Arial" w:eastAsia="Arial" w:hAnsi="Arial" w:cs="Arial"/>
          <w:sz w:val="22"/>
          <w:szCs w:val="22"/>
        </w:rPr>
        <w:t xml:space="preserve">titulado “____________________” presentado por el autor </w:t>
      </w:r>
      <w:r>
        <w:rPr>
          <w:rFonts w:ascii="Arial" w:eastAsia="Arial" w:hAnsi="Arial" w:cs="Arial"/>
          <w:sz w:val="22"/>
          <w:szCs w:val="22"/>
          <w:u w:val="single"/>
        </w:rPr>
        <w:t>(nombre completo)</w:t>
      </w:r>
      <w:r>
        <w:rPr>
          <w:rFonts w:ascii="Arial" w:eastAsia="Arial" w:hAnsi="Arial" w:cs="Arial"/>
          <w:sz w:val="22"/>
          <w:szCs w:val="22"/>
        </w:rPr>
        <w:t xml:space="preserve"> y coautores </w:t>
      </w:r>
      <w:r>
        <w:rPr>
          <w:rFonts w:ascii="Arial" w:eastAsia="Arial" w:hAnsi="Arial" w:cs="Arial"/>
          <w:sz w:val="22"/>
          <w:szCs w:val="22"/>
          <w:u w:val="single"/>
        </w:rPr>
        <w:t>(nombres completos)</w:t>
      </w:r>
      <w:r>
        <w:rPr>
          <w:rFonts w:ascii="Arial" w:eastAsia="Arial" w:hAnsi="Arial" w:cs="Arial"/>
          <w:sz w:val="22"/>
          <w:szCs w:val="22"/>
        </w:rPr>
        <w:t xml:space="preserve"> sea presentado en el concurso del Premio Nacional de Minería del evento PERUMIN 37 Convención Minera en las fechas del 22 al 26 de setiembre del 2025 en la ciudad de Arequipa.</w:t>
      </w:r>
    </w:p>
    <w:p w14:paraId="17A19E0A" w14:textId="77777777" w:rsidR="00930170" w:rsidRDefault="00930170">
      <w:pPr>
        <w:spacing w:line="480" w:lineRule="auto"/>
        <w:ind w:left="142" w:hanging="142"/>
        <w:jc w:val="both"/>
        <w:rPr>
          <w:rFonts w:ascii="Arial" w:eastAsia="Arial" w:hAnsi="Arial" w:cs="Arial"/>
          <w:sz w:val="22"/>
          <w:szCs w:val="22"/>
        </w:rPr>
      </w:pPr>
    </w:p>
    <w:p w14:paraId="2E38A061" w14:textId="77777777" w:rsidR="00930170" w:rsidRDefault="00930170">
      <w:pPr>
        <w:spacing w:line="480" w:lineRule="auto"/>
        <w:ind w:left="142" w:hanging="142"/>
        <w:jc w:val="both"/>
        <w:rPr>
          <w:rFonts w:ascii="Arial" w:eastAsia="Arial" w:hAnsi="Arial" w:cs="Arial"/>
          <w:sz w:val="22"/>
          <w:szCs w:val="22"/>
        </w:rPr>
      </w:pPr>
    </w:p>
    <w:p w14:paraId="4D6D6C4C"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rPr>
        <w:t>___________</w:t>
      </w:r>
    </w:p>
    <w:p w14:paraId="79E08F40"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rPr>
        <w:t>Firma</w:t>
      </w:r>
    </w:p>
    <w:p w14:paraId="36E47CD1"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rPr>
        <w:t>DNI/Pasaporte</w:t>
      </w:r>
    </w:p>
    <w:p w14:paraId="76952D6C" w14:textId="77777777" w:rsidR="00930170" w:rsidRDefault="00000000">
      <w:pPr>
        <w:ind w:left="142" w:hanging="142"/>
        <w:jc w:val="both"/>
        <w:rPr>
          <w:rFonts w:ascii="Arial" w:eastAsia="Arial" w:hAnsi="Arial" w:cs="Arial"/>
          <w:sz w:val="22"/>
          <w:szCs w:val="22"/>
        </w:rPr>
      </w:pPr>
      <w:r>
        <w:rPr>
          <w:rFonts w:ascii="Arial" w:eastAsia="Arial" w:hAnsi="Arial" w:cs="Arial"/>
          <w:sz w:val="22"/>
          <w:szCs w:val="22"/>
        </w:rPr>
        <w:t>Fecha</w:t>
      </w:r>
    </w:p>
    <w:p w14:paraId="53FC7DB9" w14:textId="77777777" w:rsidR="00930170" w:rsidRDefault="00930170">
      <w:pPr>
        <w:spacing w:line="480" w:lineRule="auto"/>
        <w:ind w:left="142" w:hanging="142"/>
        <w:jc w:val="both"/>
        <w:rPr>
          <w:rFonts w:ascii="Arial" w:eastAsia="Arial" w:hAnsi="Arial" w:cs="Arial"/>
          <w:sz w:val="22"/>
          <w:szCs w:val="22"/>
        </w:rPr>
      </w:pPr>
    </w:p>
    <w:p w14:paraId="186FF4DB" w14:textId="77777777" w:rsidR="00930170" w:rsidRDefault="00000000">
      <w:pPr>
        <w:spacing w:line="480" w:lineRule="auto"/>
        <w:ind w:left="142" w:hanging="142"/>
        <w:jc w:val="both"/>
        <w:rPr>
          <w:rFonts w:ascii="Arial" w:eastAsia="Arial" w:hAnsi="Arial" w:cs="Arial"/>
          <w:sz w:val="22"/>
          <w:szCs w:val="22"/>
        </w:rPr>
      </w:pPr>
      <w:r>
        <w:rPr>
          <w:rFonts w:ascii="Arial" w:eastAsia="Arial" w:hAnsi="Arial" w:cs="Arial"/>
          <w:sz w:val="22"/>
          <w:szCs w:val="22"/>
        </w:rPr>
        <w:t xml:space="preserve">Nota: </w:t>
      </w:r>
    </w:p>
    <w:p w14:paraId="1A113673" w14:textId="77777777" w:rsidR="00930170" w:rsidRDefault="00000000">
      <w:pPr>
        <w:spacing w:line="480" w:lineRule="auto"/>
        <w:ind w:left="142" w:hanging="142"/>
        <w:jc w:val="both"/>
        <w:rPr>
          <w:rFonts w:ascii="Arial" w:eastAsia="Arial" w:hAnsi="Arial" w:cs="Arial"/>
          <w:sz w:val="22"/>
          <w:szCs w:val="22"/>
        </w:rPr>
      </w:pPr>
      <w:r>
        <w:rPr>
          <w:rFonts w:ascii="Arial" w:eastAsia="Arial" w:hAnsi="Arial" w:cs="Arial"/>
          <w:sz w:val="22"/>
          <w:szCs w:val="22"/>
        </w:rPr>
        <w:t>Esta autorización se entrega solo en el caso de que el participante se presente de manera independiente y</w:t>
      </w:r>
    </w:p>
    <w:p w14:paraId="216298CB" w14:textId="77777777" w:rsidR="00930170" w:rsidRDefault="00000000">
      <w:pPr>
        <w:spacing w:line="480" w:lineRule="auto"/>
        <w:ind w:left="142" w:hanging="142"/>
        <w:jc w:val="both"/>
        <w:rPr>
          <w:rFonts w:ascii="Arial" w:eastAsia="Arial" w:hAnsi="Arial" w:cs="Arial"/>
          <w:sz w:val="22"/>
          <w:szCs w:val="22"/>
        </w:rPr>
      </w:pPr>
      <w:r>
        <w:rPr>
          <w:rFonts w:ascii="Arial" w:eastAsia="Arial" w:hAnsi="Arial" w:cs="Arial"/>
          <w:sz w:val="22"/>
          <w:szCs w:val="22"/>
        </w:rPr>
        <w:t>el trabajo implique el desarrollo en el marco de una empresa o institución. La indicada autorización deberá</w:t>
      </w:r>
    </w:p>
    <w:p w14:paraId="5E8C745E" w14:textId="77777777" w:rsidR="00930170" w:rsidRDefault="00000000">
      <w:pPr>
        <w:spacing w:line="480" w:lineRule="auto"/>
        <w:ind w:left="142" w:hanging="142"/>
        <w:jc w:val="both"/>
        <w:rPr>
          <w:rFonts w:ascii="Arial" w:eastAsia="Arial" w:hAnsi="Arial" w:cs="Arial"/>
          <w:sz w:val="22"/>
          <w:szCs w:val="22"/>
        </w:rPr>
      </w:pPr>
      <w:r>
        <w:rPr>
          <w:rFonts w:ascii="Arial" w:eastAsia="Arial" w:hAnsi="Arial" w:cs="Arial"/>
          <w:sz w:val="22"/>
          <w:szCs w:val="22"/>
        </w:rPr>
        <w:t>ser entregada en hoja membretada.</w:t>
      </w:r>
    </w:p>
    <w:p w14:paraId="4D592512" w14:textId="77777777" w:rsidR="00930170" w:rsidRDefault="00930170">
      <w:pPr>
        <w:spacing w:line="480" w:lineRule="auto"/>
        <w:ind w:left="142" w:hanging="142"/>
        <w:jc w:val="both"/>
        <w:rPr>
          <w:rFonts w:ascii="Arial" w:eastAsia="Arial" w:hAnsi="Arial" w:cs="Arial"/>
          <w:sz w:val="22"/>
          <w:szCs w:val="22"/>
        </w:rPr>
      </w:pPr>
    </w:p>
    <w:p w14:paraId="6FF00518" w14:textId="77777777" w:rsidR="00930170" w:rsidRDefault="00930170">
      <w:pPr>
        <w:ind w:left="142" w:hanging="142"/>
        <w:jc w:val="both"/>
        <w:rPr>
          <w:rFonts w:ascii="Arial" w:eastAsia="Arial" w:hAnsi="Arial" w:cs="Arial"/>
          <w:sz w:val="22"/>
          <w:szCs w:val="22"/>
        </w:rPr>
      </w:pPr>
    </w:p>
    <w:p w14:paraId="66005696" w14:textId="77777777" w:rsidR="00930170" w:rsidRDefault="00930170">
      <w:pPr>
        <w:ind w:left="142" w:hanging="142"/>
        <w:jc w:val="both"/>
        <w:rPr>
          <w:rFonts w:ascii="Arial" w:eastAsia="Arial" w:hAnsi="Arial" w:cs="Arial"/>
          <w:sz w:val="22"/>
          <w:szCs w:val="22"/>
        </w:rPr>
      </w:pPr>
    </w:p>
    <w:sectPr w:rsidR="00930170">
      <w:type w:val="continuous"/>
      <w:pgSz w:w="11900" w:h="16840"/>
      <w:pgMar w:top="1134" w:right="680" w:bottom="964" w:left="851"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EA9B" w14:textId="77777777" w:rsidR="00EA031F" w:rsidRDefault="00EA031F">
      <w:r>
        <w:separator/>
      </w:r>
    </w:p>
  </w:endnote>
  <w:endnote w:type="continuationSeparator" w:id="0">
    <w:p w14:paraId="1711963A" w14:textId="77777777" w:rsidR="00EA031F" w:rsidRDefault="00EA0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DCD72AB-ECB2-4F51-AD60-905A2AF10956}"/>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2C21C1B-169C-48F9-9BFC-83B3A8AE9D2B}"/>
    <w:embedBold r:id="rId3" w:fontKey="{33B02C7E-1B20-4DE3-8F79-88BA3DF6E63E}"/>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4" w:fontKey="{0D68641B-0D1B-48C4-BBF5-A8DF85A350F7}"/>
  </w:font>
  <w:font w:name="Georgia">
    <w:panose1 w:val="02040502050405020303"/>
    <w:charset w:val="00"/>
    <w:family w:val="auto"/>
    <w:pitch w:val="default"/>
    <w:embedRegular r:id="rId5" w:fontKey="{237B9E64-BC02-485D-B4E1-9CE68896DFB3}"/>
    <w:embedItalic r:id="rId6" w:fontKey="{7F4DA8DF-0577-411A-961A-9EC8F95F1A53}"/>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7" w:subsetted="1" w:fontKey="{816BF162-7B83-4B6C-9F99-12FDDAF36846}"/>
  </w:font>
  <w:font w:name="Calibri">
    <w:panose1 w:val="020F0502020204030204"/>
    <w:charset w:val="00"/>
    <w:family w:val="swiss"/>
    <w:pitch w:val="variable"/>
    <w:sig w:usb0="E4002EFF" w:usb1="C200247B" w:usb2="00000009" w:usb3="00000000" w:csb0="000001FF" w:csb1="00000000"/>
    <w:embedRegular r:id="rId8" w:fontKey="{D8D5153A-B85D-4D3B-8602-CBF4039784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CC10" w14:textId="77777777" w:rsidR="00930170"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03A895C" w14:textId="77777777" w:rsidR="00930170" w:rsidRDefault="00930170">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13F3" w14:textId="77777777" w:rsidR="00EA031F" w:rsidRDefault="00EA031F">
      <w:r>
        <w:separator/>
      </w:r>
    </w:p>
  </w:footnote>
  <w:footnote w:type="continuationSeparator" w:id="0">
    <w:p w14:paraId="54726B28" w14:textId="77777777" w:rsidR="00EA031F" w:rsidRDefault="00EA0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1A62" w14:textId="77777777" w:rsidR="00930170" w:rsidRDefault="00000000">
    <w:pPr>
      <w:pBdr>
        <w:top w:val="nil"/>
        <w:left w:val="nil"/>
        <w:bottom w:val="nil"/>
        <w:right w:val="nil"/>
        <w:between w:val="nil"/>
      </w:pBdr>
      <w:tabs>
        <w:tab w:val="center" w:pos="4536"/>
        <w:tab w:val="right" w:pos="9072"/>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2B5125F" w14:textId="77777777" w:rsidR="00930170" w:rsidRDefault="00930170">
    <w:pPr>
      <w:pBdr>
        <w:top w:val="nil"/>
        <w:left w:val="nil"/>
        <w:bottom w:val="nil"/>
        <w:right w:val="nil"/>
        <w:between w:val="nil"/>
      </w:pBdr>
      <w:tabs>
        <w:tab w:val="center" w:pos="4536"/>
        <w:tab w:val="right" w:pos="9072"/>
      </w:tabs>
      <w:ind w:right="360" w:firstLine="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D802" w14:textId="77777777" w:rsidR="00930170" w:rsidRDefault="00930170">
    <w:pPr>
      <w:pBdr>
        <w:top w:val="nil"/>
        <w:left w:val="nil"/>
        <w:bottom w:val="nil"/>
        <w:right w:val="nil"/>
        <w:between w:val="nil"/>
      </w:pBdr>
      <w:tabs>
        <w:tab w:val="center" w:pos="4536"/>
        <w:tab w:val="right" w:pos="9072"/>
      </w:tabs>
      <w:ind w:right="360" w:firstLine="360"/>
      <w:jc w:val="center"/>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FF2C" w14:textId="77777777" w:rsidR="00930170" w:rsidRDefault="00000000">
    <w:pPr>
      <w:pBdr>
        <w:top w:val="nil"/>
        <w:left w:val="nil"/>
        <w:bottom w:val="nil"/>
        <w:right w:val="nil"/>
        <w:between w:val="nil"/>
      </w:pBdr>
      <w:tabs>
        <w:tab w:val="center" w:pos="4536"/>
        <w:tab w:val="right" w:pos="9072"/>
      </w:tabs>
      <w:ind w:right="360" w:firstLine="360"/>
      <w:jc w:val="center"/>
      <w:rPr>
        <w:color w:val="000000"/>
        <w:sz w:val="18"/>
        <w:szCs w:val="18"/>
      </w:rPr>
    </w:pPr>
    <w:r>
      <w:rPr>
        <w:color w:val="000000"/>
        <w:sz w:val="18"/>
        <w:szCs w:val="18"/>
      </w:rPr>
      <w:t>XVIII Congreso Peruano de Geología, p. xxx-xxx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3D2"/>
    <w:multiLevelType w:val="multilevel"/>
    <w:tmpl w:val="017EA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59C0018"/>
    <w:multiLevelType w:val="multilevel"/>
    <w:tmpl w:val="9498FB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63E1812"/>
    <w:multiLevelType w:val="multilevel"/>
    <w:tmpl w:val="3FEA8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9601956"/>
    <w:multiLevelType w:val="multilevel"/>
    <w:tmpl w:val="7E7CE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AD50275"/>
    <w:multiLevelType w:val="multilevel"/>
    <w:tmpl w:val="EAD48B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7A46B49"/>
    <w:multiLevelType w:val="multilevel"/>
    <w:tmpl w:val="1AD836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97D4EB1"/>
    <w:multiLevelType w:val="multilevel"/>
    <w:tmpl w:val="5C50DA42"/>
    <w:lvl w:ilvl="0">
      <w:start w:val="1"/>
      <w:numFmt w:val="decimal"/>
      <w:lvlText w:val="%1"/>
      <w:lvlJc w:val="left"/>
      <w:pPr>
        <w:ind w:left="372" w:hanging="372"/>
      </w:pPr>
    </w:lvl>
    <w:lvl w:ilvl="1">
      <w:start w:val="1"/>
      <w:numFmt w:val="decimal"/>
      <w:lvlText w:val="%1.%2"/>
      <w:lvlJc w:val="left"/>
      <w:pPr>
        <w:ind w:left="372" w:hanging="37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5F021C25"/>
    <w:multiLevelType w:val="multilevel"/>
    <w:tmpl w:val="F544E8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5A81BC2"/>
    <w:multiLevelType w:val="multilevel"/>
    <w:tmpl w:val="7B223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CDC4C35"/>
    <w:multiLevelType w:val="multilevel"/>
    <w:tmpl w:val="93FCC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26038955">
    <w:abstractNumId w:val="8"/>
  </w:num>
  <w:num w:numId="2" w16cid:durableId="1782214261">
    <w:abstractNumId w:val="1"/>
  </w:num>
  <w:num w:numId="3" w16cid:durableId="2038194166">
    <w:abstractNumId w:val="7"/>
  </w:num>
  <w:num w:numId="4" w16cid:durableId="522593372">
    <w:abstractNumId w:val="3"/>
  </w:num>
  <w:num w:numId="5" w16cid:durableId="719551046">
    <w:abstractNumId w:val="5"/>
  </w:num>
  <w:num w:numId="6" w16cid:durableId="862011659">
    <w:abstractNumId w:val="2"/>
  </w:num>
  <w:num w:numId="7" w16cid:durableId="1521121147">
    <w:abstractNumId w:val="9"/>
  </w:num>
  <w:num w:numId="8" w16cid:durableId="560869307">
    <w:abstractNumId w:val="4"/>
  </w:num>
  <w:num w:numId="9" w16cid:durableId="1620532320">
    <w:abstractNumId w:val="6"/>
  </w:num>
  <w:num w:numId="10" w16cid:durableId="26997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70"/>
    <w:rsid w:val="008333E1"/>
    <w:rsid w:val="00930170"/>
    <w:rsid w:val="009855CD"/>
    <w:rsid w:val="00EA03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CAD"/>
  <w15:docId w15:val="{AF3EC615-5515-492F-9A99-402EF21D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305023"/>
    <w:rPr>
      <w:color w:val="605E5C"/>
      <w:shd w:val="clear" w:color="auto" w:fill="E1DFDD"/>
    </w:rPr>
  </w:style>
  <w:style w:type="paragraph" w:styleId="Prrafodelista">
    <w:name w:val="List Paragraph"/>
    <w:basedOn w:val="Normal"/>
    <w:uiPriority w:val="34"/>
    <w:qFormat/>
    <w:rsid w:val="0061451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5" w:type="dxa"/>
        <w:left w:w="15" w:type="dxa"/>
        <w:bottom w:w="15" w:type="dxa"/>
        <w:right w:w="15" w:type="dxa"/>
      </w:tblCellMar>
    </w:tblPr>
  </w:style>
  <w:style w:type="table" w:customStyle="1" w:styleId="a0">
    <w:basedOn w:val="Tablanormal"/>
    <w:tblPr>
      <w:tblStyleRowBandSize w:val="1"/>
      <w:tblStyleColBandSize w:val="1"/>
      <w:tblCellMar>
        <w:top w:w="15" w:type="dxa"/>
        <w:left w:w="15" w:type="dxa"/>
        <w:bottom w:w="15" w:type="dxa"/>
        <w:right w:w="15" w:type="dxa"/>
      </w:tblCellMar>
    </w:tblPr>
  </w:style>
  <w:style w:type="table" w:customStyle="1" w:styleId="a1">
    <w:basedOn w:val="Tablanormal"/>
    <w:tblPr>
      <w:tblStyleRowBandSize w:val="1"/>
      <w:tblStyleColBandSize w:val="1"/>
      <w:tblCellMar>
        <w:top w:w="15" w:type="dxa"/>
        <w:left w:w="15" w:type="dxa"/>
        <w:bottom w:w="15" w:type="dxa"/>
        <w:right w:w="15" w:type="dxa"/>
      </w:tblCellMar>
    </w:tblPr>
  </w:style>
  <w:style w:type="table" w:customStyle="1" w:styleId="a2">
    <w:basedOn w:val="Tablanormal"/>
    <w:tblPr>
      <w:tblStyleRowBandSize w:val="1"/>
      <w:tblStyleColBandSize w:val="1"/>
      <w:tblCellMar>
        <w:top w:w="15" w:type="dxa"/>
        <w:left w:w="15" w:type="dxa"/>
        <w:bottom w:w="15" w:type="dxa"/>
        <w:right w:w="15" w:type="dxa"/>
      </w:tblCellMar>
    </w:tblPr>
  </w:style>
  <w:style w:type="table" w:customStyle="1" w:styleId="a3">
    <w:basedOn w:val="Tabla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doi.org/10.1016/j.resourpol.2019.101455" TargetMode="External"/><Relationship Id="rId39" Type="http://schemas.openxmlformats.org/officeDocument/2006/relationships/hyperlink" Target="https://doi.org/10.1016/j.ajsl.2018.06.007" TargetMode="External"/><Relationship Id="rId21" Type="http://schemas.openxmlformats.org/officeDocument/2006/relationships/hyperlink" Target="https://doi.org/10.1362/204440819X15633617555867" TargetMode="External"/><Relationship Id="rId34" Type="http://schemas.openxmlformats.org/officeDocument/2006/relationships/hyperlink" Target="https://mapa.conflictosmineros.net/ocmal_db-v2/conflicto/lista/020348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16/j.jclepro.2019.119587" TargetMode="External"/><Relationship Id="rId29" Type="http://schemas.openxmlformats.org/officeDocument/2006/relationships/hyperlink" Target="https://doi.org/10.1002/jsc.225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quirkyscience.com/important-differences-between-lime-and-limestone/" TargetMode="External"/><Relationship Id="rId32" Type="http://schemas.openxmlformats.org/officeDocument/2006/relationships/hyperlink" Target="https://doi.org/10.1111/manc.12090" TargetMode="External"/><Relationship Id="rId37" Type="http://schemas.openxmlformats.org/officeDocument/2006/relationships/hyperlink" Target="https://doi.org/10.1002/csr.175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47577/tssj.v10i1.1325" TargetMode="External"/><Relationship Id="rId28" Type="http://schemas.openxmlformats.org/officeDocument/2006/relationships/hyperlink" Target="https://doi.org/10.1051/e3sconf/202233600060" TargetMode="External"/><Relationship Id="rId36" Type="http://schemas.openxmlformats.org/officeDocument/2006/relationships/hyperlink" Target="https://doi.org/10.1002/csr.1478"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doi.org/10.1108/SRJ-08-2017-0169" TargetMode="External"/><Relationship Id="rId4" Type="http://schemas.openxmlformats.org/officeDocument/2006/relationships/settings" Target="settings.xml"/><Relationship Id="rId9" Type="http://schemas.openxmlformats.org/officeDocument/2006/relationships/hyperlink" Target="mailto:debora.torresch@gmail.com" TargetMode="External"/><Relationship Id="rId14" Type="http://schemas.openxmlformats.org/officeDocument/2006/relationships/image" Target="media/image1.png"/><Relationship Id="rId22" Type="http://schemas.openxmlformats.org/officeDocument/2006/relationships/hyperlink" Target="https://documentos.bancomundial.org/es/publication/documents-reports/documentdetail/410671468079729976/resumen-ejecutivo" TargetMode="External"/><Relationship Id="rId27" Type="http://schemas.openxmlformats.org/officeDocument/2006/relationships/hyperlink" Target="https://philpreston.com.au/wp-content/uploads/2018/09/sv-measurement-resource-hamilton-preston-may18-final.pdf" TargetMode="External"/><Relationship Id="rId30" Type="http://schemas.openxmlformats.org/officeDocument/2006/relationships/hyperlink" Target="https://doi.org/10.1002/csr.1635" TargetMode="External"/><Relationship Id="rId35" Type="http://schemas.openxmlformats.org/officeDocument/2006/relationships/hyperlink" Target="https://doi.org/10.20525/ijrbs.v9i7.934" TargetMode="External"/><Relationship Id="rId8" Type="http://schemas.openxmlformats.org/officeDocument/2006/relationships/hyperlink" Target="mailto:christa.qc@gmail.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assets.ey.com/content/dam/ey-sites/ey-com/es_cl/webcast/2021/12/ey-chile-business-risks-2022.pdf" TargetMode="External"/><Relationship Id="rId33" Type="http://schemas.openxmlformats.org/officeDocument/2006/relationships/hyperlink" Target="https://doi.org/10.32983/2222-4459-2020-10-349-361" TargetMode="External"/><Relationship Id="rId38" Type="http://schemas.openxmlformats.org/officeDocument/2006/relationships/hyperlink" Target="https://www.realclearenergy.org/articles/2023/02/19/the_global_crux_of_the_energy_transition_making_sure_everyone_benefits_from_the_coming_mining_boom_882436.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WZ9ZigiJRGtk5HDZ521LRyPgA==">CgMxLjAaHwoBMBIaChgICVIUChJ0YWJsZS43ZXFpbm01OGt0aTIaJAoBMRIfCh0IB0IZCgVBcmlhbBIQQXJpYWwgVW5pY29kZSBNUzgAciExeGQ3SVV2Y05FaTJubHZYQ1JiaXpBaHVWQ2V5bmU3cng=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4937</Words>
  <Characters>27158</Characters>
  <Application>Microsoft Office Word</Application>
  <DocSecurity>0</DocSecurity>
  <Lines>226</Lines>
  <Paragraphs>64</Paragraphs>
  <ScaleCrop>false</ScaleCrop>
  <Company>Compania de Minas Buenaventura S.A.A.</Company>
  <LinksUpToDate>false</LinksUpToDate>
  <CharactersWithSpaces>32031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Debora Torres</cp:lastModifiedBy>
  <cp:revision>2</cp:revision>
  <dcterms:created xsi:type="dcterms:W3CDTF">2025-05-26T20:35:00Z</dcterms:created>
  <dcterms:modified xsi:type="dcterms:W3CDTF">2025-07-15T14:10:00Z</dcterms:modified>
</cp:coreProperties>
</file>