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59BF" w14:textId="52AD58A3" w:rsidR="00AA640A" w:rsidRPr="004710BF" w:rsidRDefault="004710BF" w:rsidP="007E415F">
      <w:pPr>
        <w:spacing w:after="0" w:line="360" w:lineRule="auto"/>
        <w:rPr>
          <w:rFonts w:ascii="Arial" w:hAnsi="Arial" w:cs="Arial"/>
        </w:rPr>
      </w:pPr>
      <w:r w:rsidRPr="004710BF">
        <w:rPr>
          <w:rFonts w:ascii="Arial" w:hAnsi="Arial" w:cs="Arial"/>
        </w:rPr>
        <w:t xml:space="preserve">Título: </w:t>
      </w:r>
      <w:r w:rsidR="001E700E" w:rsidRPr="004710BF">
        <w:rPr>
          <w:rFonts w:ascii="Arial" w:hAnsi="Arial" w:cs="Arial"/>
        </w:rPr>
        <w:t xml:space="preserve">Desconfianza a </w:t>
      </w:r>
      <w:r w:rsidR="00393ACD" w:rsidRPr="004710BF">
        <w:rPr>
          <w:rFonts w:ascii="Arial" w:hAnsi="Arial" w:cs="Arial"/>
        </w:rPr>
        <w:t>transparencia:</w:t>
      </w:r>
      <w:r w:rsidR="001E700E" w:rsidRPr="004710BF">
        <w:rPr>
          <w:rFonts w:ascii="Arial" w:hAnsi="Arial" w:cs="Arial"/>
        </w:rPr>
        <w:t xml:space="preserve"> Reconstruyendo la legitimidad minera en el </w:t>
      </w:r>
      <w:r w:rsidR="00BD3E38" w:rsidRPr="004710BF">
        <w:rPr>
          <w:rFonts w:ascii="Arial" w:hAnsi="Arial" w:cs="Arial"/>
        </w:rPr>
        <w:t>Perú.</w:t>
      </w:r>
    </w:p>
    <w:p w14:paraId="3E370B42" w14:textId="332CF2AB" w:rsidR="004710BF" w:rsidRPr="004710BF" w:rsidRDefault="004710BF" w:rsidP="007E415F">
      <w:pPr>
        <w:spacing w:after="0" w:line="360" w:lineRule="auto"/>
        <w:rPr>
          <w:rFonts w:ascii="Arial" w:hAnsi="Arial" w:cs="Arial"/>
        </w:rPr>
      </w:pPr>
      <w:r w:rsidRPr="004710BF">
        <w:rPr>
          <w:rFonts w:ascii="Arial" w:hAnsi="Arial" w:cs="Arial"/>
        </w:rPr>
        <w:t>Categoría: Regulación y Economía Minera</w:t>
      </w:r>
    </w:p>
    <w:p w14:paraId="18B10A91" w14:textId="3C2B1480" w:rsidR="004710BF" w:rsidRPr="004710BF" w:rsidRDefault="004710BF" w:rsidP="007E415F">
      <w:pPr>
        <w:spacing w:after="0" w:line="360" w:lineRule="auto"/>
        <w:rPr>
          <w:rFonts w:ascii="Arial" w:hAnsi="Arial" w:cs="Arial"/>
        </w:rPr>
      </w:pPr>
      <w:r w:rsidRPr="004710BF">
        <w:rPr>
          <w:rFonts w:ascii="Arial" w:hAnsi="Arial" w:cs="Arial"/>
        </w:rPr>
        <w:t>Tema: Participación ciudadana aplicable a las actividades mineras.</w:t>
      </w:r>
    </w:p>
    <w:p w14:paraId="0D831262" w14:textId="45AD1A1F" w:rsidR="003F485E" w:rsidRDefault="003F485E" w:rsidP="007E415F">
      <w:pPr>
        <w:spacing w:after="0" w:line="360" w:lineRule="auto"/>
        <w:rPr>
          <w:rFonts w:ascii="Arial" w:hAnsi="Arial" w:cs="Arial"/>
        </w:rPr>
      </w:pPr>
      <w:r>
        <w:rPr>
          <w:rFonts w:ascii="Arial" w:hAnsi="Arial" w:cs="Arial"/>
        </w:rPr>
        <w:t xml:space="preserve">Autor: </w:t>
      </w:r>
      <w:r w:rsidRPr="00393ACD">
        <w:rPr>
          <w:rFonts w:ascii="Arial" w:hAnsi="Arial" w:cs="Arial"/>
        </w:rPr>
        <w:t>Jose Andres Suni Apaza</w:t>
      </w:r>
      <w:r w:rsidR="00852463">
        <w:rPr>
          <w:rFonts w:ascii="Arial" w:hAnsi="Arial" w:cs="Arial"/>
        </w:rPr>
        <w:t xml:space="preserve"> | </w:t>
      </w:r>
      <w:r w:rsidRPr="00393ACD">
        <w:rPr>
          <w:rFonts w:ascii="Arial" w:hAnsi="Arial" w:cs="Arial"/>
        </w:rPr>
        <w:t>Majes – Arequipa</w:t>
      </w:r>
      <w:r w:rsidR="00852463">
        <w:rPr>
          <w:rFonts w:ascii="Arial" w:hAnsi="Arial" w:cs="Arial"/>
        </w:rPr>
        <w:t xml:space="preserve">| </w:t>
      </w:r>
      <w:r w:rsidRPr="00393ACD">
        <w:rPr>
          <w:rFonts w:ascii="Arial" w:hAnsi="Arial" w:cs="Arial"/>
        </w:rPr>
        <w:t xml:space="preserve"> </w:t>
      </w:r>
      <w:hyperlink r:id="rId8" w:history="1">
        <w:r w:rsidRPr="00393ACD">
          <w:rPr>
            <w:rStyle w:val="Hipervnculo"/>
            <w:rFonts w:ascii="Arial" w:hAnsi="Arial" w:cs="Arial"/>
          </w:rPr>
          <w:t>jose.suni.unsa@gmail.com</w:t>
        </w:r>
      </w:hyperlink>
      <w:r w:rsidRPr="00393ACD">
        <w:rPr>
          <w:rFonts w:ascii="Arial" w:hAnsi="Arial" w:cs="Arial"/>
        </w:rPr>
        <w:t xml:space="preserve"> </w:t>
      </w:r>
    </w:p>
    <w:p w14:paraId="4EBE3E59" w14:textId="0731F917" w:rsidR="00BD3E38" w:rsidRPr="00393ACD" w:rsidRDefault="003F485E" w:rsidP="007E415F">
      <w:pPr>
        <w:spacing w:after="0" w:line="360" w:lineRule="auto"/>
        <w:rPr>
          <w:rFonts w:ascii="Arial" w:hAnsi="Arial" w:cs="Arial"/>
        </w:rPr>
      </w:pPr>
      <w:r>
        <w:rPr>
          <w:rFonts w:ascii="Arial" w:hAnsi="Arial" w:cs="Arial"/>
        </w:rPr>
        <w:t>Coautor:</w:t>
      </w:r>
      <w:r w:rsidR="00B338E9" w:rsidRPr="00393ACD">
        <w:rPr>
          <w:rFonts w:ascii="Arial" w:hAnsi="Arial" w:cs="Arial"/>
        </w:rPr>
        <w:t xml:space="preserve"> </w:t>
      </w:r>
      <w:r w:rsidR="00BD3E38" w:rsidRPr="00393ACD">
        <w:rPr>
          <w:rFonts w:ascii="Arial" w:hAnsi="Arial" w:cs="Arial"/>
        </w:rPr>
        <w:t xml:space="preserve">Cristhian Huillcara </w:t>
      </w:r>
      <w:r w:rsidR="00393ACD" w:rsidRPr="00393ACD">
        <w:rPr>
          <w:rFonts w:ascii="Arial" w:hAnsi="Arial" w:cs="Arial"/>
        </w:rPr>
        <w:t>Alccahuaman</w:t>
      </w:r>
      <w:r w:rsidR="00852463">
        <w:rPr>
          <w:rFonts w:ascii="Arial" w:hAnsi="Arial" w:cs="Arial"/>
        </w:rPr>
        <w:t xml:space="preserve"> |</w:t>
      </w:r>
      <w:r w:rsidR="00393ACD" w:rsidRPr="00393ACD">
        <w:rPr>
          <w:rFonts w:ascii="Arial" w:hAnsi="Arial" w:cs="Arial"/>
        </w:rPr>
        <w:t xml:space="preserve"> </w:t>
      </w:r>
      <w:r w:rsidR="00BD3E38" w:rsidRPr="00393ACD">
        <w:rPr>
          <w:rFonts w:ascii="Arial" w:hAnsi="Arial" w:cs="Arial"/>
        </w:rPr>
        <w:t>Joya - Arequipa,</w:t>
      </w:r>
      <w:r w:rsidR="00852463">
        <w:rPr>
          <w:rFonts w:ascii="Arial" w:hAnsi="Arial" w:cs="Arial"/>
        </w:rPr>
        <w:t xml:space="preserve">  </w:t>
      </w:r>
      <w:r w:rsidR="00BD3E38" w:rsidRPr="00393ACD">
        <w:rPr>
          <w:rFonts w:ascii="Arial" w:hAnsi="Arial" w:cs="Arial"/>
          <w:color w:val="0070C0"/>
        </w:rPr>
        <w:t xml:space="preserve">chuillcara@unsa.edu.pe </w:t>
      </w:r>
    </w:p>
    <w:p w14:paraId="07F965D9" w14:textId="5F04D1D4" w:rsidR="00AA640A" w:rsidRPr="00393ACD" w:rsidRDefault="00AA640A" w:rsidP="007E415F">
      <w:pPr>
        <w:spacing w:after="0" w:line="360" w:lineRule="auto"/>
        <w:rPr>
          <w:rFonts w:ascii="Arial" w:hAnsi="Arial" w:cs="Arial"/>
        </w:rPr>
      </w:pPr>
      <w:r w:rsidRPr="00393ACD">
        <w:rPr>
          <w:rFonts w:ascii="Arial" w:hAnsi="Arial" w:cs="Arial"/>
          <w:b/>
          <w:bCs/>
        </w:rPr>
        <w:t>Palabras clave:</w:t>
      </w:r>
      <w:r w:rsidRPr="00393ACD">
        <w:rPr>
          <w:rFonts w:ascii="Arial" w:hAnsi="Arial" w:cs="Arial"/>
        </w:rPr>
        <w:t xml:space="preserve"> Sostenibilidad</w:t>
      </w:r>
      <w:r w:rsidR="007E415F">
        <w:rPr>
          <w:rFonts w:ascii="Arial" w:hAnsi="Arial" w:cs="Arial"/>
        </w:rPr>
        <w:t>,</w:t>
      </w:r>
      <w:r w:rsidRPr="00393ACD">
        <w:rPr>
          <w:rFonts w:ascii="Arial" w:hAnsi="Arial" w:cs="Arial"/>
        </w:rPr>
        <w:t xml:space="preserve"> Reforma </w:t>
      </w:r>
      <w:r w:rsidR="001E700E" w:rsidRPr="00393ACD">
        <w:rPr>
          <w:rFonts w:ascii="Arial" w:hAnsi="Arial" w:cs="Arial"/>
        </w:rPr>
        <w:t>Minería</w:t>
      </w:r>
      <w:r w:rsidR="007E415F">
        <w:rPr>
          <w:rFonts w:ascii="Arial" w:hAnsi="Arial" w:cs="Arial"/>
        </w:rPr>
        <w:t>,</w:t>
      </w:r>
      <w:r w:rsidRPr="00393ACD">
        <w:rPr>
          <w:rFonts w:ascii="Arial" w:hAnsi="Arial" w:cs="Arial"/>
        </w:rPr>
        <w:t xml:space="preserve"> Transparencia</w:t>
      </w:r>
      <w:r w:rsidR="007E415F">
        <w:rPr>
          <w:rFonts w:ascii="Arial" w:hAnsi="Arial" w:cs="Arial"/>
        </w:rPr>
        <w:t>, Formalización, Gobernanza y Diversificación</w:t>
      </w:r>
    </w:p>
    <w:p w14:paraId="59C5B05F" w14:textId="474B3AB8" w:rsidR="008759BD" w:rsidRPr="00393ACD" w:rsidRDefault="008759BD" w:rsidP="004D259E">
      <w:pPr>
        <w:spacing w:line="360" w:lineRule="auto"/>
        <w:jc w:val="center"/>
        <w:rPr>
          <w:rFonts w:ascii="Arial" w:hAnsi="Arial" w:cs="Arial"/>
          <w:b/>
          <w:bCs/>
        </w:rPr>
      </w:pPr>
      <w:r w:rsidRPr="00393ACD">
        <w:rPr>
          <w:rFonts w:ascii="Arial" w:hAnsi="Arial" w:cs="Arial"/>
          <w:b/>
          <w:bCs/>
        </w:rPr>
        <w:t>INTRODUCCION</w:t>
      </w:r>
    </w:p>
    <w:p w14:paraId="250F163C" w14:textId="7E640EC2" w:rsidR="00393ACD" w:rsidRPr="00CB5E1A" w:rsidRDefault="008759BD" w:rsidP="004D259E">
      <w:pPr>
        <w:spacing w:line="360" w:lineRule="auto"/>
        <w:jc w:val="both"/>
        <w:rPr>
          <w:rFonts w:ascii="Arial" w:hAnsi="Arial" w:cs="Arial"/>
        </w:rPr>
      </w:pPr>
      <w:r w:rsidRPr="00393ACD">
        <w:rPr>
          <w:rFonts w:ascii="Arial" w:hAnsi="Arial" w:cs="Arial"/>
        </w:rPr>
        <w:t xml:space="preserve">La regulación y economía minera en el Perú enfrenta desafíos críticos: </w:t>
      </w:r>
      <w:r w:rsidR="00393ACD">
        <w:rPr>
          <w:rFonts w:ascii="Arial" w:hAnsi="Arial" w:cs="Arial"/>
        </w:rPr>
        <w:t>U</w:t>
      </w:r>
      <w:r w:rsidRPr="00393ACD">
        <w:rPr>
          <w:rFonts w:ascii="Arial" w:hAnsi="Arial" w:cs="Arial"/>
        </w:rPr>
        <w:t>n sistema tributario desequilibrado, brechas socioeconómicas en comunidades mineras y zonas de impacto directo, informalidad extendida y una percepción pública, que va en aumento, que demanda mayor impacto, transparencia y sostenibilidad dentro de las zonas mineras a nivel local, provincial y regional. En un escenario global donde países líderes como Chile, Canadá y Noruega han logrado armonizar competitividad, desarrollo local y gobernanza, este trabajo propone adaptar sus experiencias al contexto peruano. Dentro del contexto local, el Perú se encuentra próximos a un cambio de mando gubernamental</w:t>
      </w:r>
      <w:r w:rsidR="001647F6" w:rsidRPr="00393ACD">
        <w:rPr>
          <w:rFonts w:ascii="Arial" w:hAnsi="Arial" w:cs="Arial"/>
        </w:rPr>
        <w:t>,</w:t>
      </w:r>
      <w:r w:rsidRPr="00393ACD">
        <w:rPr>
          <w:rFonts w:ascii="Arial" w:hAnsi="Arial" w:cs="Arial"/>
        </w:rPr>
        <w:t xml:space="preserve"> por lo que se requiere enfocar una nueva visión de la industria minera hacia la población. Los objetivos se centran en reformar el régimen fiscal para equilibrar ingresos estatales y atractivo inversor, promover programas sostenibles, formalizar la minería artesanal con incentivos ambientales, adoptar estándares internacionales de transparencia, diversificar economías regionales y posicionar al sector como referente en innovación responsable. Esta hoja de ruta busca transformar los desafíos actuales en oportunidades estratégicas para fortalecer el rol de la minería en el desarrollo nacional.</w:t>
      </w:r>
      <w:sdt>
        <w:sdtPr>
          <w:rPr>
            <w:rFonts w:ascii="Arial" w:hAnsi="Arial" w:cs="Arial"/>
          </w:rPr>
          <w:id w:val="-1509132746"/>
          <w:citation/>
        </w:sdtPr>
        <w:sdtContent>
          <w:r w:rsidR="00715ADA" w:rsidRPr="00393ACD">
            <w:rPr>
              <w:rFonts w:ascii="Arial" w:hAnsi="Arial" w:cs="Arial"/>
            </w:rPr>
            <w:fldChar w:fldCharType="begin"/>
          </w:r>
          <w:r w:rsidR="007001B6" w:rsidRPr="00393ACD">
            <w:rPr>
              <w:rFonts w:ascii="Arial" w:hAnsi="Arial" w:cs="Arial"/>
              <w:lang w:val="es-MX"/>
            </w:rPr>
            <w:instrText xml:space="preserve">CITATION Cis86 \l 2058 </w:instrText>
          </w:r>
          <w:r w:rsidR="00715ADA" w:rsidRPr="00393ACD">
            <w:rPr>
              <w:rFonts w:ascii="Arial" w:hAnsi="Arial" w:cs="Arial"/>
            </w:rPr>
            <w:fldChar w:fldCharType="separate"/>
          </w:r>
          <w:r w:rsidR="00852463">
            <w:rPr>
              <w:rFonts w:ascii="Arial" w:hAnsi="Arial" w:cs="Arial"/>
              <w:noProof/>
              <w:lang w:val="es-MX"/>
            </w:rPr>
            <w:t xml:space="preserve"> </w:t>
          </w:r>
          <w:r w:rsidR="00852463" w:rsidRPr="00852463">
            <w:rPr>
              <w:rFonts w:ascii="Arial" w:hAnsi="Arial" w:cs="Arial"/>
              <w:noProof/>
              <w:lang w:val="es-MX"/>
            </w:rPr>
            <w:t>(Cisneros, 1986)</w:t>
          </w:r>
          <w:r w:rsidR="00715ADA" w:rsidRPr="00393ACD">
            <w:rPr>
              <w:rFonts w:ascii="Arial" w:hAnsi="Arial" w:cs="Arial"/>
            </w:rPr>
            <w:fldChar w:fldCharType="end"/>
          </w:r>
        </w:sdtContent>
      </w:sdt>
    </w:p>
    <w:p w14:paraId="13BF4360" w14:textId="7DA4599F" w:rsidR="001647F6" w:rsidRPr="00393ACD" w:rsidRDefault="001647F6" w:rsidP="004D259E">
      <w:pPr>
        <w:spacing w:line="360" w:lineRule="auto"/>
        <w:jc w:val="both"/>
        <w:rPr>
          <w:rFonts w:ascii="Arial" w:hAnsi="Arial" w:cs="Arial"/>
          <w:b/>
          <w:bCs/>
        </w:rPr>
      </w:pPr>
      <w:r w:rsidRPr="00393ACD">
        <w:rPr>
          <w:rFonts w:ascii="Arial" w:hAnsi="Arial" w:cs="Arial"/>
          <w:b/>
          <w:bCs/>
        </w:rPr>
        <w:t>OBJETIVOS</w:t>
      </w:r>
    </w:p>
    <w:p w14:paraId="22630DB1" w14:textId="791DAE83" w:rsidR="001647F6" w:rsidRPr="00393ACD" w:rsidRDefault="001647F6" w:rsidP="004D259E">
      <w:pPr>
        <w:spacing w:line="360" w:lineRule="auto"/>
        <w:jc w:val="both"/>
        <w:rPr>
          <w:rFonts w:ascii="Arial" w:hAnsi="Arial" w:cs="Arial"/>
        </w:rPr>
      </w:pPr>
      <w:r w:rsidRPr="00393ACD">
        <w:rPr>
          <w:rFonts w:ascii="Arial" w:hAnsi="Arial" w:cs="Arial"/>
        </w:rPr>
        <w:t xml:space="preserve">1-Promover un régimen tributario más justo y competitivo: </w:t>
      </w:r>
      <w:r w:rsidR="00A53819" w:rsidRPr="00393ACD">
        <w:rPr>
          <w:rFonts w:ascii="Arial" w:hAnsi="Arial" w:cs="Arial"/>
        </w:rPr>
        <w:t>Plantear una reforma</w:t>
      </w:r>
      <w:r w:rsidRPr="00393ACD">
        <w:rPr>
          <w:rFonts w:ascii="Arial" w:hAnsi="Arial" w:cs="Arial"/>
        </w:rPr>
        <w:t xml:space="preserve"> el sistema tributario minero con enfoque progresivo, tomando como referencia el modelo chileno para equilibrar ingresos fiscales y competitividad.</w:t>
      </w:r>
    </w:p>
    <w:p w14:paraId="27852844" w14:textId="77777777" w:rsidR="0089601E" w:rsidRDefault="001647F6" w:rsidP="004D259E">
      <w:pPr>
        <w:spacing w:line="360" w:lineRule="auto"/>
        <w:jc w:val="both"/>
        <w:rPr>
          <w:rFonts w:ascii="Arial" w:hAnsi="Arial" w:cs="Arial"/>
        </w:rPr>
      </w:pPr>
      <w:r w:rsidRPr="00393ACD">
        <w:rPr>
          <w:rFonts w:ascii="Arial" w:hAnsi="Arial" w:cs="Arial"/>
        </w:rPr>
        <w:t xml:space="preserve">2-Fomentar el desarrollo económico en </w:t>
      </w:r>
      <w:r w:rsidR="00A53819" w:rsidRPr="00393ACD">
        <w:rPr>
          <w:rFonts w:ascii="Arial" w:hAnsi="Arial" w:cs="Arial"/>
        </w:rPr>
        <w:t>áreas</w:t>
      </w:r>
      <w:r w:rsidRPr="00393ACD">
        <w:rPr>
          <w:rFonts w:ascii="Arial" w:hAnsi="Arial" w:cs="Arial"/>
        </w:rPr>
        <w:t xml:space="preserve"> de impacto: Implementar programas sostenibles basados en experiencias internacionales como las de Canadá, que reinvierten ingresos mineros en infraestructura, educación y salud</w:t>
      </w:r>
      <w:r w:rsidR="00A53819" w:rsidRPr="00393ACD">
        <w:rPr>
          <w:rFonts w:ascii="Arial" w:hAnsi="Arial" w:cs="Arial"/>
        </w:rPr>
        <w:t>. Además, construir una insignia ideológica de desarrollo por parte de la industria minera.</w:t>
      </w:r>
    </w:p>
    <w:p w14:paraId="2E128420" w14:textId="35CA289F" w:rsidR="001647F6" w:rsidRPr="00393ACD" w:rsidRDefault="001647F6" w:rsidP="004D259E">
      <w:pPr>
        <w:spacing w:line="360" w:lineRule="auto"/>
        <w:jc w:val="both"/>
        <w:rPr>
          <w:rFonts w:ascii="Arial" w:hAnsi="Arial" w:cs="Arial"/>
        </w:rPr>
      </w:pPr>
      <w:r w:rsidRPr="00393ACD">
        <w:rPr>
          <w:rFonts w:ascii="Arial" w:hAnsi="Arial" w:cs="Arial"/>
        </w:rPr>
        <w:lastRenderedPageBreak/>
        <w:t>3-Impulsar la formalización y sostenibilidad ambiental: Establecer incentivos para la minería artesanal responsable, inspirados en políticas de formalización aplicadas en Colombia.</w:t>
      </w:r>
      <w:r w:rsidR="00A53819" w:rsidRPr="00393ACD">
        <w:rPr>
          <w:rFonts w:ascii="Arial" w:hAnsi="Arial" w:cs="Arial"/>
        </w:rPr>
        <w:t xml:space="preserve"> Promover </w:t>
      </w:r>
      <w:r w:rsidR="005420A7" w:rsidRPr="00393ACD">
        <w:rPr>
          <w:rFonts w:ascii="Arial" w:hAnsi="Arial" w:cs="Arial"/>
        </w:rPr>
        <w:t>un cambio de dirección la burocracia de los gobiernos regionales.</w:t>
      </w:r>
    </w:p>
    <w:p w14:paraId="5FCD20E3" w14:textId="0623AE7C" w:rsidR="001647F6" w:rsidRPr="00393ACD" w:rsidRDefault="001647F6" w:rsidP="004D259E">
      <w:pPr>
        <w:spacing w:line="360" w:lineRule="auto"/>
        <w:jc w:val="both"/>
        <w:rPr>
          <w:rFonts w:ascii="Arial" w:hAnsi="Arial" w:cs="Arial"/>
        </w:rPr>
      </w:pPr>
      <w:r w:rsidRPr="00393ACD">
        <w:rPr>
          <w:rFonts w:ascii="Arial" w:hAnsi="Arial" w:cs="Arial"/>
        </w:rPr>
        <w:t>4-Reforzar la transparencia y gobernanza: Adoptar estándares internacionales como la Iniciativa para la Transparencia de las Industrias Extractivas (EITI), tomando como modelo la gobernanza minera de Noruega.</w:t>
      </w:r>
    </w:p>
    <w:p w14:paraId="7CD798EE" w14:textId="21E979A8" w:rsidR="001647F6" w:rsidRPr="00393ACD" w:rsidRDefault="001647F6" w:rsidP="004D259E">
      <w:pPr>
        <w:spacing w:line="360" w:lineRule="auto"/>
        <w:jc w:val="both"/>
        <w:rPr>
          <w:rFonts w:ascii="Arial" w:hAnsi="Arial" w:cs="Arial"/>
        </w:rPr>
      </w:pPr>
      <w:r w:rsidRPr="00393ACD">
        <w:rPr>
          <w:rFonts w:ascii="Arial" w:hAnsi="Arial" w:cs="Arial"/>
        </w:rPr>
        <w:t>5-Diversificar la economía en regiones mineras: Crear oportunidades económicas alternativas, tal como Australia ha logrado en regiones dependientes de la minería.</w:t>
      </w:r>
      <w:r w:rsidR="005420A7" w:rsidRPr="00393ACD">
        <w:rPr>
          <w:rFonts w:ascii="Arial" w:hAnsi="Arial" w:cs="Arial"/>
        </w:rPr>
        <w:t xml:space="preserve"> Filtrar adecuadamente a la población que requiere ayuda para un cambio ideológico generacional. </w:t>
      </w:r>
    </w:p>
    <w:p w14:paraId="6EE4E8A3" w14:textId="4B1C4927" w:rsidR="001647F6" w:rsidRPr="00393ACD" w:rsidRDefault="001647F6" w:rsidP="004D259E">
      <w:pPr>
        <w:spacing w:line="360" w:lineRule="auto"/>
        <w:jc w:val="both"/>
        <w:rPr>
          <w:rFonts w:ascii="Arial" w:hAnsi="Arial" w:cs="Arial"/>
        </w:rPr>
      </w:pPr>
      <w:r w:rsidRPr="00393ACD">
        <w:rPr>
          <w:rFonts w:ascii="Arial" w:hAnsi="Arial" w:cs="Arial"/>
        </w:rPr>
        <w:t>6-Fortalecer la marca de la minería peruana: Posicionar la minería como un modelo de sostenibilidad e innovación</w:t>
      </w:r>
      <w:r w:rsidR="005420A7" w:rsidRPr="00393ACD">
        <w:rPr>
          <w:rFonts w:ascii="Arial" w:hAnsi="Arial" w:cs="Arial"/>
        </w:rPr>
        <w:t xml:space="preserve"> creando espacios de debate. Mostrar los avances tecnológicos y relacionar la industria con estos. </w:t>
      </w:r>
      <w:sdt>
        <w:sdtPr>
          <w:rPr>
            <w:rFonts w:ascii="Arial" w:hAnsi="Arial" w:cs="Arial"/>
          </w:rPr>
          <w:id w:val="1690110441"/>
          <w:citation/>
        </w:sdtPr>
        <w:sdtContent>
          <w:r w:rsidR="00AA4CA2" w:rsidRPr="00393ACD">
            <w:rPr>
              <w:rFonts w:ascii="Arial" w:hAnsi="Arial" w:cs="Arial"/>
            </w:rPr>
            <w:fldChar w:fldCharType="begin"/>
          </w:r>
          <w:r w:rsidR="00AA4CA2" w:rsidRPr="00393ACD">
            <w:rPr>
              <w:rFonts w:ascii="Arial" w:hAnsi="Arial" w:cs="Arial"/>
              <w:lang w:val="es-MX"/>
            </w:rPr>
            <w:instrText xml:space="preserve"> CITATION Mol24 \l 2058 </w:instrText>
          </w:r>
          <w:r w:rsidR="00AA4CA2" w:rsidRPr="00393ACD">
            <w:rPr>
              <w:rFonts w:ascii="Arial" w:hAnsi="Arial" w:cs="Arial"/>
            </w:rPr>
            <w:fldChar w:fldCharType="separate"/>
          </w:r>
          <w:r w:rsidR="00852463" w:rsidRPr="00852463">
            <w:rPr>
              <w:rFonts w:ascii="Arial" w:hAnsi="Arial" w:cs="Arial"/>
              <w:noProof/>
              <w:lang w:val="es-MX"/>
            </w:rPr>
            <w:t>(Molina Martinez, Trivelli Avila, Zegarra Machiavello, &amp; Bustamante Suarez, 2024)</w:t>
          </w:r>
          <w:r w:rsidR="00AA4CA2" w:rsidRPr="00393ACD">
            <w:rPr>
              <w:rFonts w:ascii="Arial" w:hAnsi="Arial" w:cs="Arial"/>
            </w:rPr>
            <w:fldChar w:fldCharType="end"/>
          </w:r>
        </w:sdtContent>
      </w:sdt>
    </w:p>
    <w:p w14:paraId="292D50B1" w14:textId="47CA1F4E" w:rsidR="00D44E41" w:rsidRPr="00393ACD" w:rsidRDefault="00393ACD" w:rsidP="004D259E">
      <w:pPr>
        <w:spacing w:line="360" w:lineRule="auto"/>
        <w:jc w:val="both"/>
        <w:rPr>
          <w:rFonts w:ascii="Arial" w:hAnsi="Arial" w:cs="Arial"/>
          <w:b/>
          <w:bCs/>
        </w:rPr>
      </w:pPr>
      <w:r w:rsidRPr="00393ACD">
        <w:rPr>
          <w:rFonts w:ascii="Arial" w:hAnsi="Arial" w:cs="Arial"/>
          <w:b/>
          <w:bCs/>
        </w:rPr>
        <w:t>PROCEDIMIENTO Y METODOLOGÍA</w:t>
      </w:r>
    </w:p>
    <w:p w14:paraId="43062C37" w14:textId="5A280065"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Análisis comparativo: Adaptar modelos internacionales (Chile en tributación, Canadá en desarrollo comunitario, Colombia en formalización).</w:t>
      </w:r>
    </w:p>
    <w:p w14:paraId="13526AF5" w14:textId="4B320F47"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 xml:space="preserve">Diseño de políticas: Impuestos progresivos, fondos descentralizados para </w:t>
      </w:r>
      <w:r w:rsidR="005420A7" w:rsidRPr="00393ACD">
        <w:rPr>
          <w:rFonts w:ascii="Arial" w:hAnsi="Arial" w:cs="Arial"/>
        </w:rPr>
        <w:t xml:space="preserve">áreas de impacto </w:t>
      </w:r>
      <w:r w:rsidRPr="00393ACD">
        <w:rPr>
          <w:rFonts w:ascii="Arial" w:hAnsi="Arial" w:cs="Arial"/>
        </w:rPr>
        <w:t>e incentivos a mineros formales con tecnologías limpias.</w:t>
      </w:r>
      <w:sdt>
        <w:sdtPr>
          <w:rPr>
            <w:rFonts w:ascii="Arial" w:hAnsi="Arial" w:cs="Arial"/>
          </w:rPr>
          <w:id w:val="-666633685"/>
          <w:citation/>
        </w:sdtPr>
        <w:sdtContent>
          <w:r w:rsidR="00AA4CA2" w:rsidRPr="00393ACD">
            <w:rPr>
              <w:rFonts w:ascii="Arial" w:hAnsi="Arial" w:cs="Arial"/>
            </w:rPr>
            <w:fldChar w:fldCharType="begin"/>
          </w:r>
          <w:r w:rsidR="00AA4CA2" w:rsidRPr="00393ACD">
            <w:rPr>
              <w:rFonts w:ascii="Arial" w:hAnsi="Arial" w:cs="Arial"/>
              <w:lang w:val="es-MX"/>
            </w:rPr>
            <w:instrText xml:space="preserve"> CITATION Sch22 \l 2058 </w:instrText>
          </w:r>
          <w:r w:rsidR="00AA4CA2" w:rsidRPr="00393ACD">
            <w:rPr>
              <w:rFonts w:ascii="Arial" w:hAnsi="Arial" w:cs="Arial"/>
            </w:rPr>
            <w:fldChar w:fldCharType="separate"/>
          </w:r>
          <w:r w:rsidR="00852463">
            <w:rPr>
              <w:rFonts w:ascii="Arial" w:hAnsi="Arial" w:cs="Arial"/>
              <w:noProof/>
              <w:lang w:val="es-MX"/>
            </w:rPr>
            <w:t xml:space="preserve"> </w:t>
          </w:r>
          <w:r w:rsidR="00852463" w:rsidRPr="00852463">
            <w:rPr>
              <w:rFonts w:ascii="Arial" w:hAnsi="Arial" w:cs="Arial"/>
              <w:noProof/>
              <w:lang w:val="es-MX"/>
            </w:rPr>
            <w:t>(Schatan, R., Camero, E., Guajardo, J. C., &amp; Mylonas, V., 2022)</w:t>
          </w:r>
          <w:r w:rsidR="00AA4CA2" w:rsidRPr="00393ACD">
            <w:rPr>
              <w:rFonts w:ascii="Arial" w:hAnsi="Arial" w:cs="Arial"/>
            </w:rPr>
            <w:fldChar w:fldCharType="end"/>
          </w:r>
        </w:sdtContent>
      </w:sdt>
    </w:p>
    <w:p w14:paraId="6F1BB5F1" w14:textId="30E12577"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 xml:space="preserve">Pruebas piloto: Implementación en regiones clave (p.ej., </w:t>
      </w:r>
      <w:r w:rsidR="005420A7" w:rsidRPr="00393ACD">
        <w:rPr>
          <w:rFonts w:ascii="Arial" w:hAnsi="Arial" w:cs="Arial"/>
        </w:rPr>
        <w:t>Arequipa</w:t>
      </w:r>
      <w:r w:rsidRPr="00393ACD">
        <w:rPr>
          <w:rFonts w:ascii="Arial" w:hAnsi="Arial" w:cs="Arial"/>
        </w:rPr>
        <w:t>) con monitoreo de impacto.</w:t>
      </w:r>
    </w:p>
    <w:p w14:paraId="032CFE61" w14:textId="195E9A88"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Transparencia: Plataformas digitales públicas</w:t>
      </w:r>
      <w:r w:rsidR="005420A7" w:rsidRPr="00393ACD">
        <w:rPr>
          <w:rFonts w:ascii="Arial" w:hAnsi="Arial" w:cs="Arial"/>
        </w:rPr>
        <w:t xml:space="preserve">. </w:t>
      </w:r>
    </w:p>
    <w:p w14:paraId="3544A9E0" w14:textId="33930E8E"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Diversificación: Capacitación en emprendimientos no mineros</w:t>
      </w:r>
      <w:r w:rsidR="005420A7" w:rsidRPr="00393ACD">
        <w:rPr>
          <w:rFonts w:ascii="Arial" w:hAnsi="Arial" w:cs="Arial"/>
        </w:rPr>
        <w:t xml:space="preserve">. </w:t>
      </w:r>
    </w:p>
    <w:p w14:paraId="1315719C" w14:textId="03361A75" w:rsidR="008759BD"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Comunicación: Campaña nacional para reposicionar la minería como sostenible e innovadora.</w:t>
      </w:r>
      <w:sdt>
        <w:sdtPr>
          <w:rPr>
            <w:rFonts w:ascii="Arial" w:hAnsi="Arial" w:cs="Arial"/>
          </w:rPr>
          <w:id w:val="-112289249"/>
          <w:citation/>
        </w:sdtPr>
        <w:sdtContent>
          <w:r w:rsidR="007001B6" w:rsidRPr="00393ACD">
            <w:rPr>
              <w:rFonts w:ascii="Arial" w:hAnsi="Arial" w:cs="Arial"/>
            </w:rPr>
            <w:fldChar w:fldCharType="begin"/>
          </w:r>
          <w:r w:rsidR="007001B6" w:rsidRPr="00393ACD">
            <w:rPr>
              <w:rFonts w:ascii="Arial" w:hAnsi="Arial" w:cs="Arial"/>
              <w:lang w:val="es-MX"/>
            </w:rPr>
            <w:instrText xml:space="preserve"> CITATION San17 \l 2058 </w:instrText>
          </w:r>
          <w:r w:rsidR="007001B6" w:rsidRPr="00393ACD">
            <w:rPr>
              <w:rFonts w:ascii="Arial" w:hAnsi="Arial" w:cs="Arial"/>
            </w:rPr>
            <w:fldChar w:fldCharType="separate"/>
          </w:r>
          <w:r w:rsidR="00852463">
            <w:rPr>
              <w:rFonts w:ascii="Arial" w:hAnsi="Arial" w:cs="Arial"/>
              <w:noProof/>
              <w:lang w:val="es-MX"/>
            </w:rPr>
            <w:t xml:space="preserve"> </w:t>
          </w:r>
          <w:r w:rsidR="00852463" w:rsidRPr="00852463">
            <w:rPr>
              <w:rFonts w:ascii="Arial" w:hAnsi="Arial" w:cs="Arial"/>
              <w:noProof/>
              <w:lang w:val="es-MX"/>
            </w:rPr>
            <w:t>(Sanchez, 2017)</w:t>
          </w:r>
          <w:r w:rsidR="007001B6" w:rsidRPr="00393ACD">
            <w:rPr>
              <w:rFonts w:ascii="Arial" w:hAnsi="Arial" w:cs="Arial"/>
            </w:rPr>
            <w:fldChar w:fldCharType="end"/>
          </w:r>
        </w:sdtContent>
      </w:sdt>
    </w:p>
    <w:p w14:paraId="7120A3B5" w14:textId="67C65DA1" w:rsidR="008759BD" w:rsidRPr="00393ACD" w:rsidRDefault="00D44E41" w:rsidP="004D259E">
      <w:pPr>
        <w:spacing w:line="360" w:lineRule="auto"/>
        <w:jc w:val="both"/>
        <w:rPr>
          <w:rFonts w:ascii="Arial" w:hAnsi="Arial" w:cs="Arial"/>
          <w:b/>
          <w:bCs/>
        </w:rPr>
      </w:pPr>
      <w:r w:rsidRPr="00393ACD">
        <w:rPr>
          <w:rFonts w:ascii="Arial" w:hAnsi="Arial" w:cs="Arial"/>
          <w:b/>
          <w:bCs/>
        </w:rPr>
        <w:t>R</w:t>
      </w:r>
      <w:r w:rsidR="001E700E" w:rsidRPr="00393ACD">
        <w:rPr>
          <w:rFonts w:ascii="Arial" w:hAnsi="Arial" w:cs="Arial"/>
          <w:b/>
          <w:bCs/>
        </w:rPr>
        <w:t>ESULTADOS</w:t>
      </w:r>
    </w:p>
    <w:p w14:paraId="3331B997" w14:textId="609D0A1E"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Armonización fiscal: Un sistema tributario minero más competitivo y progresivo, alineado con estándares internacionales, que atraiga inversión sin comprometer ingresos estatales.</w:t>
      </w:r>
    </w:p>
    <w:p w14:paraId="28F43AC7" w14:textId="1E16F8CC"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Inversión social estratégica: Comunidades mineras con infraestructura básica, educación y salud fortalecidas mediante fondos descentralizados y gestión participativa.</w:t>
      </w:r>
    </w:p>
    <w:p w14:paraId="0AB3DB47" w14:textId="6641A2FD"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lastRenderedPageBreak/>
        <w:t>Minería artesanal responsable: Reducción de la informalidad y mitigación ambiental mediante incentivos económicos y acceso a tecnologías limpias.</w:t>
      </w:r>
    </w:p>
    <w:p w14:paraId="004D40A1" w14:textId="766FE4FB"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Transparencia verificable: Mayor confianza ciudadana a través de plataformas públicas que reporten ingresos mineros y proyectos financiados, auditados externamente.</w:t>
      </w:r>
    </w:p>
    <w:p w14:paraId="719B359F" w14:textId="04DEBFB8"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Economías resilientes: Regiones mineras con emprendimientos alternativos (agroindustria, turismo) que reduzcan la dependencia del sector extractivo.</w:t>
      </w:r>
    </w:p>
    <w:p w14:paraId="05620670" w14:textId="72C2D8CD"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Marca sectorial fortalecida: Posicionamiento de la minería peruana como líder en innovación y sostenibilidad, respaldada por una narrativa pública coherente.</w:t>
      </w:r>
    </w:p>
    <w:p w14:paraId="58D2D279" w14:textId="5EF0C3FB" w:rsidR="00D44E41" w:rsidRPr="00393ACD" w:rsidRDefault="001E700E" w:rsidP="004D259E">
      <w:pPr>
        <w:spacing w:line="360" w:lineRule="auto"/>
        <w:jc w:val="both"/>
        <w:rPr>
          <w:rFonts w:ascii="Arial" w:hAnsi="Arial" w:cs="Arial"/>
          <w:b/>
          <w:bCs/>
        </w:rPr>
      </w:pPr>
      <w:r w:rsidRPr="00393ACD">
        <w:rPr>
          <w:rFonts w:ascii="Arial" w:hAnsi="Arial" w:cs="Arial"/>
          <w:b/>
          <w:bCs/>
        </w:rPr>
        <w:t>CONCLUSIONES Y RECOMENDACIONES</w:t>
      </w:r>
    </w:p>
    <w:p w14:paraId="18A61856" w14:textId="40AC5AFF" w:rsidR="00D44E41" w:rsidRPr="00393ACD" w:rsidRDefault="00D44E41" w:rsidP="004D259E">
      <w:pPr>
        <w:pStyle w:val="Prrafodelista"/>
        <w:numPr>
          <w:ilvl w:val="0"/>
          <w:numId w:val="3"/>
        </w:numPr>
        <w:spacing w:line="360" w:lineRule="auto"/>
        <w:jc w:val="both"/>
        <w:rPr>
          <w:rFonts w:ascii="Arial" w:hAnsi="Arial" w:cs="Arial"/>
        </w:rPr>
      </w:pPr>
      <w:r w:rsidRPr="00393ACD">
        <w:rPr>
          <w:rFonts w:ascii="Arial" w:hAnsi="Arial" w:cs="Arial"/>
        </w:rPr>
        <w:t>La adaptación de modelos internacionales (tributarios, comunitarios y de formalización) al contexto peruano demuestra ser una vía viable para equilibrar competitividad minera, desarrollo local y sostenibilidad ambiental.</w:t>
      </w:r>
    </w:p>
    <w:p w14:paraId="2206B873" w14:textId="58A0C0C1" w:rsidR="00D44E41" w:rsidRPr="00393ACD" w:rsidRDefault="00D44E41" w:rsidP="004D259E">
      <w:pPr>
        <w:pStyle w:val="Prrafodelista"/>
        <w:numPr>
          <w:ilvl w:val="0"/>
          <w:numId w:val="3"/>
        </w:numPr>
        <w:spacing w:line="360" w:lineRule="auto"/>
        <w:jc w:val="both"/>
        <w:rPr>
          <w:rFonts w:ascii="Arial" w:hAnsi="Arial" w:cs="Arial"/>
        </w:rPr>
      </w:pPr>
      <w:r w:rsidRPr="00393ACD">
        <w:rPr>
          <w:rFonts w:ascii="Arial" w:hAnsi="Arial" w:cs="Arial"/>
        </w:rPr>
        <w:t>La transparencia en la gestión de ingresos mineros y la participación activa de las comunidades son pilares fundamentales para reconstruir la confianza pública y consolidar una minería socialmente responsable.</w:t>
      </w:r>
    </w:p>
    <w:p w14:paraId="5D1B8870" w14:textId="59C595EA" w:rsidR="00D44E41" w:rsidRPr="00393ACD" w:rsidRDefault="001E700E" w:rsidP="004D259E">
      <w:pPr>
        <w:spacing w:line="360" w:lineRule="auto"/>
        <w:jc w:val="both"/>
        <w:rPr>
          <w:rFonts w:ascii="Arial" w:hAnsi="Arial" w:cs="Arial"/>
          <w:b/>
          <w:bCs/>
        </w:rPr>
      </w:pPr>
      <w:r w:rsidRPr="00393ACD">
        <w:rPr>
          <w:rFonts w:ascii="Arial" w:hAnsi="Arial" w:cs="Arial"/>
          <w:b/>
          <w:bCs/>
        </w:rPr>
        <w:t>RECOMENDACIONES</w:t>
      </w:r>
    </w:p>
    <w:p w14:paraId="41E823DA" w14:textId="26D9460E" w:rsidR="00D44E41" w:rsidRPr="00393ACD" w:rsidRDefault="00D44E41" w:rsidP="004D259E">
      <w:pPr>
        <w:pStyle w:val="Prrafodelista"/>
        <w:numPr>
          <w:ilvl w:val="0"/>
          <w:numId w:val="4"/>
        </w:numPr>
        <w:spacing w:line="360" w:lineRule="auto"/>
        <w:jc w:val="both"/>
        <w:rPr>
          <w:rFonts w:ascii="Arial" w:hAnsi="Arial" w:cs="Arial"/>
        </w:rPr>
      </w:pPr>
      <w:r w:rsidRPr="00393ACD">
        <w:rPr>
          <w:rFonts w:ascii="Arial" w:hAnsi="Arial" w:cs="Arial"/>
        </w:rPr>
        <w:t>Implementar políticas piloto en regiones prioritarias (p.ej., Cajamarca, Arequipa) para validar la efectividad de las propuestas antes de su escalamiento nacional, asegurando ajustes basados en datos reales.</w:t>
      </w:r>
    </w:p>
    <w:p w14:paraId="74056BCD" w14:textId="43E8F3E6" w:rsidR="009E04FC" w:rsidRPr="00393ACD" w:rsidRDefault="00D44E41" w:rsidP="004D259E">
      <w:pPr>
        <w:pStyle w:val="Prrafodelista"/>
        <w:numPr>
          <w:ilvl w:val="0"/>
          <w:numId w:val="4"/>
        </w:numPr>
        <w:spacing w:line="360" w:lineRule="auto"/>
        <w:jc w:val="both"/>
        <w:rPr>
          <w:rFonts w:ascii="Arial" w:hAnsi="Arial" w:cs="Arial"/>
        </w:rPr>
      </w:pPr>
      <w:r w:rsidRPr="00393ACD">
        <w:rPr>
          <w:rFonts w:ascii="Arial" w:hAnsi="Arial" w:cs="Arial"/>
        </w:rPr>
        <w:t>Fortalecer alianzas público-privadas con actores internacionales (EITI, cooperación australiana) para financiar proyectos de diversificación económica y transferencia tecnológica, garantizando sostenibilidad a largo plazo.</w:t>
      </w:r>
    </w:p>
    <w:sdt>
      <w:sdtPr>
        <w:rPr>
          <w:rFonts w:ascii="Arial" w:eastAsiaTheme="minorHAnsi" w:hAnsi="Arial" w:cs="Arial"/>
          <w:color w:val="auto"/>
          <w:sz w:val="22"/>
          <w:szCs w:val="22"/>
          <w:lang w:val="es-ES" w:eastAsia="en-US"/>
        </w:rPr>
        <w:id w:val="1151023315"/>
        <w:docPartObj>
          <w:docPartGallery w:val="Bibliographies"/>
          <w:docPartUnique/>
        </w:docPartObj>
      </w:sdtPr>
      <w:sdtEndPr>
        <w:rPr>
          <w:rFonts w:asciiTheme="minorHAnsi" w:hAnsiTheme="minorHAnsi" w:cstheme="minorBidi"/>
          <w:lang w:val="es-PE"/>
        </w:rPr>
      </w:sdtEndPr>
      <w:sdtContent>
        <w:p w14:paraId="5827D662" w14:textId="456993FA" w:rsidR="007001B6" w:rsidRPr="00393ACD" w:rsidRDefault="001E700E" w:rsidP="004D259E">
          <w:pPr>
            <w:pStyle w:val="Ttulo1"/>
            <w:spacing w:line="360" w:lineRule="auto"/>
            <w:rPr>
              <w:rFonts w:ascii="Arial" w:hAnsi="Arial" w:cs="Arial"/>
              <w:b/>
              <w:bCs/>
              <w:color w:val="auto"/>
              <w:sz w:val="22"/>
              <w:szCs w:val="22"/>
            </w:rPr>
          </w:pPr>
          <w:r w:rsidRPr="00393ACD">
            <w:rPr>
              <w:rFonts w:ascii="Arial" w:hAnsi="Arial" w:cs="Arial"/>
              <w:b/>
              <w:bCs/>
              <w:color w:val="auto"/>
              <w:sz w:val="22"/>
              <w:szCs w:val="22"/>
              <w:lang w:val="es-ES"/>
            </w:rPr>
            <w:t>BIBLIOGRAFÍA</w:t>
          </w:r>
        </w:p>
        <w:sdt>
          <w:sdtPr>
            <w:rPr>
              <w:rFonts w:ascii="Arial" w:hAnsi="Arial" w:cs="Arial"/>
            </w:rPr>
            <w:id w:val="111145805"/>
            <w:bibliography/>
          </w:sdtPr>
          <w:sdtEndPr>
            <w:rPr>
              <w:rFonts w:asciiTheme="minorHAnsi" w:hAnsiTheme="minorHAnsi" w:cstheme="minorBidi"/>
            </w:rPr>
          </w:sdtEndPr>
          <w:sdtContent>
            <w:p w14:paraId="3E717937" w14:textId="77777777" w:rsidR="00852463" w:rsidRDefault="007001B6" w:rsidP="00852463">
              <w:pPr>
                <w:pStyle w:val="Bibliografa"/>
                <w:ind w:left="720" w:hanging="720"/>
                <w:rPr>
                  <w:noProof/>
                  <w:sz w:val="24"/>
                  <w:szCs w:val="24"/>
                </w:rPr>
              </w:pPr>
              <w:r w:rsidRPr="00393ACD">
                <w:rPr>
                  <w:rFonts w:ascii="Arial" w:hAnsi="Arial" w:cs="Arial"/>
                </w:rPr>
                <w:fldChar w:fldCharType="begin"/>
              </w:r>
              <w:r w:rsidRPr="00393ACD">
                <w:rPr>
                  <w:rFonts w:ascii="Arial" w:hAnsi="Arial" w:cs="Arial"/>
                </w:rPr>
                <w:instrText>BIBLIOGRAPHY</w:instrText>
              </w:r>
              <w:r w:rsidRPr="00393ACD">
                <w:rPr>
                  <w:rFonts w:ascii="Arial" w:hAnsi="Arial" w:cs="Arial"/>
                </w:rPr>
                <w:fldChar w:fldCharType="separate"/>
              </w:r>
              <w:r w:rsidR="00852463">
                <w:rPr>
                  <w:noProof/>
                </w:rPr>
                <w:t xml:space="preserve">Cisneros, M. (1986). </w:t>
              </w:r>
              <w:r w:rsidR="00852463">
                <w:rPr>
                  <w:i/>
                  <w:iCs/>
                  <w:noProof/>
                </w:rPr>
                <w:t>MINERÍA : RIQUEZA Y POBREZA DEL PERÚ.</w:t>
              </w:r>
              <w:r w:rsidR="00852463">
                <w:rPr>
                  <w:noProof/>
                </w:rPr>
                <w:t xml:space="preserve"> Peru: M. A.</w:t>
              </w:r>
            </w:p>
            <w:p w14:paraId="22441A4F" w14:textId="77777777" w:rsidR="00852463" w:rsidRDefault="00852463" w:rsidP="00852463">
              <w:pPr>
                <w:pStyle w:val="Bibliografa"/>
                <w:ind w:left="720" w:hanging="720"/>
                <w:rPr>
                  <w:noProof/>
                  <w:lang w:val="es-ES"/>
                </w:rPr>
              </w:pPr>
              <w:r>
                <w:rPr>
                  <w:noProof/>
                  <w:lang w:val="es-ES"/>
                </w:rPr>
                <w:t xml:space="preserve">Francke, P. (16 de Abril - Setiembre de 2022). "La minería, un tema importante" ; "Verdades sobre la tercerización" ; "Empleos y salarios". </w:t>
              </w:r>
              <w:r>
                <w:rPr>
                  <w:i/>
                  <w:iCs/>
                  <w:noProof/>
                  <w:lang w:val="es-ES"/>
                </w:rPr>
                <w:t>HILDEBRANT EN SUS 13</w:t>
              </w:r>
              <w:r>
                <w:rPr>
                  <w:noProof/>
                  <w:lang w:val="es-ES"/>
                </w:rPr>
                <w:t>, págs. 14-20.</w:t>
              </w:r>
            </w:p>
            <w:p w14:paraId="29B20EAF" w14:textId="77777777" w:rsidR="00852463" w:rsidRPr="00852463" w:rsidRDefault="00852463" w:rsidP="00852463">
              <w:pPr>
                <w:pStyle w:val="Bibliografa"/>
                <w:ind w:left="720" w:hanging="720"/>
                <w:rPr>
                  <w:noProof/>
                  <w:lang w:val="en-US"/>
                </w:rPr>
              </w:pPr>
              <w:r>
                <w:rPr>
                  <w:noProof/>
                  <w:lang w:val="es-ES"/>
                </w:rPr>
                <w:t xml:space="preserve">Molina Martinez, R., Trivelli Avila, C., Zegarra Machiavello, D., &amp; Bustamante Suarez, P. (2024). </w:t>
              </w:r>
              <w:r w:rsidRPr="00852463">
                <w:rPr>
                  <w:i/>
                  <w:iCs/>
                  <w:noProof/>
                  <w:lang w:val="en-US"/>
                </w:rPr>
                <w:t>Desarrollo territorial y mineria.</w:t>
              </w:r>
              <w:r w:rsidRPr="00852463">
                <w:rPr>
                  <w:noProof/>
                  <w:lang w:val="en-US"/>
                </w:rPr>
                <w:t xml:space="preserve"> Lima.</w:t>
              </w:r>
            </w:p>
            <w:p w14:paraId="2EEA1C14" w14:textId="77777777" w:rsidR="00852463" w:rsidRPr="00852463" w:rsidRDefault="00852463" w:rsidP="00852463">
              <w:pPr>
                <w:pStyle w:val="Bibliografa"/>
                <w:ind w:left="720" w:hanging="720"/>
                <w:rPr>
                  <w:noProof/>
                  <w:lang w:val="en-US"/>
                </w:rPr>
              </w:pPr>
              <w:r w:rsidRPr="00852463">
                <w:rPr>
                  <w:noProof/>
                  <w:lang w:val="en-US"/>
                </w:rPr>
                <w:t xml:space="preserve">Sanchez, D. (2017). The Political Economy of Inequality. </w:t>
              </w:r>
              <w:r w:rsidRPr="00852463">
                <w:rPr>
                  <w:i/>
                  <w:iCs/>
                  <w:noProof/>
                  <w:lang w:val="en-US"/>
                </w:rPr>
                <w:t>Has Latin American Inequality Changed Direction?</w:t>
              </w:r>
              <w:r w:rsidRPr="00852463">
                <w:rPr>
                  <w:noProof/>
                  <w:lang w:val="en-US"/>
                </w:rPr>
                <w:t>, 339-363.</w:t>
              </w:r>
            </w:p>
            <w:p w14:paraId="6643F033" w14:textId="77777777" w:rsidR="00852463" w:rsidRPr="00852463" w:rsidRDefault="00852463" w:rsidP="00852463">
              <w:pPr>
                <w:pStyle w:val="Bibliografa"/>
                <w:ind w:left="720" w:hanging="720"/>
                <w:rPr>
                  <w:noProof/>
                  <w:lang w:val="en-US"/>
                </w:rPr>
              </w:pPr>
              <w:r w:rsidRPr="004710BF">
                <w:rPr>
                  <w:noProof/>
                  <w:lang w:val="en-US"/>
                </w:rPr>
                <w:t xml:space="preserve">Schatan, R., Camero, E., Guajardo, J. C., &amp; Mylonas, V. (2022). </w:t>
              </w:r>
              <w:r w:rsidRPr="00852463">
                <w:rPr>
                  <w:noProof/>
                  <w:lang w:val="en-US"/>
                </w:rPr>
                <w:t>Proposals for the 2022 Tax Reform: Mining Sector Fiscal Regime, Capital Gains, and IGV on Digital Services.</w:t>
              </w:r>
            </w:p>
            <w:p w14:paraId="529DF1EC" w14:textId="740A82BE" w:rsidR="005420A7" w:rsidRPr="00CB5E1A" w:rsidRDefault="007001B6" w:rsidP="00CB5E1A">
              <w:pPr>
                <w:spacing w:line="360" w:lineRule="auto"/>
              </w:pPr>
              <w:r w:rsidRPr="00393ACD">
                <w:rPr>
                  <w:rFonts w:ascii="Arial" w:hAnsi="Arial" w:cs="Arial"/>
                  <w:b/>
                  <w:bCs/>
                </w:rPr>
                <w:fldChar w:fldCharType="end"/>
              </w:r>
            </w:p>
          </w:sdtContent>
        </w:sdt>
      </w:sdtContent>
    </w:sdt>
    <w:sectPr w:rsidR="005420A7" w:rsidRPr="00CB5E1A">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458D7" w14:textId="77777777" w:rsidR="00931DFE" w:rsidRDefault="00931DFE" w:rsidP="00852463">
      <w:pPr>
        <w:spacing w:after="0" w:line="240" w:lineRule="auto"/>
      </w:pPr>
      <w:r>
        <w:separator/>
      </w:r>
    </w:p>
  </w:endnote>
  <w:endnote w:type="continuationSeparator" w:id="0">
    <w:p w14:paraId="77B9B1EC" w14:textId="77777777" w:rsidR="00931DFE" w:rsidRDefault="00931DFE" w:rsidP="00852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15564"/>
      <w:docPartObj>
        <w:docPartGallery w:val="Page Numbers (Bottom of Page)"/>
        <w:docPartUnique/>
      </w:docPartObj>
    </w:sdtPr>
    <w:sdtContent>
      <w:p w14:paraId="745E8CC5" w14:textId="65076185" w:rsidR="00852463" w:rsidRDefault="00852463">
        <w:pPr>
          <w:pStyle w:val="Piedepgina"/>
          <w:jc w:val="center"/>
        </w:pPr>
        <w:r>
          <w:fldChar w:fldCharType="begin"/>
        </w:r>
        <w:r>
          <w:instrText>PAGE   \* MERGEFORMAT</w:instrText>
        </w:r>
        <w:r>
          <w:fldChar w:fldCharType="separate"/>
        </w:r>
        <w:r>
          <w:rPr>
            <w:lang w:val="es-ES"/>
          </w:rPr>
          <w:t>2</w:t>
        </w:r>
        <w:r>
          <w:fldChar w:fldCharType="end"/>
        </w:r>
      </w:p>
    </w:sdtContent>
  </w:sdt>
  <w:p w14:paraId="66A336F2" w14:textId="77777777" w:rsidR="00852463" w:rsidRDefault="008524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E2D81" w14:textId="77777777" w:rsidR="00931DFE" w:rsidRDefault="00931DFE" w:rsidP="00852463">
      <w:pPr>
        <w:spacing w:after="0" w:line="240" w:lineRule="auto"/>
      </w:pPr>
      <w:r>
        <w:separator/>
      </w:r>
    </w:p>
  </w:footnote>
  <w:footnote w:type="continuationSeparator" w:id="0">
    <w:p w14:paraId="12DBDD5D" w14:textId="77777777" w:rsidR="00931DFE" w:rsidRDefault="00931DFE" w:rsidP="00852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66360"/>
    <w:multiLevelType w:val="hybridMultilevel"/>
    <w:tmpl w:val="6F7C7EE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EEA67E2"/>
    <w:multiLevelType w:val="hybridMultilevel"/>
    <w:tmpl w:val="1CDC9AF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A3B736C"/>
    <w:multiLevelType w:val="hybridMultilevel"/>
    <w:tmpl w:val="B34CE4C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B4426EF"/>
    <w:multiLevelType w:val="hybridMultilevel"/>
    <w:tmpl w:val="A1D63D3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49239284">
    <w:abstractNumId w:val="3"/>
  </w:num>
  <w:num w:numId="2" w16cid:durableId="2085762530">
    <w:abstractNumId w:val="1"/>
  </w:num>
  <w:num w:numId="3" w16cid:durableId="445346323">
    <w:abstractNumId w:val="2"/>
  </w:num>
  <w:num w:numId="4" w16cid:durableId="54175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BD"/>
    <w:rsid w:val="001647F6"/>
    <w:rsid w:val="001E700E"/>
    <w:rsid w:val="00393ACD"/>
    <w:rsid w:val="003F485E"/>
    <w:rsid w:val="0042732F"/>
    <w:rsid w:val="004710BF"/>
    <w:rsid w:val="004D259E"/>
    <w:rsid w:val="005420A7"/>
    <w:rsid w:val="007001B6"/>
    <w:rsid w:val="00715ADA"/>
    <w:rsid w:val="00750555"/>
    <w:rsid w:val="007534BD"/>
    <w:rsid w:val="007E415F"/>
    <w:rsid w:val="00852463"/>
    <w:rsid w:val="008759BD"/>
    <w:rsid w:val="0089601E"/>
    <w:rsid w:val="008B3870"/>
    <w:rsid w:val="00931DFE"/>
    <w:rsid w:val="009E04FC"/>
    <w:rsid w:val="00A53819"/>
    <w:rsid w:val="00AA4CA2"/>
    <w:rsid w:val="00AA640A"/>
    <w:rsid w:val="00AD5CDF"/>
    <w:rsid w:val="00B14E5C"/>
    <w:rsid w:val="00B338E9"/>
    <w:rsid w:val="00B50EF1"/>
    <w:rsid w:val="00BD3E38"/>
    <w:rsid w:val="00CB5E1A"/>
    <w:rsid w:val="00CE0A37"/>
    <w:rsid w:val="00D44E41"/>
    <w:rsid w:val="00F35310"/>
    <w:rsid w:val="00FA64A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BE57"/>
  <w15:chartTrackingRefBased/>
  <w15:docId w15:val="{D2184457-9B05-4711-90AF-3E0A3BE3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01B6"/>
    <w:pPr>
      <w:keepNext/>
      <w:keepLines/>
      <w:spacing w:before="240" w:after="0"/>
      <w:outlineLvl w:val="0"/>
    </w:pPr>
    <w:rPr>
      <w:rFonts w:asciiTheme="majorHAnsi" w:eastAsiaTheme="majorEastAsia" w:hAnsiTheme="majorHAnsi" w:cstheme="majorBidi"/>
      <w:color w:val="2F5496" w:themeColor="accent1" w:themeShade="BF"/>
      <w:sz w:val="32"/>
      <w:szCs w:val="32"/>
      <w:lang w:eastAsia="es-PE"/>
    </w:rPr>
  </w:style>
  <w:style w:type="paragraph" w:styleId="Ttulo2">
    <w:name w:val="heading 2"/>
    <w:basedOn w:val="Normal"/>
    <w:next w:val="Normal"/>
    <w:link w:val="Ttulo2Car"/>
    <w:uiPriority w:val="9"/>
    <w:unhideWhenUsed/>
    <w:qFormat/>
    <w:rsid w:val="00BD3E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4E41"/>
    <w:pPr>
      <w:ind w:left="720"/>
      <w:contextualSpacing/>
    </w:pPr>
  </w:style>
  <w:style w:type="character" w:customStyle="1" w:styleId="Ttulo1Car">
    <w:name w:val="Título 1 Car"/>
    <w:basedOn w:val="Fuentedeprrafopredeter"/>
    <w:link w:val="Ttulo1"/>
    <w:uiPriority w:val="9"/>
    <w:rsid w:val="007001B6"/>
    <w:rPr>
      <w:rFonts w:asciiTheme="majorHAnsi" w:eastAsiaTheme="majorEastAsia" w:hAnsiTheme="majorHAnsi" w:cstheme="majorBidi"/>
      <w:color w:val="2F5496" w:themeColor="accent1" w:themeShade="BF"/>
      <w:sz w:val="32"/>
      <w:szCs w:val="32"/>
      <w:lang w:eastAsia="es-PE"/>
    </w:rPr>
  </w:style>
  <w:style w:type="paragraph" w:styleId="Bibliografa">
    <w:name w:val="Bibliography"/>
    <w:basedOn w:val="Normal"/>
    <w:next w:val="Normal"/>
    <w:uiPriority w:val="37"/>
    <w:unhideWhenUsed/>
    <w:rsid w:val="007001B6"/>
  </w:style>
  <w:style w:type="character" w:customStyle="1" w:styleId="Ttulo2Car">
    <w:name w:val="Título 2 Car"/>
    <w:basedOn w:val="Fuentedeprrafopredeter"/>
    <w:link w:val="Ttulo2"/>
    <w:uiPriority w:val="9"/>
    <w:rsid w:val="00BD3E38"/>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BD3E38"/>
    <w:rPr>
      <w:color w:val="0563C1" w:themeColor="hyperlink"/>
      <w:u w:val="single"/>
    </w:rPr>
  </w:style>
  <w:style w:type="character" w:styleId="Mencinsinresolver">
    <w:name w:val="Unresolved Mention"/>
    <w:basedOn w:val="Fuentedeprrafopredeter"/>
    <w:uiPriority w:val="99"/>
    <w:semiHidden/>
    <w:unhideWhenUsed/>
    <w:rsid w:val="00BD3E38"/>
    <w:rPr>
      <w:color w:val="605E5C"/>
      <w:shd w:val="clear" w:color="auto" w:fill="E1DFDD"/>
    </w:rPr>
  </w:style>
  <w:style w:type="paragraph" w:styleId="Encabezado">
    <w:name w:val="header"/>
    <w:basedOn w:val="Normal"/>
    <w:link w:val="EncabezadoCar"/>
    <w:uiPriority w:val="99"/>
    <w:unhideWhenUsed/>
    <w:rsid w:val="008524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2463"/>
  </w:style>
  <w:style w:type="paragraph" w:styleId="Piedepgina">
    <w:name w:val="footer"/>
    <w:basedOn w:val="Normal"/>
    <w:link w:val="PiedepginaCar"/>
    <w:uiPriority w:val="99"/>
    <w:unhideWhenUsed/>
    <w:rsid w:val="008524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2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2977">
      <w:bodyDiv w:val="1"/>
      <w:marLeft w:val="0"/>
      <w:marRight w:val="0"/>
      <w:marTop w:val="0"/>
      <w:marBottom w:val="0"/>
      <w:divBdr>
        <w:top w:val="none" w:sz="0" w:space="0" w:color="auto"/>
        <w:left w:val="none" w:sz="0" w:space="0" w:color="auto"/>
        <w:bottom w:val="none" w:sz="0" w:space="0" w:color="auto"/>
        <w:right w:val="none" w:sz="0" w:space="0" w:color="auto"/>
      </w:divBdr>
    </w:div>
    <w:div w:id="220947078">
      <w:bodyDiv w:val="1"/>
      <w:marLeft w:val="0"/>
      <w:marRight w:val="0"/>
      <w:marTop w:val="0"/>
      <w:marBottom w:val="0"/>
      <w:divBdr>
        <w:top w:val="none" w:sz="0" w:space="0" w:color="auto"/>
        <w:left w:val="none" w:sz="0" w:space="0" w:color="auto"/>
        <w:bottom w:val="none" w:sz="0" w:space="0" w:color="auto"/>
        <w:right w:val="none" w:sz="0" w:space="0" w:color="auto"/>
      </w:divBdr>
    </w:div>
    <w:div w:id="264535921">
      <w:bodyDiv w:val="1"/>
      <w:marLeft w:val="0"/>
      <w:marRight w:val="0"/>
      <w:marTop w:val="0"/>
      <w:marBottom w:val="0"/>
      <w:divBdr>
        <w:top w:val="none" w:sz="0" w:space="0" w:color="auto"/>
        <w:left w:val="none" w:sz="0" w:space="0" w:color="auto"/>
        <w:bottom w:val="none" w:sz="0" w:space="0" w:color="auto"/>
        <w:right w:val="none" w:sz="0" w:space="0" w:color="auto"/>
      </w:divBdr>
    </w:div>
    <w:div w:id="289361414">
      <w:bodyDiv w:val="1"/>
      <w:marLeft w:val="0"/>
      <w:marRight w:val="0"/>
      <w:marTop w:val="0"/>
      <w:marBottom w:val="0"/>
      <w:divBdr>
        <w:top w:val="none" w:sz="0" w:space="0" w:color="auto"/>
        <w:left w:val="none" w:sz="0" w:space="0" w:color="auto"/>
        <w:bottom w:val="none" w:sz="0" w:space="0" w:color="auto"/>
        <w:right w:val="none" w:sz="0" w:space="0" w:color="auto"/>
      </w:divBdr>
    </w:div>
    <w:div w:id="291445906">
      <w:bodyDiv w:val="1"/>
      <w:marLeft w:val="0"/>
      <w:marRight w:val="0"/>
      <w:marTop w:val="0"/>
      <w:marBottom w:val="0"/>
      <w:divBdr>
        <w:top w:val="none" w:sz="0" w:space="0" w:color="auto"/>
        <w:left w:val="none" w:sz="0" w:space="0" w:color="auto"/>
        <w:bottom w:val="none" w:sz="0" w:space="0" w:color="auto"/>
        <w:right w:val="none" w:sz="0" w:space="0" w:color="auto"/>
      </w:divBdr>
    </w:div>
    <w:div w:id="338237362">
      <w:bodyDiv w:val="1"/>
      <w:marLeft w:val="0"/>
      <w:marRight w:val="0"/>
      <w:marTop w:val="0"/>
      <w:marBottom w:val="0"/>
      <w:divBdr>
        <w:top w:val="none" w:sz="0" w:space="0" w:color="auto"/>
        <w:left w:val="none" w:sz="0" w:space="0" w:color="auto"/>
        <w:bottom w:val="none" w:sz="0" w:space="0" w:color="auto"/>
        <w:right w:val="none" w:sz="0" w:space="0" w:color="auto"/>
      </w:divBdr>
    </w:div>
    <w:div w:id="470632525">
      <w:bodyDiv w:val="1"/>
      <w:marLeft w:val="0"/>
      <w:marRight w:val="0"/>
      <w:marTop w:val="0"/>
      <w:marBottom w:val="0"/>
      <w:divBdr>
        <w:top w:val="none" w:sz="0" w:space="0" w:color="auto"/>
        <w:left w:val="none" w:sz="0" w:space="0" w:color="auto"/>
        <w:bottom w:val="none" w:sz="0" w:space="0" w:color="auto"/>
        <w:right w:val="none" w:sz="0" w:space="0" w:color="auto"/>
      </w:divBdr>
    </w:div>
    <w:div w:id="539322918">
      <w:bodyDiv w:val="1"/>
      <w:marLeft w:val="0"/>
      <w:marRight w:val="0"/>
      <w:marTop w:val="0"/>
      <w:marBottom w:val="0"/>
      <w:divBdr>
        <w:top w:val="none" w:sz="0" w:space="0" w:color="auto"/>
        <w:left w:val="none" w:sz="0" w:space="0" w:color="auto"/>
        <w:bottom w:val="none" w:sz="0" w:space="0" w:color="auto"/>
        <w:right w:val="none" w:sz="0" w:space="0" w:color="auto"/>
      </w:divBdr>
    </w:div>
    <w:div w:id="624652792">
      <w:bodyDiv w:val="1"/>
      <w:marLeft w:val="0"/>
      <w:marRight w:val="0"/>
      <w:marTop w:val="0"/>
      <w:marBottom w:val="0"/>
      <w:divBdr>
        <w:top w:val="none" w:sz="0" w:space="0" w:color="auto"/>
        <w:left w:val="none" w:sz="0" w:space="0" w:color="auto"/>
        <w:bottom w:val="none" w:sz="0" w:space="0" w:color="auto"/>
        <w:right w:val="none" w:sz="0" w:space="0" w:color="auto"/>
      </w:divBdr>
    </w:div>
    <w:div w:id="896664916">
      <w:bodyDiv w:val="1"/>
      <w:marLeft w:val="0"/>
      <w:marRight w:val="0"/>
      <w:marTop w:val="0"/>
      <w:marBottom w:val="0"/>
      <w:divBdr>
        <w:top w:val="none" w:sz="0" w:space="0" w:color="auto"/>
        <w:left w:val="none" w:sz="0" w:space="0" w:color="auto"/>
        <w:bottom w:val="none" w:sz="0" w:space="0" w:color="auto"/>
        <w:right w:val="none" w:sz="0" w:space="0" w:color="auto"/>
      </w:divBdr>
    </w:div>
    <w:div w:id="1118842661">
      <w:bodyDiv w:val="1"/>
      <w:marLeft w:val="0"/>
      <w:marRight w:val="0"/>
      <w:marTop w:val="0"/>
      <w:marBottom w:val="0"/>
      <w:divBdr>
        <w:top w:val="none" w:sz="0" w:space="0" w:color="auto"/>
        <w:left w:val="none" w:sz="0" w:space="0" w:color="auto"/>
        <w:bottom w:val="none" w:sz="0" w:space="0" w:color="auto"/>
        <w:right w:val="none" w:sz="0" w:space="0" w:color="auto"/>
      </w:divBdr>
    </w:div>
    <w:div w:id="1164781456">
      <w:bodyDiv w:val="1"/>
      <w:marLeft w:val="0"/>
      <w:marRight w:val="0"/>
      <w:marTop w:val="0"/>
      <w:marBottom w:val="0"/>
      <w:divBdr>
        <w:top w:val="none" w:sz="0" w:space="0" w:color="auto"/>
        <w:left w:val="none" w:sz="0" w:space="0" w:color="auto"/>
        <w:bottom w:val="none" w:sz="0" w:space="0" w:color="auto"/>
        <w:right w:val="none" w:sz="0" w:space="0" w:color="auto"/>
      </w:divBdr>
    </w:div>
    <w:div w:id="1189298195">
      <w:bodyDiv w:val="1"/>
      <w:marLeft w:val="0"/>
      <w:marRight w:val="0"/>
      <w:marTop w:val="0"/>
      <w:marBottom w:val="0"/>
      <w:divBdr>
        <w:top w:val="none" w:sz="0" w:space="0" w:color="auto"/>
        <w:left w:val="none" w:sz="0" w:space="0" w:color="auto"/>
        <w:bottom w:val="none" w:sz="0" w:space="0" w:color="auto"/>
        <w:right w:val="none" w:sz="0" w:space="0" w:color="auto"/>
      </w:divBdr>
    </w:div>
    <w:div w:id="1199317546">
      <w:bodyDiv w:val="1"/>
      <w:marLeft w:val="0"/>
      <w:marRight w:val="0"/>
      <w:marTop w:val="0"/>
      <w:marBottom w:val="0"/>
      <w:divBdr>
        <w:top w:val="none" w:sz="0" w:space="0" w:color="auto"/>
        <w:left w:val="none" w:sz="0" w:space="0" w:color="auto"/>
        <w:bottom w:val="none" w:sz="0" w:space="0" w:color="auto"/>
        <w:right w:val="none" w:sz="0" w:space="0" w:color="auto"/>
      </w:divBdr>
    </w:div>
    <w:div w:id="1247231694">
      <w:bodyDiv w:val="1"/>
      <w:marLeft w:val="0"/>
      <w:marRight w:val="0"/>
      <w:marTop w:val="0"/>
      <w:marBottom w:val="0"/>
      <w:divBdr>
        <w:top w:val="none" w:sz="0" w:space="0" w:color="auto"/>
        <w:left w:val="none" w:sz="0" w:space="0" w:color="auto"/>
        <w:bottom w:val="none" w:sz="0" w:space="0" w:color="auto"/>
        <w:right w:val="none" w:sz="0" w:space="0" w:color="auto"/>
      </w:divBdr>
    </w:div>
    <w:div w:id="1280334709">
      <w:bodyDiv w:val="1"/>
      <w:marLeft w:val="0"/>
      <w:marRight w:val="0"/>
      <w:marTop w:val="0"/>
      <w:marBottom w:val="0"/>
      <w:divBdr>
        <w:top w:val="none" w:sz="0" w:space="0" w:color="auto"/>
        <w:left w:val="none" w:sz="0" w:space="0" w:color="auto"/>
        <w:bottom w:val="none" w:sz="0" w:space="0" w:color="auto"/>
        <w:right w:val="none" w:sz="0" w:space="0" w:color="auto"/>
      </w:divBdr>
    </w:div>
    <w:div w:id="1464889902">
      <w:bodyDiv w:val="1"/>
      <w:marLeft w:val="0"/>
      <w:marRight w:val="0"/>
      <w:marTop w:val="0"/>
      <w:marBottom w:val="0"/>
      <w:divBdr>
        <w:top w:val="none" w:sz="0" w:space="0" w:color="auto"/>
        <w:left w:val="none" w:sz="0" w:space="0" w:color="auto"/>
        <w:bottom w:val="none" w:sz="0" w:space="0" w:color="auto"/>
        <w:right w:val="none" w:sz="0" w:space="0" w:color="auto"/>
      </w:divBdr>
    </w:div>
    <w:div w:id="1539705958">
      <w:bodyDiv w:val="1"/>
      <w:marLeft w:val="0"/>
      <w:marRight w:val="0"/>
      <w:marTop w:val="0"/>
      <w:marBottom w:val="0"/>
      <w:divBdr>
        <w:top w:val="none" w:sz="0" w:space="0" w:color="auto"/>
        <w:left w:val="none" w:sz="0" w:space="0" w:color="auto"/>
        <w:bottom w:val="none" w:sz="0" w:space="0" w:color="auto"/>
        <w:right w:val="none" w:sz="0" w:space="0" w:color="auto"/>
      </w:divBdr>
    </w:div>
    <w:div w:id="1569416514">
      <w:bodyDiv w:val="1"/>
      <w:marLeft w:val="0"/>
      <w:marRight w:val="0"/>
      <w:marTop w:val="0"/>
      <w:marBottom w:val="0"/>
      <w:divBdr>
        <w:top w:val="none" w:sz="0" w:space="0" w:color="auto"/>
        <w:left w:val="none" w:sz="0" w:space="0" w:color="auto"/>
        <w:bottom w:val="none" w:sz="0" w:space="0" w:color="auto"/>
        <w:right w:val="none" w:sz="0" w:space="0" w:color="auto"/>
      </w:divBdr>
    </w:div>
    <w:div w:id="1593663657">
      <w:bodyDiv w:val="1"/>
      <w:marLeft w:val="0"/>
      <w:marRight w:val="0"/>
      <w:marTop w:val="0"/>
      <w:marBottom w:val="0"/>
      <w:divBdr>
        <w:top w:val="none" w:sz="0" w:space="0" w:color="auto"/>
        <w:left w:val="none" w:sz="0" w:space="0" w:color="auto"/>
        <w:bottom w:val="none" w:sz="0" w:space="0" w:color="auto"/>
        <w:right w:val="none" w:sz="0" w:space="0" w:color="auto"/>
      </w:divBdr>
    </w:div>
    <w:div w:id="1624922075">
      <w:bodyDiv w:val="1"/>
      <w:marLeft w:val="0"/>
      <w:marRight w:val="0"/>
      <w:marTop w:val="0"/>
      <w:marBottom w:val="0"/>
      <w:divBdr>
        <w:top w:val="none" w:sz="0" w:space="0" w:color="auto"/>
        <w:left w:val="none" w:sz="0" w:space="0" w:color="auto"/>
        <w:bottom w:val="none" w:sz="0" w:space="0" w:color="auto"/>
        <w:right w:val="none" w:sz="0" w:space="0" w:color="auto"/>
      </w:divBdr>
    </w:div>
    <w:div w:id="1635483399">
      <w:bodyDiv w:val="1"/>
      <w:marLeft w:val="0"/>
      <w:marRight w:val="0"/>
      <w:marTop w:val="0"/>
      <w:marBottom w:val="0"/>
      <w:divBdr>
        <w:top w:val="none" w:sz="0" w:space="0" w:color="auto"/>
        <w:left w:val="none" w:sz="0" w:space="0" w:color="auto"/>
        <w:bottom w:val="none" w:sz="0" w:space="0" w:color="auto"/>
        <w:right w:val="none" w:sz="0" w:space="0" w:color="auto"/>
      </w:divBdr>
    </w:div>
    <w:div w:id="1677541043">
      <w:bodyDiv w:val="1"/>
      <w:marLeft w:val="0"/>
      <w:marRight w:val="0"/>
      <w:marTop w:val="0"/>
      <w:marBottom w:val="0"/>
      <w:divBdr>
        <w:top w:val="none" w:sz="0" w:space="0" w:color="auto"/>
        <w:left w:val="none" w:sz="0" w:space="0" w:color="auto"/>
        <w:bottom w:val="none" w:sz="0" w:space="0" w:color="auto"/>
        <w:right w:val="none" w:sz="0" w:space="0" w:color="auto"/>
      </w:divBdr>
    </w:div>
    <w:div w:id="1712996835">
      <w:bodyDiv w:val="1"/>
      <w:marLeft w:val="0"/>
      <w:marRight w:val="0"/>
      <w:marTop w:val="0"/>
      <w:marBottom w:val="0"/>
      <w:divBdr>
        <w:top w:val="none" w:sz="0" w:space="0" w:color="auto"/>
        <w:left w:val="none" w:sz="0" w:space="0" w:color="auto"/>
        <w:bottom w:val="none" w:sz="0" w:space="0" w:color="auto"/>
        <w:right w:val="none" w:sz="0" w:space="0" w:color="auto"/>
      </w:divBdr>
    </w:div>
    <w:div w:id="1746370106">
      <w:bodyDiv w:val="1"/>
      <w:marLeft w:val="0"/>
      <w:marRight w:val="0"/>
      <w:marTop w:val="0"/>
      <w:marBottom w:val="0"/>
      <w:divBdr>
        <w:top w:val="none" w:sz="0" w:space="0" w:color="auto"/>
        <w:left w:val="none" w:sz="0" w:space="0" w:color="auto"/>
        <w:bottom w:val="none" w:sz="0" w:space="0" w:color="auto"/>
        <w:right w:val="none" w:sz="0" w:space="0" w:color="auto"/>
      </w:divBdr>
    </w:div>
    <w:div w:id="1904171683">
      <w:bodyDiv w:val="1"/>
      <w:marLeft w:val="0"/>
      <w:marRight w:val="0"/>
      <w:marTop w:val="0"/>
      <w:marBottom w:val="0"/>
      <w:divBdr>
        <w:top w:val="none" w:sz="0" w:space="0" w:color="auto"/>
        <w:left w:val="none" w:sz="0" w:space="0" w:color="auto"/>
        <w:bottom w:val="none" w:sz="0" w:space="0" w:color="auto"/>
        <w:right w:val="none" w:sz="0" w:space="0" w:color="auto"/>
      </w:divBdr>
    </w:div>
    <w:div w:id="1957522988">
      <w:bodyDiv w:val="1"/>
      <w:marLeft w:val="0"/>
      <w:marRight w:val="0"/>
      <w:marTop w:val="0"/>
      <w:marBottom w:val="0"/>
      <w:divBdr>
        <w:top w:val="none" w:sz="0" w:space="0" w:color="auto"/>
        <w:left w:val="none" w:sz="0" w:space="0" w:color="auto"/>
        <w:bottom w:val="none" w:sz="0" w:space="0" w:color="auto"/>
        <w:right w:val="none" w:sz="0" w:space="0" w:color="auto"/>
      </w:divBdr>
    </w:div>
    <w:div w:id="21286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e.suni.uns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Cis86</b:Tag>
    <b:SourceType>Book</b:SourceType>
    <b:Guid>{C137234A-E562-42BE-9A70-EEC40936B52C}</b:Guid>
    <b:Title>MINERÍA : RIQUEZA Y POBREZA DEL PERÚ</b:Title>
    <b:Year>1986</b:Year>
    <b:LCID>es-PE</b:LCID>
    <b:Author>
      <b:Author>
        <b:NameList>
          <b:Person>
            <b:Last>Cisneros</b:Last>
            <b:First>M.</b:First>
          </b:Person>
        </b:NameList>
      </b:Author>
    </b:Author>
    <b:City>Peru</b:City>
    <b:Publisher>M. A.</b:Publisher>
    <b:RefOrder>2</b:RefOrder>
  </b:Source>
  <b:Source>
    <b:Tag>San17</b:Tag>
    <b:SourceType>JournalArticle</b:SourceType>
    <b:Guid>{C7C74CD4-B0C3-400C-8F7F-43DDBB395602}</b:Guid>
    <b:Title>The Political Economy of Inequality</b:Title>
    <b:Year>2017</b:Year>
    <b:Author>
      <b:Author>
        <b:NameList>
          <b:Person>
            <b:Last>Sanchez</b:Last>
            <b:First>D.</b:First>
          </b:Person>
        </b:NameList>
      </b:Author>
    </b:Author>
    <b:JournalName>Has Latin American Inequality Changed Direction?</b:JournalName>
    <b:Pages>339-363</b:Pages>
    <b:RefOrder>5</b:RefOrder>
  </b:Source>
  <b:Source>
    <b:Tag>Sch22</b:Tag>
    <b:SourceType>JournalArticle</b:SourceType>
    <b:Guid>{301DE740-CD27-4857-94DA-A877D902CFC2}</b:Guid>
    <b:Title>Proposals for the 2022 Tax Reform: Mining Sector Fiscal Regime, Capital Gains, and IGV on Digital Services</b:Title>
    <b:Year>2022</b:Year>
    <b:Author>
      <b:Author>
        <b:NameList>
          <b:Person>
            <b:Last>Schatan, R.</b:Last>
          </b:Person>
          <b:Person>
            <b:Last>Camero, E.</b:Last>
          </b:Person>
          <b:Person>
            <b:Last>Guajardo, J. C.</b:Last>
          </b:Person>
          <b:Person>
            <b:Last>Mylonas, V.</b:Last>
          </b:Person>
        </b:NameList>
      </b:Author>
    </b:Author>
    <b:RefOrder>4</b:RefOrder>
  </b:Source>
  <b:Source>
    <b:Tag>Mol24</b:Tag>
    <b:SourceType>Book</b:SourceType>
    <b:Guid>{D8D95EF5-7899-48ED-8C04-4AA1CD2F3B2F}</b:Guid>
    <b:Title>Desarrollo territorial y mineria</b:Title>
    <b:Year>2024</b:Year>
    <b:City>Lima</b:City>
    <b:Author>
      <b:Author>
        <b:NameList>
          <b:Person>
            <b:Last>Molina Martinez</b:Last>
            <b:First>Raul</b:First>
          </b:Person>
          <b:Person>
            <b:Last>Trivelli Avila</b:Last>
            <b:First>Carolina</b:First>
          </b:Person>
          <b:Person>
            <b:Last>Zegarra Machiavello</b:Last>
            <b:First>Dario</b:First>
          </b:Person>
          <b:Person>
            <b:Last>Bustamante Suarez</b:Last>
            <b:First>Paola</b:First>
          </b:Person>
        </b:NameList>
      </b:Author>
    </b:Author>
    <b:RefOrder>3</b:RefOrder>
  </b:Source>
  <b:Source>
    <b:Tag>Fra22</b:Tag>
    <b:SourceType>ArticleInAPeriodical</b:SourceType>
    <b:Guid>{B5973F89-9C31-4E4D-9EA9-88C1F5CAAB4A}</b:Guid>
    <b:Author>
      <b:Author>
        <b:NameList>
          <b:Person>
            <b:Last>Francke</b:Last>
            <b:First>Pedro</b:First>
          </b:Person>
        </b:NameList>
      </b:Author>
    </b:Author>
    <b:Title>"La minería, un tema importante" ; "Verdades sobre la tercerización" ; "Empleos y salarios"</b:Title>
    <b:Year>2022</b:Year>
    <b:Month>Abril - Setiembre</b:Month>
    <b:Day>16</b:Day>
    <b:PeriodicalTitle>HILDEBRANT EN SUS 13</b:PeriodicalTitle>
    <b:Pages>14-20</b:Pages>
    <b:RefOrder>1</b:RefOrder>
  </b:Source>
</b:Sources>
</file>

<file path=customXml/itemProps1.xml><?xml version="1.0" encoding="utf-8"?>
<ds:datastoreItem xmlns:ds="http://schemas.openxmlformats.org/officeDocument/2006/customXml" ds:itemID="{81E8CDEA-DF38-4DB2-8135-5906CC795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1042</Words>
  <Characters>5733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andres suni apaza</dc:creator>
  <cp:keywords/>
  <dc:description/>
  <cp:lastModifiedBy>Carla Bustamante</cp:lastModifiedBy>
  <cp:revision>6</cp:revision>
  <cp:lastPrinted>2025-04-08T03:59:00Z</cp:lastPrinted>
  <dcterms:created xsi:type="dcterms:W3CDTF">2025-04-21T16:12:00Z</dcterms:created>
  <dcterms:modified xsi:type="dcterms:W3CDTF">2025-04-21T21:04:00Z</dcterms:modified>
</cp:coreProperties>
</file>