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D921F" w14:textId="77E2DB12" w:rsidR="004041D6" w:rsidRPr="004041D6" w:rsidRDefault="004041D6" w:rsidP="004041D6">
      <w:pPr>
        <w:spacing w:line="360" w:lineRule="auto"/>
        <w:jc w:val="center"/>
        <w:rPr>
          <w:rFonts w:ascii="Arial" w:hAnsi="Arial" w:cs="Arial"/>
          <w:b/>
          <w:bCs/>
          <w:lang w:val="es-PE"/>
        </w:rPr>
      </w:pPr>
      <w:r w:rsidRPr="004041D6">
        <w:rPr>
          <w:rFonts w:ascii="Arial" w:hAnsi="Arial" w:cs="Arial"/>
          <w:b/>
          <w:bCs/>
          <w:lang w:val="es-PE"/>
        </w:rPr>
        <w:t>“Aprovechamiento de los relaves mineros como adición al concreto premezclado bajo NTP 33</w:t>
      </w:r>
      <w:r w:rsidR="00AD3719">
        <w:rPr>
          <w:rFonts w:ascii="Arial" w:hAnsi="Arial" w:cs="Arial"/>
          <w:b/>
          <w:bCs/>
          <w:lang w:val="es-PE"/>
        </w:rPr>
        <w:t>9</w:t>
      </w:r>
      <w:r w:rsidRPr="004041D6">
        <w:rPr>
          <w:rFonts w:ascii="Arial" w:hAnsi="Arial" w:cs="Arial"/>
          <w:b/>
          <w:bCs/>
          <w:lang w:val="es-PE"/>
        </w:rPr>
        <w:t>.0</w:t>
      </w:r>
      <w:r w:rsidR="00AD3719">
        <w:rPr>
          <w:rFonts w:ascii="Arial" w:hAnsi="Arial" w:cs="Arial"/>
          <w:b/>
          <w:bCs/>
          <w:lang w:val="es-PE"/>
        </w:rPr>
        <w:t>34</w:t>
      </w:r>
      <w:r w:rsidRPr="004041D6">
        <w:rPr>
          <w:rFonts w:ascii="Arial" w:hAnsi="Arial" w:cs="Arial"/>
          <w:b/>
          <w:bCs/>
          <w:lang w:val="es-PE"/>
        </w:rPr>
        <w:t>”</w:t>
      </w:r>
    </w:p>
    <w:p w14:paraId="3D590A98" w14:textId="5AFA1081" w:rsidR="004041D6" w:rsidRPr="004041D6" w:rsidRDefault="004041D6" w:rsidP="004041D6">
      <w:pPr>
        <w:spacing w:line="360" w:lineRule="auto"/>
        <w:jc w:val="center"/>
        <w:rPr>
          <w:rFonts w:ascii="Arial" w:hAnsi="Arial" w:cs="Arial"/>
          <w:b/>
          <w:bCs/>
          <w:lang w:val="es-PE"/>
        </w:rPr>
      </w:pPr>
      <w:proofErr w:type="spellStart"/>
      <w:r w:rsidRPr="004041D6">
        <w:rPr>
          <w:rFonts w:ascii="Arial" w:hAnsi="Arial" w:cs="Arial"/>
        </w:rPr>
        <w:t>Reutilización</w:t>
      </w:r>
      <w:proofErr w:type="spellEnd"/>
      <w:r w:rsidRPr="004041D6">
        <w:rPr>
          <w:rFonts w:ascii="Arial" w:hAnsi="Arial" w:cs="Arial"/>
        </w:rPr>
        <w:t>/</w:t>
      </w:r>
      <w:proofErr w:type="spellStart"/>
      <w:r w:rsidRPr="004041D6">
        <w:rPr>
          <w:rFonts w:ascii="Arial" w:hAnsi="Arial" w:cs="Arial"/>
        </w:rPr>
        <w:t>Procesamiento</w:t>
      </w:r>
      <w:proofErr w:type="spellEnd"/>
      <w:r w:rsidRPr="004041D6">
        <w:rPr>
          <w:rFonts w:ascii="Arial" w:hAnsi="Arial" w:cs="Arial"/>
        </w:rPr>
        <w:t xml:space="preserve"> de </w:t>
      </w:r>
      <w:proofErr w:type="spellStart"/>
      <w:r w:rsidRPr="004041D6">
        <w:rPr>
          <w:rFonts w:ascii="Arial" w:hAnsi="Arial" w:cs="Arial"/>
        </w:rPr>
        <w:t>desechos</w:t>
      </w:r>
      <w:proofErr w:type="spellEnd"/>
      <w:r w:rsidRPr="004041D6">
        <w:rPr>
          <w:rFonts w:ascii="Arial" w:hAnsi="Arial" w:cs="Arial"/>
        </w:rPr>
        <w:t xml:space="preserve"> de </w:t>
      </w:r>
      <w:proofErr w:type="spellStart"/>
      <w:r w:rsidRPr="004041D6">
        <w:rPr>
          <w:rFonts w:ascii="Arial" w:hAnsi="Arial" w:cs="Arial"/>
        </w:rPr>
        <w:t>plantas</w:t>
      </w:r>
      <w:proofErr w:type="spellEnd"/>
      <w:r w:rsidRPr="004041D6">
        <w:rPr>
          <w:rFonts w:ascii="Arial" w:hAnsi="Arial" w:cs="Arial"/>
        </w:rPr>
        <w:t xml:space="preserve"> </w:t>
      </w:r>
      <w:proofErr w:type="spellStart"/>
      <w:r w:rsidRPr="004041D6">
        <w:rPr>
          <w:rFonts w:ascii="Arial" w:hAnsi="Arial" w:cs="Arial"/>
        </w:rPr>
        <w:t>metalúrgicas</w:t>
      </w:r>
      <w:proofErr w:type="spellEnd"/>
      <w:r w:rsidRPr="004041D6">
        <w:rPr>
          <w:rFonts w:ascii="Arial" w:hAnsi="Arial" w:cs="Arial"/>
        </w:rPr>
        <w:t xml:space="preserve"> (</w:t>
      </w:r>
      <w:proofErr w:type="spellStart"/>
      <w:r w:rsidRPr="004041D6">
        <w:rPr>
          <w:rFonts w:ascii="Arial" w:hAnsi="Arial" w:cs="Arial"/>
        </w:rPr>
        <w:t>escoria</w:t>
      </w:r>
      <w:proofErr w:type="spellEnd"/>
      <w:r w:rsidRPr="004041D6">
        <w:rPr>
          <w:rFonts w:ascii="Arial" w:hAnsi="Arial" w:cs="Arial"/>
        </w:rPr>
        <w:t xml:space="preserve">, </w:t>
      </w:r>
      <w:proofErr w:type="spellStart"/>
      <w:r w:rsidRPr="004041D6">
        <w:rPr>
          <w:rFonts w:ascii="Arial" w:hAnsi="Arial" w:cs="Arial"/>
        </w:rPr>
        <w:t>residuos</w:t>
      </w:r>
      <w:proofErr w:type="spellEnd"/>
      <w:r w:rsidRPr="004041D6">
        <w:rPr>
          <w:rFonts w:ascii="Arial" w:hAnsi="Arial" w:cs="Arial"/>
        </w:rPr>
        <w:t xml:space="preserve">, </w:t>
      </w:r>
      <w:proofErr w:type="spellStart"/>
      <w:r w:rsidRPr="004041D6">
        <w:rPr>
          <w:rFonts w:ascii="Arial" w:hAnsi="Arial" w:cs="Arial"/>
        </w:rPr>
        <w:t>relaves</w:t>
      </w:r>
      <w:proofErr w:type="spellEnd"/>
      <w:r w:rsidRPr="004041D6">
        <w:rPr>
          <w:rFonts w:ascii="Arial" w:hAnsi="Arial" w:cs="Arial"/>
        </w:rPr>
        <w:t xml:space="preserve"> y </w:t>
      </w:r>
      <w:proofErr w:type="spellStart"/>
      <w:r w:rsidRPr="004041D6">
        <w:rPr>
          <w:rFonts w:ascii="Arial" w:hAnsi="Arial" w:cs="Arial"/>
        </w:rPr>
        <w:t>polvos</w:t>
      </w:r>
      <w:proofErr w:type="spellEnd"/>
      <w:r w:rsidRPr="004041D6">
        <w:rPr>
          <w:rFonts w:ascii="Arial" w:hAnsi="Arial" w:cs="Arial"/>
        </w:rPr>
        <w:t>)</w:t>
      </w:r>
    </w:p>
    <w:p w14:paraId="01F4A525" w14:textId="77777777" w:rsidR="004041D6" w:rsidRPr="004041D6" w:rsidRDefault="004041D6" w:rsidP="004041D6">
      <w:pPr>
        <w:pStyle w:val="NormalWeb"/>
        <w:spacing w:before="75" w:beforeAutospacing="0" w:after="75" w:afterAutospacing="0" w:line="360" w:lineRule="auto"/>
        <w:ind w:right="75"/>
        <w:jc w:val="center"/>
        <w:rPr>
          <w:rFonts w:ascii="Arial" w:hAnsi="Arial" w:cs="Arial"/>
          <w:sz w:val="22"/>
          <w:szCs w:val="22"/>
        </w:rPr>
      </w:pPr>
      <w:r w:rsidRPr="004041D6">
        <w:rPr>
          <w:rFonts w:ascii="Arial" w:hAnsi="Arial" w:cs="Arial"/>
          <w:b/>
          <w:bCs/>
          <w:color w:val="000000" w:themeColor="text1"/>
          <w:sz w:val="22"/>
          <w:szCs w:val="22"/>
        </w:rPr>
        <w:t xml:space="preserve">Procesamiento de Minerales y Metalurgia Extractiva  </w:t>
      </w:r>
    </w:p>
    <w:p w14:paraId="3968A099" w14:textId="77777777" w:rsidR="004041D6" w:rsidRPr="004041D6" w:rsidRDefault="004041D6" w:rsidP="004041D6">
      <w:pPr>
        <w:pStyle w:val="NormalWeb"/>
        <w:spacing w:before="75" w:beforeAutospacing="0" w:after="75" w:afterAutospacing="0" w:line="360" w:lineRule="auto"/>
        <w:ind w:right="75"/>
        <w:jc w:val="center"/>
        <w:rPr>
          <w:rFonts w:ascii="Arial" w:hAnsi="Arial" w:cs="Arial"/>
          <w:b/>
          <w:bCs/>
          <w:i/>
          <w:iCs/>
          <w:sz w:val="22"/>
          <w:szCs w:val="22"/>
        </w:rPr>
      </w:pPr>
      <w:r w:rsidRPr="004041D6">
        <w:rPr>
          <w:rFonts w:ascii="Arial" w:hAnsi="Arial" w:cs="Arial"/>
          <w:b/>
          <w:bCs/>
          <w:i/>
          <w:iCs/>
          <w:sz w:val="22"/>
          <w:szCs w:val="22"/>
        </w:rPr>
        <w:t>Yanqui Reyes, Patricio</w:t>
      </w:r>
    </w:p>
    <w:p w14:paraId="7DE5F02F" w14:textId="1EC41501" w:rsidR="004041D6" w:rsidRPr="004041D6" w:rsidRDefault="004041D6" w:rsidP="004041D6">
      <w:pPr>
        <w:pStyle w:val="NormalWeb"/>
        <w:spacing w:before="75" w:beforeAutospacing="0" w:after="75" w:afterAutospacing="0" w:line="360" w:lineRule="auto"/>
        <w:ind w:right="75"/>
        <w:jc w:val="center"/>
        <w:rPr>
          <w:rFonts w:ascii="Arial" w:hAnsi="Arial" w:cs="Arial"/>
          <w:sz w:val="22"/>
          <w:szCs w:val="22"/>
        </w:rPr>
      </w:pPr>
      <w:r w:rsidRPr="004041D6">
        <w:rPr>
          <w:rFonts w:ascii="Arial" w:hAnsi="Arial" w:cs="Arial"/>
          <w:sz w:val="22"/>
          <w:szCs w:val="22"/>
        </w:rPr>
        <w:t xml:space="preserve"> Investigador, </w:t>
      </w:r>
      <w:proofErr w:type="spellStart"/>
      <w:r w:rsidRPr="004041D6">
        <w:rPr>
          <w:rFonts w:ascii="Arial" w:hAnsi="Arial" w:cs="Arial"/>
          <w:sz w:val="22"/>
          <w:szCs w:val="22"/>
        </w:rPr>
        <w:t>Tecsup</w:t>
      </w:r>
      <w:proofErr w:type="spellEnd"/>
      <w:r w:rsidRPr="004041D6">
        <w:rPr>
          <w:rFonts w:ascii="Arial" w:hAnsi="Arial" w:cs="Arial"/>
          <w:sz w:val="22"/>
          <w:szCs w:val="22"/>
        </w:rPr>
        <w:t xml:space="preserve">, Perú, </w:t>
      </w:r>
      <w:hyperlink r:id="rId4" w:history="1">
        <w:r w:rsidRPr="004041D6">
          <w:rPr>
            <w:rStyle w:val="Hipervnculo"/>
            <w:rFonts w:ascii="Arial" w:hAnsi="Arial" w:cs="Arial"/>
            <w:sz w:val="22"/>
            <w:szCs w:val="22"/>
            <w:lang w:val="es-PE"/>
          </w:rPr>
          <w:t>patricio.yanqui@tecsup.edu.pe</w:t>
        </w:r>
      </w:hyperlink>
      <w:r w:rsidRPr="004041D6">
        <w:rPr>
          <w:rFonts w:ascii="Arial" w:hAnsi="Arial" w:cs="Arial"/>
          <w:sz w:val="22"/>
          <w:szCs w:val="22"/>
        </w:rPr>
        <w:t xml:space="preserve"> , Celular: +51 959244688 </w:t>
      </w:r>
    </w:p>
    <w:p w14:paraId="766CE8B9" w14:textId="0E75D276" w:rsidR="004041D6" w:rsidRPr="004041D6" w:rsidRDefault="004041D6" w:rsidP="004041D6">
      <w:pPr>
        <w:spacing w:line="360" w:lineRule="auto"/>
        <w:jc w:val="center"/>
        <w:rPr>
          <w:rFonts w:ascii="Arial" w:hAnsi="Arial" w:cs="Arial"/>
          <w:b/>
          <w:bCs/>
          <w:lang w:val="es-PE"/>
        </w:rPr>
      </w:pPr>
      <w:r w:rsidRPr="004041D6">
        <w:rPr>
          <w:rFonts w:ascii="Arial" w:hAnsi="Arial" w:cs="Arial"/>
          <w:b/>
          <w:bCs/>
          <w:lang w:val="es-PE"/>
        </w:rPr>
        <w:t>Nicolás Saldaña Ojeda</w:t>
      </w:r>
    </w:p>
    <w:p w14:paraId="5917BF39" w14:textId="59A77F19" w:rsidR="004041D6" w:rsidRDefault="004041D6" w:rsidP="004041D6">
      <w:pPr>
        <w:spacing w:line="360" w:lineRule="auto"/>
        <w:rPr>
          <w:rFonts w:ascii="Arial" w:hAnsi="Arial" w:cs="Arial"/>
          <w:lang w:val="es-PE"/>
        </w:rPr>
      </w:pPr>
      <w:proofErr w:type="spellStart"/>
      <w:r w:rsidRPr="004041D6">
        <w:rPr>
          <w:rFonts w:ascii="Arial" w:hAnsi="Arial" w:cs="Arial"/>
          <w:lang w:val="es-PE"/>
        </w:rPr>
        <w:t>Grte</w:t>
      </w:r>
      <w:proofErr w:type="spellEnd"/>
      <w:r w:rsidRPr="004041D6">
        <w:rPr>
          <w:rFonts w:ascii="Arial" w:hAnsi="Arial" w:cs="Arial"/>
          <w:lang w:val="es-PE"/>
        </w:rPr>
        <w:t xml:space="preserve">. de Gobernanza, </w:t>
      </w:r>
      <w:proofErr w:type="spellStart"/>
      <w:r w:rsidRPr="004041D6">
        <w:rPr>
          <w:rFonts w:ascii="Arial" w:hAnsi="Arial" w:cs="Arial"/>
          <w:lang w:val="es-PE"/>
        </w:rPr>
        <w:t>Southern</w:t>
      </w:r>
      <w:proofErr w:type="spellEnd"/>
      <w:r w:rsidRPr="004041D6">
        <w:rPr>
          <w:rFonts w:ascii="Arial" w:hAnsi="Arial" w:cs="Arial"/>
          <w:lang w:val="es-PE"/>
        </w:rPr>
        <w:t xml:space="preserve"> </w:t>
      </w:r>
      <w:proofErr w:type="spellStart"/>
      <w:r w:rsidRPr="004041D6">
        <w:rPr>
          <w:rFonts w:ascii="Arial" w:hAnsi="Arial" w:cs="Arial"/>
          <w:lang w:val="es-PE"/>
        </w:rPr>
        <w:t>Peaks</w:t>
      </w:r>
      <w:proofErr w:type="spellEnd"/>
      <w:r w:rsidRPr="004041D6">
        <w:rPr>
          <w:rFonts w:ascii="Arial" w:hAnsi="Arial" w:cs="Arial"/>
          <w:lang w:val="es-PE"/>
        </w:rPr>
        <w:t xml:space="preserve"> </w:t>
      </w:r>
      <w:proofErr w:type="spellStart"/>
      <w:r w:rsidRPr="004041D6">
        <w:rPr>
          <w:rFonts w:ascii="Arial" w:hAnsi="Arial" w:cs="Arial"/>
          <w:lang w:val="es-PE"/>
        </w:rPr>
        <w:t>Mining</w:t>
      </w:r>
      <w:proofErr w:type="spellEnd"/>
      <w:r w:rsidRPr="004041D6">
        <w:rPr>
          <w:rFonts w:ascii="Arial" w:hAnsi="Arial" w:cs="Arial"/>
          <w:lang w:val="es-PE"/>
        </w:rPr>
        <w:t xml:space="preserve">, Perú, </w:t>
      </w:r>
      <w:hyperlink r:id="rId5" w:tgtFrame="_blank" w:history="1">
        <w:r w:rsidRPr="004041D6">
          <w:rPr>
            <w:rStyle w:val="il"/>
            <w:rFonts w:ascii="Arial" w:hAnsi="Arial" w:cs="Arial"/>
            <w:color w:val="1155CC"/>
            <w:u w:val="single"/>
            <w:shd w:val="clear" w:color="auto" w:fill="FFFFFF"/>
            <w:lang w:val="es-PE"/>
          </w:rPr>
          <w:t>nicolas.saldana@spm.pe</w:t>
        </w:r>
      </w:hyperlink>
      <w:r w:rsidRPr="004041D6">
        <w:rPr>
          <w:rStyle w:val="il"/>
          <w:rFonts w:ascii="Arial" w:hAnsi="Arial" w:cs="Arial"/>
          <w:color w:val="1155CC"/>
          <w:u w:val="single"/>
          <w:shd w:val="clear" w:color="auto" w:fill="FFFFFF"/>
          <w:lang w:val="es-PE"/>
        </w:rPr>
        <w:t xml:space="preserve">, </w:t>
      </w:r>
      <w:r w:rsidRPr="004041D6">
        <w:rPr>
          <w:rFonts w:ascii="Arial" w:hAnsi="Arial" w:cs="Arial"/>
          <w:lang w:val="es-PE"/>
        </w:rPr>
        <w:t>Celular: +51 940 479 470</w:t>
      </w:r>
    </w:p>
    <w:p w14:paraId="09C3C0B8" w14:textId="77777777" w:rsidR="004041D6" w:rsidRPr="009852DA" w:rsidRDefault="004041D6" w:rsidP="009852DA">
      <w:pPr>
        <w:spacing w:line="360" w:lineRule="auto"/>
        <w:jc w:val="both"/>
        <w:rPr>
          <w:rFonts w:ascii="Arial" w:hAnsi="Arial" w:cs="Arial"/>
        </w:rPr>
      </w:pPr>
    </w:p>
    <w:p w14:paraId="1594E129" w14:textId="41C8015A" w:rsidR="00290ABD" w:rsidRPr="009852DA" w:rsidRDefault="00290ABD" w:rsidP="009852DA">
      <w:pPr>
        <w:spacing w:line="360" w:lineRule="auto"/>
        <w:jc w:val="both"/>
        <w:rPr>
          <w:rFonts w:ascii="Arial" w:hAnsi="Arial" w:cs="Arial"/>
          <w:lang w:val="es-PE"/>
        </w:rPr>
      </w:pPr>
      <w:r w:rsidRPr="009852DA">
        <w:rPr>
          <w:rFonts w:ascii="Arial" w:hAnsi="Arial" w:cs="Arial"/>
          <w:lang w:val="es-PE"/>
        </w:rPr>
        <w:t xml:space="preserve">Las compañías mineras implementan planes de </w:t>
      </w:r>
      <w:proofErr w:type="spellStart"/>
      <w:r w:rsidRPr="009852DA">
        <w:rPr>
          <w:rFonts w:ascii="Arial" w:hAnsi="Arial" w:cs="Arial"/>
          <w:lang w:val="es-PE"/>
        </w:rPr>
        <w:t>post-cierre</w:t>
      </w:r>
      <w:proofErr w:type="spellEnd"/>
      <w:r w:rsidRPr="009852DA">
        <w:rPr>
          <w:rFonts w:ascii="Arial" w:hAnsi="Arial" w:cs="Arial"/>
          <w:lang w:val="es-PE"/>
        </w:rPr>
        <w:t xml:space="preserve"> al concluir sus actividades operativas, enfocándose principalmente en la gestión de pasivos ambientales, lo que incluye tratamiento, mantenimiento y rehabilitación. Se estima que para 2050, la demanda global de cobre superará los 50 millones de toneladas, impulsada por la transición energética. Esto incrementará la necesidad de procesamiento de mineral, generando un volumen significativo de relaves. La minería circular emerge como una estrategia clave para promover el desarrollo sostenible en sus dimensiones ambiental, económica y social.</w:t>
      </w:r>
    </w:p>
    <w:p w14:paraId="7AD6AEB8" w14:textId="33882844" w:rsidR="00290ABD" w:rsidRDefault="00290ABD" w:rsidP="009852DA">
      <w:pPr>
        <w:spacing w:line="360" w:lineRule="auto"/>
        <w:jc w:val="both"/>
        <w:rPr>
          <w:rFonts w:ascii="Arial" w:hAnsi="Arial" w:cs="Arial"/>
          <w:lang w:val="es-PE"/>
        </w:rPr>
      </w:pPr>
      <w:r w:rsidRPr="009852DA">
        <w:rPr>
          <w:rFonts w:ascii="Arial" w:hAnsi="Arial" w:cs="Arial"/>
          <w:lang w:val="es-PE"/>
        </w:rPr>
        <w:t>En este estudio, se caracterizó químicamente el relave minero para evaluar su potencial aprovechamiento como subproducto en la producción de concreto premezclado. El diseño de la mezcla, con resistencia de 210 kg/cm², estándar en el sector construcción, fue sometido a ensayos de sustitución de cemento y materiales finos</w:t>
      </w:r>
      <w:r w:rsidR="009852DA">
        <w:rPr>
          <w:rFonts w:ascii="Arial" w:hAnsi="Arial" w:cs="Arial"/>
          <w:lang w:val="es-PE"/>
        </w:rPr>
        <w:t xml:space="preserve"> de la mezcla total</w:t>
      </w:r>
      <w:r w:rsidRPr="009852DA">
        <w:rPr>
          <w:rFonts w:ascii="Arial" w:hAnsi="Arial" w:cs="Arial"/>
          <w:lang w:val="es-PE"/>
        </w:rPr>
        <w:t>. Los resultados indicaron que la sustitución de cemento en un 10% y de arena en 10%, 20% y 30%</w:t>
      </w:r>
      <w:r w:rsidR="009852DA">
        <w:rPr>
          <w:rFonts w:ascii="Arial" w:hAnsi="Arial" w:cs="Arial"/>
          <w:lang w:val="es-PE"/>
        </w:rPr>
        <w:t xml:space="preserve"> </w:t>
      </w:r>
      <w:r w:rsidRPr="009852DA">
        <w:rPr>
          <w:rFonts w:ascii="Arial" w:hAnsi="Arial" w:cs="Arial"/>
          <w:lang w:val="es-PE"/>
        </w:rPr>
        <w:t>cumplieron con los requisitos de la NTP 339.034 para resistencia a la compresión.</w:t>
      </w:r>
    </w:p>
    <w:p w14:paraId="097D7985" w14:textId="11D8B807" w:rsidR="009852DA" w:rsidRPr="009852DA" w:rsidRDefault="009852DA" w:rsidP="009852DA">
      <w:pPr>
        <w:spacing w:line="360" w:lineRule="auto"/>
        <w:jc w:val="both"/>
        <w:rPr>
          <w:rFonts w:ascii="Arial" w:hAnsi="Arial" w:cs="Arial"/>
          <w:lang w:val="es-PE"/>
        </w:rPr>
      </w:pPr>
      <w:r>
        <w:rPr>
          <w:rFonts w:ascii="Arial" w:hAnsi="Arial" w:cs="Arial"/>
          <w:lang w:val="es-PE"/>
        </w:rPr>
        <w:t xml:space="preserve">Para esta etapa inicial se evaluó los resultados obtenidos y se dio iniciativa a poder realizar ensayos con un diseño de flotación que permita la recuperación de metales que no son favorables para el diseño de mezcla de concreto y obtener la materia prima libre de estos elementos lixiviantes y seguir ensayando después de este proceso de flotación. </w:t>
      </w:r>
    </w:p>
    <w:p w14:paraId="7AA80057" w14:textId="77777777" w:rsidR="009852DA" w:rsidRPr="009852DA" w:rsidRDefault="00290ABD" w:rsidP="009852DA">
      <w:pPr>
        <w:spacing w:line="360" w:lineRule="auto"/>
        <w:jc w:val="both"/>
        <w:rPr>
          <w:rFonts w:ascii="Arial" w:hAnsi="Arial" w:cs="Arial"/>
          <w:lang w:val="es-PE"/>
        </w:rPr>
      </w:pPr>
      <w:r w:rsidRPr="009852DA">
        <w:rPr>
          <w:rFonts w:ascii="Arial" w:hAnsi="Arial" w:cs="Arial"/>
          <w:lang w:val="es-PE"/>
        </w:rPr>
        <w:t xml:space="preserve">Los resultados demuestran que es viable valorizar los relaves como materia prima para concreto premezclado. Se sugiere integrar la valorización de relaves desde la fase de extracción y </w:t>
      </w:r>
      <w:r w:rsidRPr="009852DA">
        <w:rPr>
          <w:rFonts w:ascii="Arial" w:hAnsi="Arial" w:cs="Arial"/>
          <w:lang w:val="es-PE"/>
        </w:rPr>
        <w:lastRenderedPageBreak/>
        <w:t>modificar los procesos mineros, impulsando un modelo de minería sostenible. Esta valorización favorecerá el crecimiento del sector construcción, promoviendo el desarrollo económico a través de proyectos de gran envergadura y la demanda de materiales e insumos, lo que dinamiza la economía y otros sectores industriales.</w:t>
      </w:r>
    </w:p>
    <w:p w14:paraId="476EDD55" w14:textId="2BE02EBC" w:rsidR="00A3332F" w:rsidRPr="004041D6" w:rsidRDefault="004041D6" w:rsidP="00290ABD">
      <w:pPr>
        <w:spacing w:line="360" w:lineRule="auto"/>
        <w:jc w:val="both"/>
        <w:rPr>
          <w:rFonts w:ascii="Arial" w:hAnsi="Arial" w:cs="Arial"/>
          <w:lang w:val="es-PE"/>
        </w:rPr>
      </w:pPr>
      <w:r w:rsidRPr="003A22B9">
        <w:rPr>
          <w:rFonts w:ascii="Arial" w:eastAsia="Times New Roman" w:hAnsi="Arial" w:cs="Arial"/>
          <w:b/>
          <w:bCs/>
          <w:color w:val="242424"/>
          <w:lang w:eastAsia="es-MX"/>
        </w:rPr>
        <w:t>Palabras clave</w:t>
      </w:r>
      <w:r>
        <w:rPr>
          <w:rFonts w:ascii="Arial" w:eastAsia="Times New Roman" w:hAnsi="Arial" w:cs="Arial"/>
          <w:b/>
          <w:bCs/>
          <w:color w:val="242424"/>
          <w:lang w:eastAsia="es-MX"/>
        </w:rPr>
        <w:t xml:space="preserve">: </w:t>
      </w:r>
      <w:r w:rsidR="001C3F51">
        <w:rPr>
          <w:rFonts w:ascii="Arial" w:eastAsia="Times New Roman" w:hAnsi="Arial" w:cs="Arial"/>
          <w:color w:val="242424"/>
          <w:lang w:val="es-PE" w:eastAsia="es-MX"/>
        </w:rPr>
        <w:t>Minería</w:t>
      </w:r>
      <w:r w:rsidRPr="004041D6">
        <w:rPr>
          <w:rFonts w:ascii="Arial" w:eastAsia="Times New Roman" w:hAnsi="Arial" w:cs="Arial"/>
          <w:color w:val="242424"/>
          <w:lang w:val="es-PE" w:eastAsia="es-MX"/>
        </w:rPr>
        <w:t xml:space="preserve"> circular, relaves, aprovechamiento, transición energética.</w:t>
      </w:r>
      <w:r w:rsidRPr="004041D6">
        <w:rPr>
          <w:rFonts w:ascii="Arial" w:eastAsia="Times New Roman" w:hAnsi="Arial" w:cs="Arial"/>
          <w:color w:val="242424"/>
          <w:lang w:eastAsia="es-MX"/>
        </w:rPr>
        <w:t xml:space="preserve"> </w:t>
      </w:r>
    </w:p>
    <w:p w14:paraId="032DF3A7" w14:textId="77777777" w:rsidR="00A3332F" w:rsidRPr="004041D6" w:rsidRDefault="00A3332F" w:rsidP="004041D6">
      <w:pPr>
        <w:spacing w:line="360" w:lineRule="auto"/>
        <w:jc w:val="both"/>
        <w:rPr>
          <w:rFonts w:ascii="Arial" w:hAnsi="Arial" w:cs="Arial"/>
          <w:lang w:val="es-PE"/>
        </w:rPr>
      </w:pPr>
    </w:p>
    <w:p w14:paraId="14E9051E" w14:textId="77777777" w:rsidR="00A3332F" w:rsidRPr="004041D6" w:rsidRDefault="00A3332F" w:rsidP="004041D6">
      <w:pPr>
        <w:spacing w:line="360" w:lineRule="auto"/>
        <w:jc w:val="both"/>
        <w:rPr>
          <w:rFonts w:ascii="Arial" w:hAnsi="Arial" w:cs="Arial"/>
          <w:lang w:val="es-PE"/>
        </w:rPr>
      </w:pPr>
      <w:r w:rsidRPr="004041D6">
        <w:rPr>
          <w:rFonts w:ascii="Arial" w:hAnsi="Arial" w:cs="Arial"/>
          <w:lang w:val="es-PE"/>
        </w:rPr>
        <w:t>Reseña profesional:</w:t>
      </w:r>
    </w:p>
    <w:p w14:paraId="4A761343" w14:textId="77777777" w:rsidR="00A3332F" w:rsidRPr="004041D6" w:rsidRDefault="00A3332F" w:rsidP="004041D6">
      <w:pPr>
        <w:spacing w:line="360" w:lineRule="auto"/>
        <w:jc w:val="both"/>
        <w:rPr>
          <w:rFonts w:ascii="Arial" w:hAnsi="Arial" w:cs="Arial"/>
          <w:lang w:val="es-PE"/>
        </w:rPr>
      </w:pPr>
      <w:r w:rsidRPr="004041D6">
        <w:rPr>
          <w:rFonts w:ascii="Arial" w:hAnsi="Arial" w:cs="Arial"/>
          <w:lang w:val="es-PE"/>
        </w:rPr>
        <w:t xml:space="preserve">Autor: Patricio Yanqui Reyes </w:t>
      </w:r>
    </w:p>
    <w:p w14:paraId="2ECDC722" w14:textId="25E44ABF" w:rsidR="00A3332F" w:rsidRPr="004041D6" w:rsidRDefault="00A3332F" w:rsidP="004041D6">
      <w:pPr>
        <w:spacing w:line="360" w:lineRule="auto"/>
        <w:jc w:val="both"/>
        <w:rPr>
          <w:rFonts w:ascii="Arial" w:hAnsi="Arial" w:cs="Arial"/>
          <w:lang w:val="es-PE"/>
        </w:rPr>
      </w:pPr>
      <w:r w:rsidRPr="004041D6">
        <w:rPr>
          <w:rFonts w:ascii="Arial" w:hAnsi="Arial" w:cs="Arial"/>
          <w:lang w:val="es-PE"/>
        </w:rPr>
        <w:t xml:space="preserve">Bachiller en Ingeniería Industrial por la Universidad Privada de Tacna, </w:t>
      </w:r>
      <w:r w:rsidR="004041D6">
        <w:rPr>
          <w:rFonts w:ascii="Arial" w:hAnsi="Arial" w:cs="Arial"/>
          <w:lang w:val="es-PE"/>
        </w:rPr>
        <w:t>egresado</w:t>
      </w:r>
      <w:r w:rsidRPr="004041D6">
        <w:rPr>
          <w:rFonts w:ascii="Arial" w:hAnsi="Arial" w:cs="Arial"/>
          <w:lang w:val="es-PE"/>
        </w:rPr>
        <w:t xml:space="preserve"> de la carrera de operación de plantas de procesamiento de minerales </w:t>
      </w:r>
      <w:proofErr w:type="spellStart"/>
      <w:r w:rsidRPr="004041D6">
        <w:rPr>
          <w:rFonts w:ascii="Arial" w:hAnsi="Arial" w:cs="Arial"/>
          <w:lang w:val="es-PE"/>
        </w:rPr>
        <w:t>Tecsup</w:t>
      </w:r>
      <w:proofErr w:type="spellEnd"/>
      <w:r w:rsidRPr="004041D6">
        <w:rPr>
          <w:rFonts w:ascii="Arial" w:hAnsi="Arial" w:cs="Arial"/>
          <w:lang w:val="es-PE"/>
        </w:rPr>
        <w:t xml:space="preserve"> – Arequipa, actualmente </w:t>
      </w:r>
      <w:r w:rsidR="004041D6">
        <w:rPr>
          <w:rFonts w:ascii="Arial" w:hAnsi="Arial" w:cs="Arial"/>
          <w:lang w:val="es-PE"/>
        </w:rPr>
        <w:t xml:space="preserve">laborando como Técnico de operaciones en Planta Industrial de Hidrometalurgia en Cerro Verde. </w:t>
      </w:r>
    </w:p>
    <w:p w14:paraId="275D3C5E" w14:textId="77777777" w:rsidR="00A3332F" w:rsidRPr="004041D6" w:rsidRDefault="00A3332F" w:rsidP="004041D6">
      <w:pPr>
        <w:spacing w:line="360" w:lineRule="auto"/>
        <w:jc w:val="both"/>
        <w:rPr>
          <w:rFonts w:ascii="Arial" w:hAnsi="Arial" w:cs="Arial"/>
          <w:lang w:val="es-PE"/>
        </w:rPr>
      </w:pPr>
    </w:p>
    <w:p w14:paraId="3EE1B3E5" w14:textId="77777777" w:rsidR="00A3332F" w:rsidRPr="004041D6" w:rsidRDefault="00A3332F" w:rsidP="004041D6">
      <w:pPr>
        <w:spacing w:line="360" w:lineRule="auto"/>
        <w:jc w:val="both"/>
        <w:rPr>
          <w:rFonts w:ascii="Arial" w:hAnsi="Arial" w:cs="Arial"/>
          <w:lang w:val="es-PE"/>
        </w:rPr>
      </w:pPr>
      <w:r w:rsidRPr="004041D6">
        <w:rPr>
          <w:rFonts w:ascii="Arial" w:hAnsi="Arial" w:cs="Arial"/>
          <w:lang w:val="es-PE"/>
        </w:rPr>
        <w:t>Coautor: Nicolás Saldaña Ojeda</w:t>
      </w:r>
    </w:p>
    <w:p w14:paraId="73BF388C" w14:textId="689E834B" w:rsidR="00A3332F" w:rsidRPr="004041D6" w:rsidRDefault="00A3332F" w:rsidP="004041D6">
      <w:pPr>
        <w:spacing w:line="360" w:lineRule="auto"/>
        <w:jc w:val="both"/>
        <w:rPr>
          <w:rFonts w:ascii="Arial" w:hAnsi="Arial" w:cs="Arial"/>
          <w:lang w:val="es-PE"/>
        </w:rPr>
      </w:pPr>
      <w:r w:rsidRPr="004041D6">
        <w:rPr>
          <w:rFonts w:ascii="Arial" w:hAnsi="Arial" w:cs="Arial"/>
          <w:lang w:val="es-PE"/>
        </w:rPr>
        <w:t xml:space="preserve">MBA por la Universidad Adolfo Ibáñez, Chile. Ingeniero Mecánico Eléctrico por la Universidad de Piura. Ha sido jefe de Proyectos y Gerente de Proyectos en Buenaventura y jefe de Proyectos Senior en GMI. Actualmente es </w:t>
      </w:r>
      <w:r w:rsidR="004041D6">
        <w:rPr>
          <w:rFonts w:ascii="Arial" w:hAnsi="Arial" w:cs="Arial"/>
          <w:lang w:val="es-PE"/>
        </w:rPr>
        <w:t xml:space="preserve">Gerente de Gobernanza en </w:t>
      </w:r>
      <w:proofErr w:type="spellStart"/>
      <w:r w:rsidR="004041D6" w:rsidRPr="004041D6">
        <w:rPr>
          <w:rFonts w:ascii="Arial" w:hAnsi="Arial" w:cs="Arial"/>
          <w:lang w:val="es-PE"/>
        </w:rPr>
        <w:t>Southern</w:t>
      </w:r>
      <w:proofErr w:type="spellEnd"/>
      <w:r w:rsidR="004041D6" w:rsidRPr="004041D6">
        <w:rPr>
          <w:rFonts w:ascii="Arial" w:hAnsi="Arial" w:cs="Arial"/>
          <w:lang w:val="es-PE"/>
        </w:rPr>
        <w:t xml:space="preserve"> </w:t>
      </w:r>
      <w:proofErr w:type="spellStart"/>
      <w:r w:rsidR="004041D6" w:rsidRPr="004041D6">
        <w:rPr>
          <w:rFonts w:ascii="Arial" w:hAnsi="Arial" w:cs="Arial"/>
          <w:lang w:val="es-PE"/>
        </w:rPr>
        <w:t>Peaks</w:t>
      </w:r>
      <w:proofErr w:type="spellEnd"/>
      <w:r w:rsidR="004041D6" w:rsidRPr="004041D6">
        <w:rPr>
          <w:rFonts w:ascii="Arial" w:hAnsi="Arial" w:cs="Arial"/>
          <w:lang w:val="es-PE"/>
        </w:rPr>
        <w:t xml:space="preserve"> </w:t>
      </w:r>
      <w:proofErr w:type="spellStart"/>
      <w:r w:rsidR="004041D6" w:rsidRPr="004041D6">
        <w:rPr>
          <w:rFonts w:ascii="Arial" w:hAnsi="Arial" w:cs="Arial"/>
          <w:lang w:val="es-PE"/>
        </w:rPr>
        <w:t>Mining</w:t>
      </w:r>
      <w:proofErr w:type="spellEnd"/>
      <w:r w:rsidRPr="004041D6">
        <w:rPr>
          <w:rFonts w:ascii="Arial" w:hAnsi="Arial" w:cs="Arial"/>
          <w:lang w:val="es-PE"/>
        </w:rPr>
        <w:t>.</w:t>
      </w:r>
    </w:p>
    <w:p w14:paraId="09E94355" w14:textId="77777777" w:rsidR="00A3332F" w:rsidRPr="004041D6" w:rsidRDefault="00A3332F" w:rsidP="004041D6">
      <w:pPr>
        <w:spacing w:line="360" w:lineRule="auto"/>
        <w:jc w:val="both"/>
        <w:rPr>
          <w:rFonts w:ascii="Arial" w:hAnsi="Arial" w:cs="Arial"/>
          <w:lang w:val="es-PE"/>
        </w:rPr>
      </w:pPr>
    </w:p>
    <w:p w14:paraId="407CFA39" w14:textId="77777777" w:rsidR="00A3332F" w:rsidRPr="004041D6" w:rsidRDefault="00A3332F" w:rsidP="004041D6">
      <w:pPr>
        <w:spacing w:line="360" w:lineRule="auto"/>
        <w:jc w:val="both"/>
        <w:rPr>
          <w:rFonts w:ascii="Arial" w:hAnsi="Arial" w:cs="Arial"/>
          <w:lang w:val="es-PE"/>
        </w:rPr>
      </w:pPr>
    </w:p>
    <w:p w14:paraId="1598337A" w14:textId="77777777" w:rsidR="00843DDF" w:rsidRPr="004041D6" w:rsidRDefault="00843DDF" w:rsidP="004041D6">
      <w:pPr>
        <w:spacing w:line="360" w:lineRule="auto"/>
        <w:rPr>
          <w:rFonts w:ascii="Arial" w:hAnsi="Arial" w:cs="Arial"/>
          <w:lang w:val="es-PE"/>
        </w:rPr>
      </w:pPr>
    </w:p>
    <w:sectPr w:rsidR="00843DDF" w:rsidRPr="004041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D6"/>
    <w:rsid w:val="000A0584"/>
    <w:rsid w:val="001C3F51"/>
    <w:rsid w:val="001D04D5"/>
    <w:rsid w:val="00290ABD"/>
    <w:rsid w:val="002C7A50"/>
    <w:rsid w:val="003B7935"/>
    <w:rsid w:val="004041D6"/>
    <w:rsid w:val="005E1640"/>
    <w:rsid w:val="00843DDF"/>
    <w:rsid w:val="008650B6"/>
    <w:rsid w:val="00973527"/>
    <w:rsid w:val="009852DA"/>
    <w:rsid w:val="00A3332F"/>
    <w:rsid w:val="00AD3719"/>
    <w:rsid w:val="00B81147"/>
    <w:rsid w:val="00CF29B4"/>
    <w:rsid w:val="00D3691E"/>
    <w:rsid w:val="00F131C4"/>
    <w:rsid w:val="00F8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C747"/>
  <w15:chartTrackingRefBased/>
  <w15:docId w15:val="{100934CD-9A2C-4884-B27D-9772AC8D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2F"/>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l">
    <w:name w:val="il"/>
    <w:basedOn w:val="Fuentedeprrafopredeter"/>
    <w:rsid w:val="00A3332F"/>
  </w:style>
  <w:style w:type="character" w:styleId="Hipervnculo">
    <w:name w:val="Hyperlink"/>
    <w:basedOn w:val="Fuentedeprrafopredeter"/>
    <w:uiPriority w:val="99"/>
    <w:unhideWhenUsed/>
    <w:rsid w:val="00A3332F"/>
    <w:rPr>
      <w:color w:val="0563C1" w:themeColor="hyperlink"/>
      <w:u w:val="single"/>
    </w:rPr>
  </w:style>
  <w:style w:type="paragraph" w:styleId="NormalWeb">
    <w:name w:val="Normal (Web)"/>
    <w:basedOn w:val="Normal"/>
    <w:uiPriority w:val="99"/>
    <w:unhideWhenUsed/>
    <w:rsid w:val="004041D6"/>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styleId="Mencinsinresolver">
    <w:name w:val="Unresolved Mention"/>
    <w:basedOn w:val="Fuentedeprrafopredeter"/>
    <w:uiPriority w:val="99"/>
    <w:semiHidden/>
    <w:unhideWhenUsed/>
    <w:rsid w:val="00404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40614">
      <w:bodyDiv w:val="1"/>
      <w:marLeft w:val="0"/>
      <w:marRight w:val="0"/>
      <w:marTop w:val="0"/>
      <w:marBottom w:val="0"/>
      <w:divBdr>
        <w:top w:val="none" w:sz="0" w:space="0" w:color="auto"/>
        <w:left w:val="none" w:sz="0" w:space="0" w:color="auto"/>
        <w:bottom w:val="none" w:sz="0" w:space="0" w:color="auto"/>
        <w:right w:val="none" w:sz="0" w:space="0" w:color="auto"/>
      </w:divBdr>
    </w:div>
    <w:div w:id="92183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nicolas.saldana@spm.pe" TargetMode="External"/><Relationship Id="rId4" Type="http://schemas.openxmlformats.org/officeDocument/2006/relationships/hyperlink" Target="mailto:patricio.yanqui@tecsup.edu.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esktop\LAPTOP\TECSUP%202023\INVESTIGACION%20RELAVE\RESUMEN%20VALORIZACION%20RELAVE%20MINERO%20CM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RESUMEN VALORIZACION RELAVE MINERO CMC</Template>
  <TotalTime>38</TotalTime>
  <Pages>2</Pages>
  <Words>504</Words>
  <Characters>2773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cp:lastPrinted>2023-03-30T03:48:00Z</cp:lastPrinted>
  <dcterms:created xsi:type="dcterms:W3CDTF">2025-05-12T03:51:00Z</dcterms:created>
  <dcterms:modified xsi:type="dcterms:W3CDTF">2025-05-13T03:51:00Z</dcterms:modified>
</cp:coreProperties>
</file>