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247B" w14:textId="495CC223" w:rsidR="001311F0" w:rsidRPr="001311F0" w:rsidRDefault="001311F0" w:rsidP="001311F0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1311F0">
        <w:rPr>
          <w:rFonts w:ascii="Arial" w:hAnsi="Arial" w:cs="Arial"/>
          <w:b/>
          <w:bCs/>
          <w:i/>
          <w:iCs/>
        </w:rPr>
        <w:t>Transformando Espinar: El camino hacia una minería responsable y sostenible</w:t>
      </w:r>
    </w:p>
    <w:p w14:paraId="7C53369B" w14:textId="289F9F3F" w:rsidR="001311F0" w:rsidRPr="001311F0" w:rsidRDefault="00C50215" w:rsidP="001311F0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NUEVOS ENFOQUES DE RELACIONAMIENTO COMUNITARIO</w:t>
      </w:r>
    </w:p>
    <w:p w14:paraId="06FA6F9F" w14:textId="4F90D149" w:rsidR="001311F0" w:rsidRPr="00C92CFF" w:rsidRDefault="001311F0" w:rsidP="00C92CFF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1311F0">
        <w:rPr>
          <w:rFonts w:ascii="Arial" w:hAnsi="Arial" w:cs="Arial"/>
          <w:sz w:val="20"/>
          <w:szCs w:val="20"/>
        </w:rPr>
        <w:t>ESG (Environmental, Social, Governance)</w:t>
      </w:r>
    </w:p>
    <w:p w14:paraId="505F6C31" w14:textId="77777777" w:rsidR="00C92CFF" w:rsidRPr="00C92CFF" w:rsidRDefault="00C92CFF" w:rsidP="00C92CFF">
      <w:pPr>
        <w:spacing w:after="0" w:line="240" w:lineRule="auto"/>
        <w:jc w:val="center"/>
        <w:rPr>
          <w:rFonts w:ascii="Arial" w:hAnsi="Arial" w:cs="Arial"/>
        </w:rPr>
      </w:pPr>
    </w:p>
    <w:p w14:paraId="3946BAFE" w14:textId="1B2AC457" w:rsidR="00E57D33" w:rsidRPr="00C92CFF" w:rsidRDefault="001311F0" w:rsidP="00BB6E1F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92CFF">
        <w:rPr>
          <w:rFonts w:ascii="Arial" w:hAnsi="Arial" w:cs="Arial"/>
          <w:b/>
          <w:bCs/>
          <w:sz w:val="20"/>
          <w:szCs w:val="20"/>
        </w:rPr>
        <w:t xml:space="preserve">Brenda Josabet Quispe Pezo                                </w:t>
      </w:r>
      <w:r w:rsidR="00BB6E1F" w:rsidRPr="00C92CFF">
        <w:rPr>
          <w:rFonts w:ascii="Arial" w:hAnsi="Arial" w:cs="Arial"/>
          <w:b/>
          <w:bCs/>
          <w:sz w:val="20"/>
          <w:szCs w:val="20"/>
        </w:rPr>
        <w:t xml:space="preserve">    </w:t>
      </w:r>
      <w:r w:rsidRPr="00C92CFF">
        <w:rPr>
          <w:rFonts w:ascii="Arial" w:hAnsi="Arial" w:cs="Arial"/>
          <w:b/>
          <w:bCs/>
          <w:sz w:val="20"/>
          <w:szCs w:val="20"/>
        </w:rPr>
        <w:t xml:space="preserve"> Angel Eduardo Guerra Neciosup</w:t>
      </w:r>
    </w:p>
    <w:p w14:paraId="7822AFF5" w14:textId="410B40D8" w:rsidR="001311F0" w:rsidRPr="00C92CFF" w:rsidRDefault="001311F0" w:rsidP="00BB6E1F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C92CFF">
        <w:rPr>
          <w:rFonts w:ascii="Arial" w:hAnsi="Arial" w:cs="Arial"/>
          <w:sz w:val="20"/>
          <w:szCs w:val="20"/>
        </w:rPr>
        <w:t xml:space="preserve">Becaria BRIMM </w:t>
      </w:r>
      <w:r w:rsidR="00BB6E1F" w:rsidRPr="00C92CFF">
        <w:rPr>
          <w:rFonts w:ascii="Arial" w:hAnsi="Arial" w:cs="Arial"/>
          <w:sz w:val="20"/>
          <w:szCs w:val="20"/>
        </w:rPr>
        <w:t xml:space="preserve">  </w:t>
      </w:r>
      <w:r w:rsidRPr="00C92CFF">
        <w:rPr>
          <w:rFonts w:ascii="Arial" w:hAnsi="Arial" w:cs="Arial"/>
          <w:sz w:val="20"/>
          <w:szCs w:val="20"/>
        </w:rPr>
        <w:t xml:space="preserve">                           </w:t>
      </w:r>
      <w:r w:rsidR="00BB6E1F" w:rsidRPr="00C92CFF">
        <w:rPr>
          <w:rFonts w:ascii="Arial" w:hAnsi="Arial" w:cs="Arial"/>
          <w:sz w:val="20"/>
          <w:szCs w:val="20"/>
        </w:rPr>
        <w:t xml:space="preserve">  </w:t>
      </w:r>
      <w:r w:rsidRPr="00C92CFF">
        <w:rPr>
          <w:rFonts w:ascii="Arial" w:hAnsi="Arial" w:cs="Arial"/>
          <w:sz w:val="20"/>
          <w:szCs w:val="20"/>
        </w:rPr>
        <w:t xml:space="preserve">                                   Becario BRIMM</w:t>
      </w:r>
    </w:p>
    <w:p w14:paraId="4EDFDB14" w14:textId="72495DD6" w:rsidR="001311F0" w:rsidRPr="00C92CFF" w:rsidRDefault="001311F0" w:rsidP="00BB6E1F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hyperlink r:id="rId6" w:history="1">
        <w:r w:rsidRPr="00C92CFF">
          <w:rPr>
            <w:rStyle w:val="Hipervnculo"/>
            <w:rFonts w:ascii="Arial" w:hAnsi="Arial" w:cs="Arial"/>
            <w:sz w:val="20"/>
            <w:szCs w:val="20"/>
          </w:rPr>
          <w:t>brendajosabet.quispe@unmsm.edu.pe</w:t>
        </w:r>
      </w:hyperlink>
      <w:r w:rsidRPr="00C92CFF">
        <w:rPr>
          <w:rFonts w:ascii="Arial" w:hAnsi="Arial" w:cs="Arial"/>
          <w:sz w:val="20"/>
          <w:szCs w:val="20"/>
        </w:rPr>
        <w:t xml:space="preserve">          </w:t>
      </w:r>
      <w:r w:rsidR="00BB6E1F" w:rsidRPr="00C92CFF">
        <w:rPr>
          <w:rFonts w:ascii="Arial" w:hAnsi="Arial" w:cs="Arial"/>
          <w:sz w:val="20"/>
          <w:szCs w:val="20"/>
        </w:rPr>
        <w:t xml:space="preserve">    </w:t>
      </w:r>
      <w:r w:rsidRPr="00C92CFF">
        <w:rPr>
          <w:rFonts w:ascii="Arial" w:hAnsi="Arial" w:cs="Arial"/>
          <w:sz w:val="20"/>
          <w:szCs w:val="20"/>
        </w:rPr>
        <w:t xml:space="preserve">      </w:t>
      </w:r>
      <w:hyperlink r:id="rId7" w:history="1">
        <w:r w:rsidR="00BB6E1F" w:rsidRPr="00C92CFF">
          <w:rPr>
            <w:rStyle w:val="Hipervnculo"/>
            <w:rFonts w:ascii="Arial" w:hAnsi="Arial" w:cs="Arial"/>
            <w:sz w:val="20"/>
            <w:szCs w:val="20"/>
          </w:rPr>
          <w:t>angeleduardo.guerra@unmsm.edu.pe</w:t>
        </w:r>
      </w:hyperlink>
    </w:p>
    <w:p w14:paraId="55C98A4A" w14:textId="2A84A2E1" w:rsidR="00BB6E1F" w:rsidRPr="00C92CFF" w:rsidRDefault="00BB6E1F" w:rsidP="00BB6E1F">
      <w:pPr>
        <w:spacing w:after="0" w:line="240" w:lineRule="auto"/>
        <w:ind w:hanging="284"/>
        <w:jc w:val="center"/>
        <w:rPr>
          <w:rFonts w:ascii="Arial" w:hAnsi="Arial" w:cs="Arial"/>
          <w:sz w:val="20"/>
          <w:szCs w:val="20"/>
        </w:rPr>
      </w:pPr>
      <w:r w:rsidRPr="00C92CFF">
        <w:rPr>
          <w:rFonts w:ascii="Arial" w:hAnsi="Arial" w:cs="Arial"/>
          <w:sz w:val="20"/>
          <w:szCs w:val="20"/>
        </w:rPr>
        <w:t>+51 923 839 370</w:t>
      </w:r>
      <w:r w:rsidRPr="00C92CFF">
        <w:rPr>
          <w:rFonts w:ascii="Arial" w:hAnsi="Arial" w:cs="Arial"/>
          <w:sz w:val="20"/>
          <w:szCs w:val="20"/>
        </w:rPr>
        <w:t xml:space="preserve">                                                                +51 982948933</w:t>
      </w:r>
    </w:p>
    <w:p w14:paraId="04FCCDD7" w14:textId="77777777" w:rsidR="00BB6E1F" w:rsidRPr="00BB6E1F" w:rsidRDefault="00BB6E1F" w:rsidP="00BB6E1F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</w:p>
    <w:p w14:paraId="2237F4CD" w14:textId="20D83FA7" w:rsidR="00BB6E1F" w:rsidRDefault="00BB6E1F" w:rsidP="00BB6E1F">
      <w:pPr>
        <w:pStyle w:val="Prrafodelista"/>
        <w:numPr>
          <w:ilvl w:val="0"/>
          <w:numId w:val="1"/>
        </w:numPr>
        <w:spacing w:after="0" w:line="240" w:lineRule="auto"/>
        <w:ind w:left="-142" w:hanging="284"/>
        <w:rPr>
          <w:rFonts w:ascii="Arial" w:hAnsi="Arial" w:cs="Arial"/>
          <w:b/>
          <w:bCs/>
          <w:sz w:val="22"/>
          <w:szCs w:val="22"/>
        </w:rPr>
      </w:pPr>
      <w:r w:rsidRPr="00BB6E1F">
        <w:rPr>
          <w:rFonts w:ascii="Arial" w:hAnsi="Arial" w:cs="Arial"/>
          <w:b/>
          <w:bCs/>
          <w:sz w:val="22"/>
          <w:szCs w:val="22"/>
        </w:rPr>
        <w:t>CONTEXTO DEL TRABAJO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5DD58C80" w14:textId="77777777" w:rsidR="00BB6E1F" w:rsidRPr="00BB6E1F" w:rsidRDefault="00BB6E1F" w:rsidP="005865F7">
      <w:pPr>
        <w:spacing w:before="100" w:beforeAutospacing="1" w:after="100" w:afterAutospacing="1" w:line="360" w:lineRule="auto"/>
        <w:ind w:left="-142" w:right="-660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BB6E1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La minería, en particular en el contexto peruano, ha sido vista históricamente como un motor de desarrollo económico, pero también como una fuente de conflicto y desconfianza entre las comunidades y las empresas mineras. Espinar, ubicado en la región de Cusco, es un claro ejemplo de este fenómeno. El distrito es hogar de poblaciones quechuas, como los Chumbivilcas y Ccollana, cuyos habitantes han sido testigos de cómo la actividad minera ha transformado sus tierras, pero sin que estos cambios siempre se traduzcan en mejoras tangibles para la comunidad.</w:t>
      </w:r>
    </w:p>
    <w:p w14:paraId="32AB9CF9" w14:textId="77777777" w:rsidR="00BB6E1F" w:rsidRPr="00BB6E1F" w:rsidRDefault="00BB6E1F" w:rsidP="005865F7">
      <w:pPr>
        <w:spacing w:before="100" w:beforeAutospacing="1" w:after="100" w:afterAutospacing="1" w:line="360" w:lineRule="auto"/>
        <w:ind w:left="-142" w:right="-660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BB6E1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La mina Antapaccay, que opera en la zona, se enfrenta a desafíos significativos en términos de aceptación social. A pesar de la generación de empleo y los ingresos derivados de la minería, muchos de los pobladores sienten que los beneficios no se distribuyen equitativamente. La desconfianza histórica, alimentada por experiencias pasadas de relaciones tensas y falta de transparencia, ha sido un obstáculo importante para el desarrollo de proyectos que promuevan el bienestar común.</w:t>
      </w:r>
    </w:p>
    <w:p w14:paraId="6E223EEE" w14:textId="0A512570" w:rsidR="00BB6E1F" w:rsidRDefault="00BB6E1F" w:rsidP="005865F7">
      <w:pPr>
        <w:spacing w:before="100" w:beforeAutospacing="1" w:after="100" w:afterAutospacing="1" w:line="360" w:lineRule="auto"/>
        <w:ind w:left="-142" w:right="-660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BB6E1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Este trabajo se enfoca en cómo la minería responsable, basada en los principios de sostenibilidad y respeto por las comunidades, puede transformar las relaciones en Espinar y convertir la minería en un motor de desarrollo social. Se busca mostrar que, cuando se establece una verdadera colaboración y una transparencia en los procesos, tanto la empresa minera como la comunidad pueden prosperar de manera conjunta.</w:t>
      </w:r>
    </w:p>
    <w:p w14:paraId="2A49994D" w14:textId="5A781463" w:rsidR="00C92CFF" w:rsidRPr="00C92CFF" w:rsidRDefault="00C92CFF" w:rsidP="00C92CFF">
      <w:pPr>
        <w:pStyle w:val="Prrafodelista"/>
        <w:numPr>
          <w:ilvl w:val="0"/>
          <w:numId w:val="1"/>
        </w:numPr>
        <w:spacing w:after="0" w:line="240" w:lineRule="auto"/>
        <w:ind w:left="-142" w:hanging="284"/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hAnsi="Arial" w:cs="Arial"/>
          <w:b/>
          <w:bCs/>
          <w:sz w:val="22"/>
          <w:szCs w:val="22"/>
        </w:rPr>
        <w:t>OBJETIVO DEL TRABAJO</w:t>
      </w:r>
      <w:r w:rsidRPr="00C92CFF">
        <w:rPr>
          <w:rFonts w:ascii="Arial" w:hAnsi="Arial" w:cs="Arial"/>
          <w:b/>
          <w:bCs/>
          <w:sz w:val="22"/>
          <w:szCs w:val="22"/>
        </w:rPr>
        <w:t>:</w:t>
      </w:r>
    </w:p>
    <w:p w14:paraId="71552025" w14:textId="6345BD67" w:rsidR="00C92CFF" w:rsidRDefault="00C92CFF" w:rsidP="005865F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El objetivo principal de este trabajo es proponer una solución integral que permita mejorar la percepción comunitaria de la minería en Espinar, promoviendo el desarrollo sostenible, la inclusión social y la estabilidad laboral. Esto se logrará mediante la implementación de proyectos que prioricen la infraestructura básica, la capacitación laboral, y el fortalecimiento de la confianza entre la empresa minera y la comunidad.</w:t>
      </w:r>
    </w:p>
    <w:p w14:paraId="25558335" w14:textId="653D6915" w:rsidR="00C92CFF" w:rsidRPr="00C92CFF" w:rsidRDefault="00C92CFF" w:rsidP="00C92CFF">
      <w:pPr>
        <w:pStyle w:val="Prrafodelista"/>
        <w:numPr>
          <w:ilvl w:val="0"/>
          <w:numId w:val="1"/>
        </w:numPr>
        <w:spacing w:after="0" w:line="240" w:lineRule="auto"/>
        <w:ind w:left="-142" w:hanging="284"/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METODOLO</w:t>
      </w:r>
      <w:r w:rsidRPr="00C92CFF">
        <w:rPr>
          <w:rFonts w:ascii="Arial" w:hAnsi="Arial" w:cs="Arial"/>
          <w:b/>
          <w:bCs/>
          <w:sz w:val="22"/>
          <w:szCs w:val="22"/>
        </w:rPr>
        <w:t xml:space="preserve">GÍA </w:t>
      </w:r>
      <w:r w:rsidRPr="00C92CFF">
        <w:rPr>
          <w:rFonts w:ascii="Arial" w:hAnsi="Arial" w:cs="Arial"/>
          <w:b/>
          <w:bCs/>
          <w:sz w:val="22"/>
          <w:szCs w:val="22"/>
        </w:rPr>
        <w:t>DEL TRABAJO:</w:t>
      </w:r>
    </w:p>
    <w:p w14:paraId="0559250E" w14:textId="2CC4E50E" w:rsidR="00C92CFF" w:rsidRDefault="00C92CFF" w:rsidP="005865F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La metodología empleada en este estudio se basa en un enfoque participativo y de consulta comunitaria. Se realizaron mesas de trabajo con la población local, utilizando encuestas en quechua y español, para identificar las necesidades reales y las áreas de mejora. A partir de estas consultas, se diseñaron proyectos de infraestructura y generación de empleo, los cuales serán monitoreados y ajustados periódicamente con el objetivo de lograr una percepción positiva en la comunidad</w:t>
      </w:r>
    </w:p>
    <w:p w14:paraId="23C1D8C3" w14:textId="1A462285" w:rsidR="00C92CFF" w:rsidRPr="00C92CFF" w:rsidRDefault="00C92CFF" w:rsidP="00C92CFF">
      <w:pPr>
        <w:pStyle w:val="Prrafodelista"/>
        <w:numPr>
          <w:ilvl w:val="0"/>
          <w:numId w:val="1"/>
        </w:numPr>
        <w:spacing w:after="0" w:line="240" w:lineRule="auto"/>
        <w:ind w:left="-142" w:hanging="284"/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hAnsi="Arial" w:cs="Arial"/>
          <w:b/>
          <w:bCs/>
          <w:sz w:val="22"/>
          <w:szCs w:val="22"/>
        </w:rPr>
        <w:t>RESULTADOS:</w:t>
      </w:r>
    </w:p>
    <w:p w14:paraId="034205A9" w14:textId="2B75222B" w:rsidR="00C92CFF" w:rsidRDefault="00C92CFF" w:rsidP="005865F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Se logró identificar una serie de proyectos clave que responden a las necesidades de la comunidad, tales como la mejora de la infraestructura de agua potable y caminos, así como la creación de más de 2,000 empleos directos e indirectos, lo cual contribuyó significativamente a la reducción de la desconfianza y el aumento de la percepción positiva de la minería. La implementación de estos proyectos resultó en una mejora del 40% en la percepción comunitaria hacia la minería en el primer año, lo cual es un indicativo de que la participación activa y la transparencia son cruciales para el éxito a largo plazo.</w:t>
      </w:r>
    </w:p>
    <w:p w14:paraId="538AF4ED" w14:textId="46FAFF0C" w:rsidR="00C92CFF" w:rsidRPr="00C92CFF" w:rsidRDefault="00C92CFF" w:rsidP="00C92CFF">
      <w:pPr>
        <w:pStyle w:val="Prrafodelista"/>
        <w:numPr>
          <w:ilvl w:val="0"/>
          <w:numId w:val="1"/>
        </w:numPr>
        <w:spacing w:after="0" w:line="240" w:lineRule="auto"/>
        <w:ind w:left="-142" w:hanging="284"/>
        <w:rPr>
          <w:rFonts w:ascii="Arial" w:eastAsia="Times New Roman" w:hAnsi="Arial" w:cs="Arial"/>
          <w:b/>
          <w:bCs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hAnsi="Arial" w:cs="Arial"/>
          <w:b/>
          <w:bCs/>
          <w:sz w:val="22"/>
          <w:szCs w:val="22"/>
        </w:rPr>
        <w:t>RESULTADOS:</w:t>
      </w:r>
    </w:p>
    <w:p w14:paraId="04645276" w14:textId="61DC1D2C" w:rsidR="00BB6E1F" w:rsidRDefault="00C92CFF" w:rsidP="005865F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C92CFF"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  <w:t>La experiencia en Espinar demuestra que una minería responsable no solo se basa en el cumplimiento de normas medioambientales, sino también en el fortalecimiento de relaciones sociales y el respeto a las culturas locales. Las recomendaciones clave incluyen la necesidad de mantener consultas continuas con la comunidad, asegurar que los beneficios de la minería sean tangibles y directamente percibidos por la población, y continuar con los proyectos de infraestructura que contribuyan al bienestar a largo plazo.</w:t>
      </w:r>
    </w:p>
    <w:p w14:paraId="268CF2DC" w14:textId="442B8ADF" w:rsidR="00C92CFF" w:rsidRDefault="00C92CFF" w:rsidP="005865F7">
      <w:pPr>
        <w:pStyle w:val="Prrafodelista"/>
        <w:numPr>
          <w:ilvl w:val="0"/>
          <w:numId w:val="1"/>
        </w:numPr>
        <w:spacing w:after="0" w:line="360" w:lineRule="auto"/>
        <w:ind w:left="-142" w:hanging="284"/>
        <w:rPr>
          <w:rFonts w:ascii="Arial" w:hAnsi="Arial" w:cs="Arial"/>
          <w:b/>
          <w:bCs/>
          <w:sz w:val="22"/>
          <w:szCs w:val="22"/>
        </w:rPr>
      </w:pPr>
      <w:r w:rsidRPr="00C92CFF">
        <w:rPr>
          <w:rFonts w:ascii="Arial" w:hAnsi="Arial" w:cs="Arial"/>
          <w:b/>
          <w:bCs/>
          <w:sz w:val="22"/>
          <w:szCs w:val="22"/>
        </w:rPr>
        <w:t>RESEÑA PROFESIONAL</w:t>
      </w:r>
      <w:r w:rsidRPr="00C92CFF">
        <w:rPr>
          <w:rFonts w:ascii="Arial" w:hAnsi="Arial" w:cs="Arial"/>
          <w:b/>
          <w:bCs/>
          <w:sz w:val="22"/>
          <w:szCs w:val="22"/>
        </w:rPr>
        <w:t>:</w:t>
      </w:r>
    </w:p>
    <w:p w14:paraId="7AA4052C" w14:textId="34518E48" w:rsidR="00C92CFF" w:rsidRDefault="00C92CFF" w:rsidP="005865F7">
      <w:pPr>
        <w:pStyle w:val="Prrafodelista"/>
        <w:spacing w:after="0" w:line="360" w:lineRule="auto"/>
        <w:ind w:left="-142"/>
        <w:jc w:val="both"/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</w:pPr>
      <w:r w:rsidRPr="005865F7">
        <w:rPr>
          <w:rFonts w:ascii="Arial" w:hAnsi="Arial" w:cs="Arial"/>
          <w:b/>
          <w:bCs/>
          <w:sz w:val="16"/>
          <w:szCs w:val="16"/>
        </w:rPr>
        <w:t xml:space="preserve">AUTORA: </w:t>
      </w:r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>Brenda Josabet Quispe Pezo, ingeniera de minas y becaria del programa BRIMM, actualmente especiali</w:t>
      </w:r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>sta</w:t>
      </w:r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 xml:space="preserve"> en sostenibilidad en </w:t>
      </w:r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>minería. Secretaria</w:t>
      </w:r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 xml:space="preserve"> del capítulo estudiantil de la Sociedad de Minería, Metalurgia y Exploración (SME) en la Universidad Nacional Mayor de San Marcos, donde lider</w:t>
      </w:r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>a</w:t>
      </w:r>
      <w:r w:rsidR="005865F7"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 xml:space="preserve"> proyectos orientados al desarrollo sostenible y la integración de las comunidades locales con la minería.</w:t>
      </w:r>
    </w:p>
    <w:p w14:paraId="42D3B584" w14:textId="77777777" w:rsidR="005865F7" w:rsidRPr="005865F7" w:rsidRDefault="005865F7" w:rsidP="005865F7">
      <w:pPr>
        <w:pStyle w:val="Prrafodelista"/>
        <w:spacing w:after="0" w:line="360" w:lineRule="auto"/>
        <w:ind w:left="-142"/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</w:pPr>
    </w:p>
    <w:p w14:paraId="5EB00B77" w14:textId="12846CF8" w:rsidR="005865F7" w:rsidRPr="005865F7" w:rsidRDefault="005865F7" w:rsidP="005865F7">
      <w:pPr>
        <w:pStyle w:val="Prrafodelista"/>
        <w:spacing w:after="0" w:line="360" w:lineRule="auto"/>
        <w:ind w:left="-142"/>
        <w:jc w:val="both"/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</w:pPr>
      <w:r w:rsidRPr="005865F7">
        <w:rPr>
          <w:rFonts w:ascii="Arial" w:hAnsi="Arial" w:cs="Arial"/>
          <w:b/>
          <w:bCs/>
          <w:sz w:val="16"/>
          <w:szCs w:val="16"/>
        </w:rPr>
        <w:t>COAUTOR:</w:t>
      </w:r>
      <w:r w:rsidRPr="005865F7">
        <w:rPr>
          <w:rFonts w:ascii="Arial" w:hAnsi="Arial" w:cs="Arial"/>
          <w:sz w:val="16"/>
          <w:szCs w:val="16"/>
        </w:rPr>
        <w:t xml:space="preserve"> </w:t>
      </w:r>
      <w:r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>Angel Eduardo Guerra Neciosup</w:t>
      </w:r>
      <w:r w:rsidRPr="005865F7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>, Ingeniero de Sistemas Integrados de Gestión en Unión de Concreteras S.A. Me especializo en la implementación y mejora de sistemas de gestión enfocados en la seguridad, calidad y sostenibilidad en la industria minera. Mi enfoque se centra en optimizar los procesos operativos y garantizar el cumplimiento de estándares internacionales, contribuyendo al desarrollo eficiente y responsable del sector.</w:t>
      </w:r>
    </w:p>
    <w:sectPr w:rsidR="005865F7" w:rsidRPr="005865F7" w:rsidSect="00011A0C">
      <w:pgSz w:w="12240" w:h="15840"/>
      <w:pgMar w:top="1417" w:right="1701" w:bottom="1417" w:left="1701" w:header="708" w:footer="708" w:gutter="0"/>
      <w:pgBorders w:offsetFrom="page">
        <w:left w:val="single" w:sz="18" w:space="24" w:color="002060"/>
        <w:right w:val="single" w:sz="18" w:space="24" w:color="00206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765B6"/>
    <w:multiLevelType w:val="hybridMultilevel"/>
    <w:tmpl w:val="A05C5FDA"/>
    <w:lvl w:ilvl="0" w:tplc="2BAE2B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40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F0"/>
    <w:rsid w:val="00011A0C"/>
    <w:rsid w:val="001311F0"/>
    <w:rsid w:val="005865F7"/>
    <w:rsid w:val="009416DF"/>
    <w:rsid w:val="00A1373E"/>
    <w:rsid w:val="00BB6E1F"/>
    <w:rsid w:val="00C21971"/>
    <w:rsid w:val="00C50215"/>
    <w:rsid w:val="00C92CFF"/>
    <w:rsid w:val="00E5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A8F4A6"/>
  <w15:chartTrackingRefBased/>
  <w15:docId w15:val="{7984BE24-69FC-463B-8A88-C7133E88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1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1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1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1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1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1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1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1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1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1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1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1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11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11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11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11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11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11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1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1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1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1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1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11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11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11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1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11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11F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11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1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6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ngeleduardo.guerra@unmsm.edu.p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rendajosabet.quispe@unmsm.edu.p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29FDB-4700-4E9C-AA58-319FA8643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782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EDUARDO GUERRA NECIOSUP</dc:creator>
  <cp:keywords/>
  <dc:description/>
  <cp:lastModifiedBy>ANGEL EDUARDO GUERRA NECIOSUP</cp:lastModifiedBy>
  <cp:revision>2</cp:revision>
  <cp:lastPrinted>2025-04-21T22:46:00Z</cp:lastPrinted>
  <dcterms:created xsi:type="dcterms:W3CDTF">2025-04-21T21:56:00Z</dcterms:created>
  <dcterms:modified xsi:type="dcterms:W3CDTF">2025-04-21T23:07:00Z</dcterms:modified>
</cp:coreProperties>
</file>