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78388" w14:textId="0AE3F8F4" w:rsidR="00D8605A" w:rsidRPr="004C14A1" w:rsidRDefault="0038332D" w:rsidP="00C43A8E">
      <w:pPr>
        <w:pStyle w:val="NormalWeb"/>
        <w:spacing w:line="276" w:lineRule="auto"/>
        <w:ind w:left="2124" w:hanging="2124"/>
        <w:rPr>
          <w:rFonts w:ascii="Arial" w:hAnsi="Arial" w:cs="Arial"/>
          <w:color w:val="000000" w:themeColor="text1"/>
          <w:sz w:val="22"/>
          <w:szCs w:val="22"/>
          <w:lang w:val="es-ES"/>
        </w:rPr>
      </w:pPr>
      <w:r w:rsidRPr="004C14A1">
        <w:rPr>
          <w:rFonts w:ascii="Arial" w:hAnsi="Arial" w:cs="Arial"/>
          <w:b/>
          <w:bCs/>
          <w:color w:val="000000" w:themeColor="text1"/>
          <w:sz w:val="22"/>
          <w:szCs w:val="22"/>
          <w:lang w:val="es-ES"/>
        </w:rPr>
        <w:t>Título</w:t>
      </w:r>
      <w:r w:rsidR="002B27D0" w:rsidRPr="004C14A1">
        <w:rPr>
          <w:rFonts w:ascii="Arial" w:hAnsi="Arial" w:cs="Arial"/>
          <w:b/>
          <w:bCs/>
          <w:color w:val="000000" w:themeColor="text1"/>
          <w:sz w:val="22"/>
          <w:szCs w:val="22"/>
          <w:lang w:val="es-ES"/>
        </w:rPr>
        <w:t>:</w:t>
      </w:r>
      <w:r w:rsidR="002B27D0" w:rsidRPr="004C14A1">
        <w:rPr>
          <w:rFonts w:ascii="Arial" w:hAnsi="Arial" w:cs="Arial"/>
          <w:color w:val="000000" w:themeColor="text1"/>
          <w:sz w:val="22"/>
          <w:szCs w:val="22"/>
          <w:lang w:val="es-ES"/>
        </w:rPr>
        <w:t xml:space="preserve"> </w:t>
      </w:r>
      <w:r w:rsidR="00F62DFD" w:rsidRPr="004C14A1">
        <w:rPr>
          <w:rFonts w:ascii="Arial" w:hAnsi="Arial" w:cs="Arial"/>
          <w:color w:val="000000" w:themeColor="text1"/>
          <w:sz w:val="22"/>
          <w:szCs w:val="22"/>
          <w:lang w:val="es-ES"/>
        </w:rPr>
        <w:tab/>
      </w:r>
      <w:r w:rsidR="00C43A8E" w:rsidRPr="004C14A1">
        <w:rPr>
          <w:rFonts w:ascii="Arial" w:hAnsi="Arial" w:cs="Arial"/>
          <w:color w:val="000000" w:themeColor="text1"/>
          <w:sz w:val="22"/>
          <w:szCs w:val="22"/>
          <w:lang w:val="es-ES"/>
        </w:rPr>
        <w:t>“</w:t>
      </w:r>
      <w:r w:rsidR="00D368CE" w:rsidRPr="004C14A1">
        <w:rPr>
          <w:rFonts w:ascii="Arial" w:hAnsi="Arial" w:cs="Arial"/>
          <w:i/>
          <w:iCs/>
          <w:color w:val="000000" w:themeColor="text1"/>
          <w:sz w:val="22"/>
          <w:szCs w:val="22"/>
          <w:lang w:val="es-ES_tradnl"/>
        </w:rPr>
        <w:t>De los acuerdos anuales a la planificación social de mediano plazo: Experiencia de transición en la gestión social minera</w:t>
      </w:r>
      <w:r w:rsidR="00C43A8E" w:rsidRPr="004C14A1">
        <w:rPr>
          <w:rFonts w:ascii="Arial" w:hAnsi="Arial" w:cs="Arial"/>
          <w:i/>
          <w:iCs/>
          <w:color w:val="000000" w:themeColor="text1"/>
          <w:sz w:val="22"/>
          <w:szCs w:val="22"/>
          <w:lang w:val="es-ES_tradnl"/>
        </w:rPr>
        <w:t>”</w:t>
      </w:r>
    </w:p>
    <w:p w14:paraId="1BAA4B7F" w14:textId="358DED7A" w:rsidR="002B27D0" w:rsidRPr="004C14A1" w:rsidRDefault="0038332D" w:rsidP="003E5007">
      <w:pPr>
        <w:pStyle w:val="NormalWeb"/>
        <w:spacing w:line="276" w:lineRule="auto"/>
        <w:ind w:left="1418" w:hanging="1418"/>
        <w:rPr>
          <w:rFonts w:ascii="Arial" w:hAnsi="Arial" w:cs="Arial"/>
          <w:i/>
          <w:iCs/>
          <w:color w:val="000000" w:themeColor="text1"/>
          <w:sz w:val="22"/>
          <w:szCs w:val="22"/>
          <w:lang w:val="es-ES"/>
        </w:rPr>
      </w:pPr>
      <w:r w:rsidRPr="004C14A1">
        <w:rPr>
          <w:rFonts w:ascii="Arial" w:hAnsi="Arial" w:cs="Arial"/>
          <w:b/>
          <w:bCs/>
          <w:color w:val="000000" w:themeColor="text1"/>
          <w:sz w:val="22"/>
          <w:szCs w:val="22"/>
          <w:lang w:val="es-ES"/>
        </w:rPr>
        <w:t>Categoría</w:t>
      </w:r>
      <w:r w:rsidR="002B27D0" w:rsidRPr="004C14A1">
        <w:rPr>
          <w:rFonts w:ascii="Arial" w:hAnsi="Arial" w:cs="Arial"/>
          <w:b/>
          <w:bCs/>
          <w:color w:val="000000" w:themeColor="text1"/>
          <w:sz w:val="22"/>
          <w:szCs w:val="22"/>
          <w:lang w:val="es-ES"/>
        </w:rPr>
        <w:t>:</w:t>
      </w:r>
      <w:r w:rsidR="002B27D0" w:rsidRPr="004C14A1">
        <w:rPr>
          <w:rFonts w:ascii="Arial" w:hAnsi="Arial" w:cs="Arial"/>
          <w:color w:val="000000" w:themeColor="text1"/>
          <w:sz w:val="22"/>
          <w:szCs w:val="22"/>
          <w:lang w:val="es-ES"/>
        </w:rPr>
        <w:t xml:space="preserve"> </w:t>
      </w:r>
      <w:r w:rsidR="00F62DFD" w:rsidRPr="004C14A1">
        <w:rPr>
          <w:rFonts w:ascii="Arial" w:hAnsi="Arial" w:cs="Arial"/>
          <w:color w:val="000000" w:themeColor="text1"/>
          <w:sz w:val="22"/>
          <w:szCs w:val="22"/>
          <w:lang w:val="es-ES"/>
        </w:rPr>
        <w:tab/>
      </w:r>
      <w:r w:rsidR="00C43A8E" w:rsidRPr="004C14A1">
        <w:rPr>
          <w:rFonts w:ascii="Arial" w:hAnsi="Arial" w:cs="Arial"/>
          <w:color w:val="000000" w:themeColor="text1"/>
          <w:sz w:val="22"/>
          <w:szCs w:val="22"/>
          <w:lang w:val="es-ES"/>
        </w:rPr>
        <w:tab/>
      </w:r>
      <w:r w:rsidR="00386BBC" w:rsidRPr="004C14A1">
        <w:rPr>
          <w:rFonts w:ascii="Arial" w:hAnsi="Arial" w:cs="Arial"/>
          <w:color w:val="000000" w:themeColor="text1"/>
          <w:sz w:val="22"/>
          <w:szCs w:val="22"/>
          <w:lang w:val="es-ES"/>
        </w:rPr>
        <w:t xml:space="preserve">ESG </w:t>
      </w:r>
    </w:p>
    <w:p w14:paraId="6F1F1390" w14:textId="10C6CC07" w:rsidR="002B27D0" w:rsidRPr="004C14A1" w:rsidRDefault="002B27D0" w:rsidP="00D8605A">
      <w:pPr>
        <w:pStyle w:val="NormalWeb"/>
        <w:spacing w:line="276" w:lineRule="auto"/>
        <w:rPr>
          <w:rFonts w:ascii="Arial" w:hAnsi="Arial" w:cs="Arial"/>
          <w:sz w:val="22"/>
          <w:szCs w:val="22"/>
          <w:lang w:val="es-ES_tradnl"/>
        </w:rPr>
      </w:pPr>
      <w:r w:rsidRPr="004C14A1">
        <w:rPr>
          <w:rFonts w:ascii="Arial" w:hAnsi="Arial" w:cs="Arial"/>
          <w:b/>
          <w:bCs/>
          <w:color w:val="000000" w:themeColor="text1"/>
          <w:sz w:val="22"/>
          <w:szCs w:val="22"/>
          <w:lang w:val="es-ES"/>
        </w:rPr>
        <w:t>Autor:</w:t>
      </w:r>
      <w:r w:rsidRPr="004C14A1">
        <w:rPr>
          <w:rFonts w:ascii="Arial" w:hAnsi="Arial" w:cs="Arial"/>
          <w:color w:val="000000" w:themeColor="text1"/>
          <w:sz w:val="22"/>
          <w:szCs w:val="22"/>
          <w:lang w:val="es-ES"/>
        </w:rPr>
        <w:t xml:space="preserve"> </w:t>
      </w:r>
      <w:r w:rsidR="00D8605A" w:rsidRPr="004C14A1">
        <w:rPr>
          <w:rFonts w:ascii="Arial" w:hAnsi="Arial" w:cs="Arial"/>
          <w:color w:val="000000" w:themeColor="text1"/>
          <w:sz w:val="22"/>
          <w:szCs w:val="22"/>
          <w:lang w:val="es-ES"/>
        </w:rPr>
        <w:tab/>
      </w:r>
      <w:r w:rsidR="00D8605A" w:rsidRPr="004C14A1">
        <w:rPr>
          <w:rFonts w:ascii="Arial" w:hAnsi="Arial" w:cs="Arial"/>
          <w:color w:val="000000" w:themeColor="text1"/>
          <w:sz w:val="22"/>
          <w:szCs w:val="22"/>
          <w:lang w:val="es-ES"/>
        </w:rPr>
        <w:tab/>
      </w:r>
      <w:r w:rsidRPr="004C14A1">
        <w:rPr>
          <w:rFonts w:ascii="Arial" w:hAnsi="Arial" w:cs="Arial"/>
          <w:color w:val="000000" w:themeColor="text1"/>
          <w:sz w:val="22"/>
          <w:szCs w:val="22"/>
          <w:lang w:val="es-ES"/>
        </w:rPr>
        <w:t>David Antonio Guerrero Cerón</w:t>
      </w:r>
      <w:r w:rsidRPr="004C14A1">
        <w:rPr>
          <w:rFonts w:ascii="Arial" w:hAnsi="Arial" w:cs="Arial"/>
          <w:color w:val="000000" w:themeColor="text1"/>
          <w:sz w:val="22"/>
          <w:szCs w:val="22"/>
          <w:lang w:val="es-ES"/>
        </w:rPr>
        <w:br/>
      </w:r>
      <w:r w:rsidRPr="004C14A1">
        <w:rPr>
          <w:rFonts w:ascii="Arial" w:hAnsi="Arial" w:cs="Arial"/>
          <w:b/>
          <w:bCs/>
          <w:color w:val="000000" w:themeColor="text1"/>
          <w:sz w:val="22"/>
          <w:szCs w:val="22"/>
          <w:lang w:val="es-ES"/>
        </w:rPr>
        <w:t>Empresa:</w:t>
      </w:r>
      <w:r w:rsidRPr="004C14A1">
        <w:rPr>
          <w:rFonts w:ascii="Arial" w:hAnsi="Arial" w:cs="Arial"/>
          <w:color w:val="000000" w:themeColor="text1"/>
          <w:sz w:val="22"/>
          <w:szCs w:val="22"/>
          <w:lang w:val="es-ES"/>
        </w:rPr>
        <w:t xml:space="preserve"> </w:t>
      </w:r>
      <w:r w:rsidR="00D8605A" w:rsidRPr="004C14A1">
        <w:rPr>
          <w:rFonts w:ascii="Arial" w:hAnsi="Arial" w:cs="Arial"/>
          <w:color w:val="000000" w:themeColor="text1"/>
          <w:sz w:val="22"/>
          <w:szCs w:val="22"/>
          <w:lang w:val="es-ES"/>
        </w:rPr>
        <w:tab/>
      </w:r>
      <w:r w:rsidR="00D8605A" w:rsidRPr="004C14A1">
        <w:rPr>
          <w:rFonts w:ascii="Arial" w:hAnsi="Arial" w:cs="Arial"/>
          <w:color w:val="000000" w:themeColor="text1"/>
          <w:sz w:val="22"/>
          <w:szCs w:val="22"/>
          <w:lang w:val="es-ES"/>
        </w:rPr>
        <w:tab/>
      </w:r>
      <w:r w:rsidRPr="004C14A1">
        <w:rPr>
          <w:rFonts w:ascii="Arial" w:hAnsi="Arial" w:cs="Arial"/>
          <w:color w:val="000000" w:themeColor="text1"/>
          <w:sz w:val="22"/>
          <w:szCs w:val="22"/>
          <w:lang w:val="es-ES"/>
        </w:rPr>
        <w:t>Compañía Minera Antamina S.A.</w:t>
      </w:r>
      <w:r w:rsidRPr="004C14A1">
        <w:rPr>
          <w:rFonts w:ascii="Arial" w:hAnsi="Arial" w:cs="Arial"/>
          <w:color w:val="000000" w:themeColor="text1"/>
          <w:sz w:val="22"/>
          <w:szCs w:val="22"/>
          <w:lang w:val="es-ES"/>
        </w:rPr>
        <w:br/>
      </w:r>
      <w:r w:rsidRPr="004C14A1">
        <w:rPr>
          <w:rFonts w:ascii="Arial" w:hAnsi="Arial" w:cs="Arial"/>
          <w:b/>
          <w:bCs/>
          <w:color w:val="000000" w:themeColor="text1"/>
          <w:sz w:val="22"/>
          <w:szCs w:val="22"/>
          <w:lang w:val="es-ES"/>
        </w:rPr>
        <w:t>Cargo:</w:t>
      </w:r>
      <w:r w:rsidRPr="004C14A1">
        <w:rPr>
          <w:rFonts w:ascii="Arial" w:hAnsi="Arial" w:cs="Arial"/>
          <w:color w:val="000000" w:themeColor="text1"/>
          <w:sz w:val="22"/>
          <w:szCs w:val="22"/>
          <w:lang w:val="es-ES"/>
        </w:rPr>
        <w:t xml:space="preserve"> </w:t>
      </w:r>
      <w:r w:rsidR="00D8605A" w:rsidRPr="004C14A1">
        <w:rPr>
          <w:rFonts w:ascii="Arial" w:hAnsi="Arial" w:cs="Arial"/>
          <w:color w:val="000000" w:themeColor="text1"/>
          <w:sz w:val="22"/>
          <w:szCs w:val="22"/>
          <w:lang w:val="es-ES"/>
        </w:rPr>
        <w:tab/>
      </w:r>
      <w:r w:rsidR="00D8605A" w:rsidRPr="004C14A1">
        <w:rPr>
          <w:rFonts w:ascii="Arial" w:hAnsi="Arial" w:cs="Arial"/>
          <w:color w:val="000000" w:themeColor="text1"/>
          <w:sz w:val="22"/>
          <w:szCs w:val="22"/>
          <w:lang w:val="es-ES"/>
        </w:rPr>
        <w:tab/>
      </w:r>
      <w:r w:rsidR="00386BBC" w:rsidRPr="004C14A1">
        <w:rPr>
          <w:rFonts w:ascii="Arial" w:hAnsi="Arial" w:cs="Arial"/>
          <w:color w:val="000000" w:themeColor="text1"/>
          <w:sz w:val="22"/>
          <w:szCs w:val="22"/>
          <w:lang w:val="es-ES"/>
        </w:rPr>
        <w:t>Supervisor Senior</w:t>
      </w:r>
      <w:r w:rsidRPr="004C14A1">
        <w:rPr>
          <w:rFonts w:ascii="Arial" w:hAnsi="Arial" w:cs="Arial"/>
          <w:color w:val="000000" w:themeColor="text1"/>
          <w:sz w:val="22"/>
          <w:szCs w:val="22"/>
          <w:lang w:val="es-ES"/>
        </w:rPr>
        <w:t xml:space="preserve"> Gestión Social</w:t>
      </w:r>
      <w:r w:rsidRPr="004C14A1">
        <w:rPr>
          <w:rFonts w:ascii="Arial" w:hAnsi="Arial" w:cs="Arial"/>
          <w:color w:val="000000" w:themeColor="text1"/>
          <w:sz w:val="22"/>
          <w:szCs w:val="22"/>
          <w:lang w:val="es-ES"/>
        </w:rPr>
        <w:br/>
      </w:r>
      <w:r w:rsidR="00D8605A" w:rsidRPr="004C14A1">
        <w:rPr>
          <w:rFonts w:ascii="Arial" w:hAnsi="Arial" w:cs="Arial"/>
          <w:b/>
          <w:bCs/>
          <w:color w:val="000000" w:themeColor="text1"/>
          <w:sz w:val="22"/>
          <w:szCs w:val="22"/>
          <w:lang w:val="es-ES"/>
        </w:rPr>
        <w:t>Dirección</w:t>
      </w:r>
      <w:r w:rsidRPr="004C14A1">
        <w:rPr>
          <w:rFonts w:ascii="Arial" w:hAnsi="Arial" w:cs="Arial"/>
          <w:b/>
          <w:bCs/>
          <w:color w:val="000000" w:themeColor="text1"/>
          <w:sz w:val="22"/>
          <w:szCs w:val="22"/>
          <w:lang w:val="es-ES"/>
        </w:rPr>
        <w:t>:</w:t>
      </w:r>
      <w:r w:rsidRPr="004C14A1">
        <w:rPr>
          <w:rFonts w:ascii="Arial" w:hAnsi="Arial" w:cs="Arial"/>
          <w:color w:val="000000" w:themeColor="text1"/>
          <w:sz w:val="22"/>
          <w:szCs w:val="22"/>
          <w:lang w:val="es-ES"/>
        </w:rPr>
        <w:t xml:space="preserve"> </w:t>
      </w:r>
      <w:r w:rsidR="00D8605A" w:rsidRPr="004C14A1">
        <w:rPr>
          <w:rFonts w:ascii="Arial" w:hAnsi="Arial" w:cs="Arial"/>
          <w:color w:val="000000" w:themeColor="text1"/>
          <w:sz w:val="22"/>
          <w:szCs w:val="22"/>
          <w:lang w:val="es-ES"/>
        </w:rPr>
        <w:tab/>
      </w:r>
      <w:r w:rsidR="00D8605A" w:rsidRPr="004C14A1">
        <w:rPr>
          <w:rFonts w:ascii="Arial" w:hAnsi="Arial" w:cs="Arial"/>
          <w:color w:val="000000" w:themeColor="text1"/>
          <w:sz w:val="22"/>
          <w:szCs w:val="22"/>
          <w:lang w:val="es-ES"/>
        </w:rPr>
        <w:tab/>
      </w:r>
      <w:r w:rsidR="00386BBC" w:rsidRPr="004C14A1">
        <w:rPr>
          <w:rFonts w:ascii="Arial" w:hAnsi="Arial" w:cs="Arial"/>
          <w:color w:val="000000" w:themeColor="text1"/>
          <w:sz w:val="22"/>
          <w:szCs w:val="22"/>
          <w:lang w:val="es-ES"/>
        </w:rPr>
        <w:t>Calle Juan Dellepiani 247 – San Isidro</w:t>
      </w:r>
      <w:r w:rsidRPr="004C14A1">
        <w:rPr>
          <w:rFonts w:ascii="Arial" w:hAnsi="Arial" w:cs="Arial"/>
          <w:color w:val="000000" w:themeColor="text1"/>
          <w:sz w:val="22"/>
          <w:szCs w:val="22"/>
          <w:lang w:val="es-ES"/>
        </w:rPr>
        <w:t xml:space="preserve"> – Lima</w:t>
      </w:r>
      <w:r w:rsidRPr="004C14A1">
        <w:rPr>
          <w:rFonts w:ascii="Arial" w:hAnsi="Arial" w:cs="Arial"/>
          <w:color w:val="000000" w:themeColor="text1"/>
          <w:sz w:val="22"/>
          <w:szCs w:val="22"/>
          <w:lang w:val="es-ES"/>
        </w:rPr>
        <w:br/>
      </w:r>
      <w:r w:rsidRPr="004C14A1">
        <w:rPr>
          <w:rFonts w:ascii="Arial" w:hAnsi="Arial" w:cs="Arial"/>
          <w:b/>
          <w:bCs/>
          <w:color w:val="000000" w:themeColor="text1"/>
          <w:sz w:val="22"/>
          <w:szCs w:val="22"/>
          <w:lang w:val="es-ES"/>
        </w:rPr>
        <w:t>Correo corporativo:</w:t>
      </w:r>
      <w:r w:rsidRPr="004C14A1">
        <w:rPr>
          <w:rFonts w:ascii="Arial" w:hAnsi="Arial" w:cs="Arial"/>
          <w:color w:val="000000" w:themeColor="text1"/>
          <w:sz w:val="22"/>
          <w:szCs w:val="22"/>
          <w:lang w:val="es-ES"/>
        </w:rPr>
        <w:t xml:space="preserve"> </w:t>
      </w:r>
      <w:hyperlink r:id="rId8" w:history="1">
        <w:r w:rsidR="00D8605A" w:rsidRPr="004C14A1">
          <w:rPr>
            <w:rStyle w:val="Hipervnculo"/>
            <w:rFonts w:ascii="Arial" w:hAnsi="Arial" w:cs="Arial"/>
            <w:sz w:val="22"/>
            <w:szCs w:val="22"/>
            <w:lang w:val="es-ES"/>
          </w:rPr>
          <w:t>dguerrero@antamina.com</w:t>
        </w:r>
      </w:hyperlink>
      <w:r w:rsidRPr="004C14A1">
        <w:rPr>
          <w:rFonts w:ascii="Arial" w:hAnsi="Arial" w:cs="Arial"/>
          <w:color w:val="000000" w:themeColor="text1"/>
          <w:sz w:val="22"/>
          <w:szCs w:val="22"/>
          <w:lang w:val="es-ES"/>
        </w:rPr>
        <w:tab/>
        <w:t xml:space="preserve"> </w:t>
      </w:r>
      <w:r w:rsidRPr="004C14A1">
        <w:rPr>
          <w:rFonts w:ascii="Arial" w:hAnsi="Arial" w:cs="Arial"/>
          <w:color w:val="000000" w:themeColor="text1"/>
          <w:sz w:val="22"/>
          <w:szCs w:val="22"/>
          <w:lang w:val="es-ES"/>
        </w:rPr>
        <w:br/>
      </w:r>
      <w:r w:rsidRPr="004C14A1">
        <w:rPr>
          <w:rFonts w:ascii="Arial" w:hAnsi="Arial" w:cs="Arial"/>
          <w:b/>
          <w:bCs/>
          <w:color w:val="000000" w:themeColor="text1"/>
          <w:sz w:val="22"/>
          <w:szCs w:val="22"/>
          <w:lang w:val="es-ES"/>
        </w:rPr>
        <w:t>Correo personal:</w:t>
      </w:r>
      <w:r w:rsidRPr="004C14A1">
        <w:rPr>
          <w:rFonts w:ascii="Arial" w:hAnsi="Arial" w:cs="Arial"/>
          <w:color w:val="000000" w:themeColor="text1"/>
          <w:sz w:val="22"/>
          <w:szCs w:val="22"/>
          <w:lang w:val="es-ES"/>
        </w:rPr>
        <w:t xml:space="preserve"> </w:t>
      </w:r>
      <w:r w:rsidR="00D8605A" w:rsidRPr="004C14A1">
        <w:rPr>
          <w:rFonts w:ascii="Arial" w:hAnsi="Arial" w:cs="Arial"/>
          <w:color w:val="000000" w:themeColor="text1"/>
          <w:sz w:val="22"/>
          <w:szCs w:val="22"/>
          <w:lang w:val="es-ES"/>
        </w:rPr>
        <w:tab/>
      </w:r>
      <w:hyperlink r:id="rId9" w:history="1">
        <w:r w:rsidR="00C43A8E" w:rsidRPr="004C14A1">
          <w:rPr>
            <w:rStyle w:val="Hipervnculo"/>
            <w:rFonts w:ascii="Arial" w:hAnsi="Arial" w:cs="Arial"/>
            <w:sz w:val="22"/>
            <w:szCs w:val="22"/>
            <w:lang w:val="es-ES_tradnl"/>
          </w:rPr>
          <w:t>david.guerrero.ceron83@gmail.com</w:t>
        </w:r>
      </w:hyperlink>
      <w:r w:rsidR="00C43A8E" w:rsidRPr="004C14A1">
        <w:rPr>
          <w:rFonts w:ascii="Arial" w:hAnsi="Arial" w:cs="Arial"/>
          <w:sz w:val="22"/>
          <w:szCs w:val="22"/>
          <w:lang w:val="es-ES_tradnl"/>
        </w:rPr>
        <w:br/>
      </w:r>
      <w:r w:rsidRPr="004C14A1">
        <w:rPr>
          <w:rFonts w:ascii="Arial" w:hAnsi="Arial" w:cs="Arial"/>
          <w:b/>
          <w:bCs/>
          <w:color w:val="000000" w:themeColor="text1"/>
          <w:sz w:val="22"/>
          <w:szCs w:val="22"/>
          <w:lang w:val="es-ES"/>
        </w:rPr>
        <w:t>Celular:</w:t>
      </w:r>
      <w:r w:rsidRPr="004C14A1">
        <w:rPr>
          <w:rFonts w:ascii="Arial" w:hAnsi="Arial" w:cs="Arial"/>
          <w:color w:val="000000" w:themeColor="text1"/>
          <w:sz w:val="22"/>
          <w:szCs w:val="22"/>
          <w:lang w:val="es-ES"/>
        </w:rPr>
        <w:t xml:space="preserve"> </w:t>
      </w:r>
      <w:r w:rsidR="00D8605A" w:rsidRPr="004C14A1">
        <w:rPr>
          <w:rFonts w:ascii="Arial" w:hAnsi="Arial" w:cs="Arial"/>
          <w:color w:val="000000" w:themeColor="text1"/>
          <w:sz w:val="22"/>
          <w:szCs w:val="22"/>
          <w:lang w:val="es-ES"/>
        </w:rPr>
        <w:tab/>
      </w:r>
      <w:r w:rsidR="00D8605A" w:rsidRPr="004C14A1">
        <w:rPr>
          <w:rFonts w:ascii="Arial" w:hAnsi="Arial" w:cs="Arial"/>
          <w:color w:val="000000" w:themeColor="text1"/>
          <w:sz w:val="22"/>
          <w:szCs w:val="22"/>
          <w:lang w:val="es-ES"/>
        </w:rPr>
        <w:tab/>
      </w:r>
      <w:r w:rsidRPr="004C14A1">
        <w:rPr>
          <w:rFonts w:ascii="Arial" w:hAnsi="Arial" w:cs="Arial"/>
          <w:color w:val="000000" w:themeColor="text1"/>
          <w:sz w:val="22"/>
          <w:szCs w:val="22"/>
          <w:lang w:val="es-ES"/>
        </w:rPr>
        <w:t>954462371</w:t>
      </w:r>
    </w:p>
    <w:p w14:paraId="5116ABF6" w14:textId="58619937" w:rsidR="002B27D0" w:rsidRPr="004C14A1" w:rsidRDefault="00D8605A" w:rsidP="00D8605A">
      <w:pPr>
        <w:pStyle w:val="NormalWeb"/>
        <w:spacing w:line="276" w:lineRule="auto"/>
        <w:rPr>
          <w:rFonts w:ascii="Arial" w:hAnsi="Arial" w:cs="Arial"/>
          <w:color w:val="000000" w:themeColor="text1"/>
          <w:sz w:val="22"/>
          <w:szCs w:val="22"/>
          <w:lang w:val="es-ES"/>
        </w:rPr>
      </w:pPr>
      <w:r w:rsidRPr="004C14A1">
        <w:rPr>
          <w:rFonts w:ascii="Arial" w:hAnsi="Arial" w:cs="Arial"/>
          <w:noProof/>
          <w:color w:val="000000" w:themeColor="text1"/>
          <w:sz w:val="22"/>
          <w:szCs w:val="22"/>
          <w:lang w:val="es-ES"/>
          <w14:ligatures w14:val="standardContextual"/>
        </w:rPr>
        <mc:AlternateContent>
          <mc:Choice Requires="wps">
            <w:drawing>
              <wp:anchor distT="0" distB="0" distL="114300" distR="114300" simplePos="0" relativeHeight="251659264" behindDoc="0" locked="0" layoutInCell="1" allowOverlap="1" wp14:anchorId="333FAFE5" wp14:editId="3974F3C7">
                <wp:simplePos x="0" y="0"/>
                <wp:positionH relativeFrom="column">
                  <wp:posOffset>142378</wp:posOffset>
                </wp:positionH>
                <wp:positionV relativeFrom="paragraph">
                  <wp:posOffset>203171</wp:posOffset>
                </wp:positionV>
                <wp:extent cx="4994413" cy="0"/>
                <wp:effectExtent l="0" t="0" r="9525" b="12700"/>
                <wp:wrapNone/>
                <wp:docPr id="1" name="Conector recto 1"/>
                <wp:cNvGraphicFramePr/>
                <a:graphic xmlns:a="http://schemas.openxmlformats.org/drawingml/2006/main">
                  <a:graphicData uri="http://schemas.microsoft.com/office/word/2010/wordprocessingShape">
                    <wps:wsp>
                      <wps:cNvCnPr/>
                      <wps:spPr>
                        <a:xfrm flipV="1">
                          <a:off x="0" y="0"/>
                          <a:ext cx="49944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4AC75B9" id="Conector recto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2pt,16pt" to="404.4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" strokecolor="black [3200]" strokeweight=".5pt">
                <v:stroke joinstyle="miter"/>
              </v:line>
            </w:pict>
          </mc:Fallback>
        </mc:AlternateContent>
      </w:r>
    </w:p>
    <w:p w14:paraId="592E9551" w14:textId="77777777" w:rsidR="00D368CE" w:rsidRPr="004C14A1" w:rsidRDefault="00D368CE" w:rsidP="00D368CE">
      <w:pPr>
        <w:pStyle w:val="EstiloPersonalizado"/>
      </w:pPr>
    </w:p>
    <w:p w14:paraId="29D18D88" w14:textId="7142301A" w:rsidR="00D368CE" w:rsidRPr="004C14A1" w:rsidRDefault="00C43A8E" w:rsidP="00C43A8E">
      <w:pPr>
        <w:pStyle w:val="EstiloPersonalizado"/>
        <w:jc w:val="center"/>
        <w:rPr>
          <w:bCs/>
          <w:lang w:val="es-ES"/>
        </w:rPr>
      </w:pPr>
      <w:r w:rsidRPr="004C14A1">
        <w:t>“</w:t>
      </w:r>
      <w:r w:rsidR="00D368CE" w:rsidRPr="004C14A1">
        <w:t>DE LOS ACUERDOS ANUALES A LA PLANIFICACIÓN SOCIAL DE MEDIANO PLAZO: EXPERIENCIA DE TRANSICIÓN EN LA GESTIÓN SOCIAL MINERA</w:t>
      </w:r>
      <w:r w:rsidRPr="004C14A1">
        <w:t>”</w:t>
      </w:r>
    </w:p>
    <w:p w14:paraId="6A5AE0A1" w14:textId="77777777" w:rsidR="004C14A1" w:rsidRDefault="004C14A1" w:rsidP="006941BA">
      <w:pPr>
        <w:pStyle w:val="NormalWeb"/>
        <w:spacing w:line="276" w:lineRule="auto"/>
        <w:jc w:val="both"/>
        <w:rPr>
          <w:rFonts w:ascii="Arial" w:hAnsi="Arial" w:cs="Arial"/>
          <w:b/>
          <w:bCs/>
          <w:color w:val="000000" w:themeColor="text1"/>
          <w:sz w:val="22"/>
          <w:szCs w:val="22"/>
          <w:lang w:val="es-ES"/>
        </w:rPr>
      </w:pPr>
    </w:p>
    <w:p w14:paraId="6A3DEF5E" w14:textId="6514CF20" w:rsidR="004C14A1" w:rsidRPr="00B447C2" w:rsidRDefault="0078031A" w:rsidP="00B447C2">
      <w:pPr>
        <w:rPr>
          <w:rFonts w:ascii="Arial" w:hAnsi="Arial" w:cs="Arial"/>
          <w:b/>
          <w:bCs/>
          <w:lang w:val="es-ES"/>
        </w:rPr>
      </w:pPr>
      <w:r w:rsidRPr="00B447C2">
        <w:rPr>
          <w:rFonts w:ascii="Arial" w:hAnsi="Arial" w:cs="Arial"/>
          <w:b/>
          <w:bCs/>
          <w:sz w:val="22"/>
          <w:szCs w:val="22"/>
          <w:lang w:val="es-ES"/>
        </w:rPr>
        <w:t>INTRODUCCIÓN</w:t>
      </w:r>
    </w:p>
    <w:p w14:paraId="390218C5" w14:textId="3B6870CE" w:rsidR="00D368CE" w:rsidRPr="00D368CE" w:rsidRDefault="00D368CE" w:rsidP="00B447C2">
      <w:pPr>
        <w:pStyle w:val="NormalWeb"/>
        <w:spacing w:line="360" w:lineRule="auto"/>
        <w:jc w:val="both"/>
        <w:rPr>
          <w:rFonts w:ascii="Arial" w:hAnsi="Arial" w:cs="Arial"/>
          <w:b/>
          <w:bCs/>
          <w:color w:val="000000" w:themeColor="text1"/>
          <w:sz w:val="22"/>
          <w:szCs w:val="22"/>
          <w:lang w:val="es-ES"/>
        </w:rPr>
      </w:pPr>
      <w:r w:rsidRPr="00D368CE">
        <w:rPr>
          <w:rFonts w:ascii="Arial" w:hAnsi="Arial" w:cs="Arial"/>
          <w:color w:val="000000" w:themeColor="text1"/>
          <w:sz w:val="22"/>
          <w:szCs w:val="22"/>
          <w:lang w:val="es-419"/>
        </w:rPr>
        <w:t>La gestión social en minería ha estado tradicionalmente marcada por la firma de acuerdos anuales entre las empresas mineras y las comunidades campesinas. Esta modalidad, basada en negociaciones periódicas y respuestas a demandas inmediatas, si bien ha permitido atender necesidades urgentes y mantener la operatividad de los proyectos, ha demostrado también ser limitada en términos de sostenibilidad, predictibilidad y generación de desarrollo duradero en los territorios.</w:t>
      </w:r>
    </w:p>
    <w:p w14:paraId="207D16CF" w14:textId="6C2280E9" w:rsidR="00D368CE" w:rsidRPr="00D368CE" w:rsidRDefault="00D368CE" w:rsidP="00B447C2">
      <w:pPr>
        <w:pStyle w:val="NormalWeb"/>
        <w:spacing w:line="360" w:lineRule="auto"/>
        <w:jc w:val="both"/>
        <w:rPr>
          <w:rFonts w:ascii="Arial" w:hAnsi="Arial" w:cs="Arial"/>
          <w:color w:val="000000" w:themeColor="text1"/>
          <w:sz w:val="22"/>
          <w:szCs w:val="22"/>
          <w:lang w:val="es-419"/>
        </w:rPr>
      </w:pPr>
      <w:r w:rsidRPr="00D368CE">
        <w:rPr>
          <w:rFonts w:ascii="Arial" w:hAnsi="Arial" w:cs="Arial"/>
          <w:color w:val="000000" w:themeColor="text1"/>
          <w:sz w:val="22"/>
          <w:szCs w:val="22"/>
          <w:lang w:val="es-419"/>
        </w:rPr>
        <w:t>La evolución de las expectativas sociales, la creciente importancia de los marcos de responsabilidad social empresarial y la necesidad de fortalecer la gobernabilidad en las zonas de influencia minera han impulsado la búsqueda de nuevos enfoques de relacionamiento. En este contexto, la transición hacia procesos de planificación de inversión social de mediano plazo, con la participación de los gobiernos locales, representa una alternativa estratégica que busca construir agendas de desarrollo concertadas, sostenibles y alineadas con las prioridades públicas.</w:t>
      </w:r>
    </w:p>
    <w:p w14:paraId="79E0C37C" w14:textId="77777777" w:rsidR="00D368CE" w:rsidRDefault="00D368CE" w:rsidP="00B447C2">
      <w:pPr>
        <w:pStyle w:val="NormalWeb"/>
        <w:spacing w:line="360" w:lineRule="auto"/>
        <w:jc w:val="both"/>
        <w:rPr>
          <w:rFonts w:ascii="Arial" w:hAnsi="Arial" w:cs="Arial"/>
          <w:color w:val="000000" w:themeColor="text1"/>
          <w:sz w:val="22"/>
          <w:szCs w:val="22"/>
          <w:lang w:val="es-419"/>
        </w:rPr>
      </w:pPr>
      <w:r w:rsidRPr="00D368CE">
        <w:rPr>
          <w:rFonts w:ascii="Arial" w:hAnsi="Arial" w:cs="Arial"/>
          <w:color w:val="000000" w:themeColor="text1"/>
          <w:sz w:val="22"/>
          <w:szCs w:val="22"/>
          <w:lang w:val="es-419"/>
        </w:rPr>
        <w:t>El presente trabajo analiza esta experiencia de transición, identificando sus fundamentos, características, factores críticos de éxito y principales resultados, con el propósito de aportar lecciones que fortalezcan la gestión social en el sector minero.</w:t>
      </w:r>
    </w:p>
    <w:p w14:paraId="48A39407" w14:textId="77777777" w:rsidR="004C14A1" w:rsidRPr="00D368CE" w:rsidRDefault="004C14A1" w:rsidP="006941BA">
      <w:pPr>
        <w:pStyle w:val="NormalWeb"/>
        <w:spacing w:line="276" w:lineRule="auto"/>
        <w:jc w:val="both"/>
        <w:rPr>
          <w:rFonts w:ascii="Arial" w:hAnsi="Arial" w:cs="Arial"/>
          <w:color w:val="000000" w:themeColor="text1"/>
          <w:sz w:val="22"/>
          <w:szCs w:val="22"/>
          <w:lang w:val="es-419"/>
        </w:rPr>
      </w:pPr>
    </w:p>
    <w:p w14:paraId="3EB86668" w14:textId="4FAA9E61" w:rsidR="00D368CE" w:rsidRPr="00B447C2" w:rsidRDefault="00D368CE" w:rsidP="00B447C2">
      <w:pPr>
        <w:rPr>
          <w:rFonts w:ascii="Arial" w:hAnsi="Arial" w:cs="Arial"/>
          <w:b/>
          <w:bCs/>
          <w:sz w:val="22"/>
          <w:szCs w:val="22"/>
        </w:rPr>
      </w:pPr>
      <w:r w:rsidRPr="00B447C2">
        <w:rPr>
          <w:rFonts w:ascii="Arial" w:hAnsi="Arial" w:cs="Arial"/>
          <w:b/>
          <w:bCs/>
          <w:sz w:val="22"/>
          <w:szCs w:val="22"/>
        </w:rPr>
        <w:lastRenderedPageBreak/>
        <w:t>OBJETIVOS</w:t>
      </w:r>
    </w:p>
    <w:p w14:paraId="433D6F16" w14:textId="77777777" w:rsidR="00D368CE" w:rsidRPr="00D368CE" w:rsidRDefault="00D368CE" w:rsidP="006941BA">
      <w:pPr>
        <w:pStyle w:val="NormalWeb"/>
        <w:spacing w:line="276" w:lineRule="auto"/>
        <w:rPr>
          <w:rFonts w:ascii="Arial" w:hAnsi="Arial" w:cs="Arial"/>
          <w:b/>
          <w:bCs/>
          <w:color w:val="000000" w:themeColor="text1"/>
          <w:sz w:val="22"/>
          <w:szCs w:val="22"/>
          <w:lang w:val="es-419"/>
        </w:rPr>
      </w:pPr>
      <w:r w:rsidRPr="00D368CE">
        <w:rPr>
          <w:rFonts w:ascii="Arial" w:hAnsi="Arial" w:cs="Arial"/>
          <w:b/>
          <w:bCs/>
          <w:color w:val="000000" w:themeColor="text1"/>
          <w:sz w:val="22"/>
          <w:szCs w:val="22"/>
          <w:lang w:val="es-419"/>
        </w:rPr>
        <w:t>Objetivo General</w:t>
      </w:r>
    </w:p>
    <w:p w14:paraId="26DB6786" w14:textId="77777777" w:rsidR="00D368CE" w:rsidRPr="00D368CE" w:rsidRDefault="00D368CE" w:rsidP="00B447C2">
      <w:pPr>
        <w:pStyle w:val="NormalWeb"/>
        <w:numPr>
          <w:ilvl w:val="0"/>
          <w:numId w:val="9"/>
        </w:numPr>
        <w:spacing w:line="360" w:lineRule="auto"/>
        <w:rPr>
          <w:rFonts w:ascii="Arial" w:hAnsi="Arial" w:cs="Arial"/>
          <w:color w:val="000000" w:themeColor="text1"/>
          <w:sz w:val="22"/>
          <w:szCs w:val="22"/>
          <w:lang w:val="es-419"/>
        </w:rPr>
      </w:pPr>
      <w:r w:rsidRPr="00D368CE">
        <w:rPr>
          <w:rFonts w:ascii="Arial" w:hAnsi="Arial" w:cs="Arial"/>
          <w:color w:val="000000" w:themeColor="text1"/>
          <w:sz w:val="22"/>
          <w:szCs w:val="22"/>
          <w:lang w:val="es-419"/>
        </w:rPr>
        <w:t>Analizar la transición de un modelo de acuerdos anuales con comunidades campesinas hacia un proceso de planificación de inversión social de mediano plazo con involucramiento de gobiernos locales, en el contexto de la gestión social en minería.</w:t>
      </w:r>
    </w:p>
    <w:p w14:paraId="4A1F52ED" w14:textId="77777777" w:rsidR="00D368CE" w:rsidRPr="00D368CE" w:rsidRDefault="00D368CE" w:rsidP="006941BA">
      <w:pPr>
        <w:pStyle w:val="NormalWeb"/>
        <w:spacing w:line="276" w:lineRule="auto"/>
        <w:rPr>
          <w:rFonts w:ascii="Arial" w:hAnsi="Arial" w:cs="Arial"/>
          <w:b/>
          <w:bCs/>
          <w:color w:val="000000" w:themeColor="text1"/>
          <w:sz w:val="22"/>
          <w:szCs w:val="22"/>
          <w:lang w:val="es-419"/>
        </w:rPr>
      </w:pPr>
      <w:r w:rsidRPr="00D368CE">
        <w:rPr>
          <w:rFonts w:ascii="Arial" w:hAnsi="Arial" w:cs="Arial"/>
          <w:b/>
          <w:bCs/>
          <w:color w:val="000000" w:themeColor="text1"/>
          <w:sz w:val="22"/>
          <w:szCs w:val="22"/>
          <w:lang w:val="es-419"/>
        </w:rPr>
        <w:t>Objetivos Específicos</w:t>
      </w:r>
    </w:p>
    <w:p w14:paraId="2EBD205F" w14:textId="77777777" w:rsidR="00D368CE" w:rsidRPr="00D368CE" w:rsidRDefault="00D368CE" w:rsidP="00B447C2">
      <w:pPr>
        <w:pStyle w:val="NormalWeb"/>
        <w:numPr>
          <w:ilvl w:val="0"/>
          <w:numId w:val="12"/>
        </w:numPr>
        <w:spacing w:line="360" w:lineRule="auto"/>
        <w:rPr>
          <w:rFonts w:ascii="Arial" w:hAnsi="Arial" w:cs="Arial"/>
          <w:color w:val="000000" w:themeColor="text1"/>
          <w:sz w:val="22"/>
          <w:szCs w:val="22"/>
          <w:lang w:val="es-419"/>
        </w:rPr>
      </w:pPr>
      <w:r w:rsidRPr="00D368CE">
        <w:rPr>
          <w:rFonts w:ascii="Arial" w:hAnsi="Arial" w:cs="Arial"/>
          <w:color w:val="000000" w:themeColor="text1"/>
          <w:sz w:val="22"/>
          <w:szCs w:val="22"/>
          <w:lang w:val="es-419"/>
        </w:rPr>
        <w:t>Describir las características y limitaciones del modelo de acuerdos anuales en la relación entre empresas mineras y comunidades campesinas.</w:t>
      </w:r>
    </w:p>
    <w:p w14:paraId="288FA0EC" w14:textId="77777777" w:rsidR="00D368CE" w:rsidRPr="00D368CE" w:rsidRDefault="00D368CE" w:rsidP="00B447C2">
      <w:pPr>
        <w:pStyle w:val="NormalWeb"/>
        <w:numPr>
          <w:ilvl w:val="0"/>
          <w:numId w:val="12"/>
        </w:numPr>
        <w:spacing w:line="360" w:lineRule="auto"/>
        <w:rPr>
          <w:rFonts w:ascii="Arial" w:hAnsi="Arial" w:cs="Arial"/>
          <w:color w:val="000000" w:themeColor="text1"/>
          <w:sz w:val="22"/>
          <w:szCs w:val="22"/>
          <w:lang w:val="es-419"/>
        </w:rPr>
      </w:pPr>
      <w:r w:rsidRPr="00D368CE">
        <w:rPr>
          <w:rFonts w:ascii="Arial" w:hAnsi="Arial" w:cs="Arial"/>
          <w:color w:val="000000" w:themeColor="text1"/>
          <w:sz w:val="22"/>
          <w:szCs w:val="22"/>
          <w:lang w:val="es-419"/>
        </w:rPr>
        <w:t>Explicar los fundamentos y beneficios de la planificación de inversión social de mediano plazo como nuevo enfoque de gestión social.</w:t>
      </w:r>
    </w:p>
    <w:p w14:paraId="291D515B" w14:textId="77777777" w:rsidR="00D368CE" w:rsidRPr="00D368CE" w:rsidRDefault="00D368CE" w:rsidP="00B447C2">
      <w:pPr>
        <w:pStyle w:val="NormalWeb"/>
        <w:numPr>
          <w:ilvl w:val="0"/>
          <w:numId w:val="12"/>
        </w:numPr>
        <w:spacing w:line="360" w:lineRule="auto"/>
        <w:rPr>
          <w:rFonts w:ascii="Arial" w:hAnsi="Arial" w:cs="Arial"/>
          <w:color w:val="000000" w:themeColor="text1"/>
          <w:sz w:val="22"/>
          <w:szCs w:val="22"/>
          <w:lang w:val="es-419"/>
        </w:rPr>
      </w:pPr>
      <w:r w:rsidRPr="00D368CE">
        <w:rPr>
          <w:rFonts w:ascii="Arial" w:hAnsi="Arial" w:cs="Arial"/>
          <w:color w:val="000000" w:themeColor="text1"/>
          <w:sz w:val="22"/>
          <w:szCs w:val="22"/>
          <w:lang w:val="es-419"/>
        </w:rPr>
        <w:t>Analizar el rol de los gobiernos locales en la planificación y ejecución de la inversión social en territorios de influencia minera.</w:t>
      </w:r>
    </w:p>
    <w:p w14:paraId="64C6DECE" w14:textId="77777777" w:rsidR="00D368CE" w:rsidRPr="00D368CE" w:rsidRDefault="00D368CE" w:rsidP="00B447C2">
      <w:pPr>
        <w:pStyle w:val="NormalWeb"/>
        <w:numPr>
          <w:ilvl w:val="0"/>
          <w:numId w:val="12"/>
        </w:numPr>
        <w:spacing w:line="360" w:lineRule="auto"/>
        <w:rPr>
          <w:rFonts w:ascii="Arial" w:hAnsi="Arial" w:cs="Arial"/>
          <w:color w:val="000000" w:themeColor="text1"/>
          <w:sz w:val="22"/>
          <w:szCs w:val="22"/>
          <w:lang w:val="es-419"/>
        </w:rPr>
      </w:pPr>
      <w:r w:rsidRPr="00D368CE">
        <w:rPr>
          <w:rFonts w:ascii="Arial" w:hAnsi="Arial" w:cs="Arial"/>
          <w:color w:val="000000" w:themeColor="text1"/>
          <w:sz w:val="22"/>
          <w:szCs w:val="22"/>
          <w:lang w:val="es-419"/>
        </w:rPr>
        <w:t>Identificar los factores críticos que facilitan o dificultan la transición hacia esquemas de planificación a mediano plazo.</w:t>
      </w:r>
    </w:p>
    <w:p w14:paraId="1F7192C0" w14:textId="77777777" w:rsidR="006941BA" w:rsidRPr="004C14A1" w:rsidRDefault="00D368CE" w:rsidP="00B447C2">
      <w:pPr>
        <w:pStyle w:val="NormalWeb"/>
        <w:numPr>
          <w:ilvl w:val="0"/>
          <w:numId w:val="12"/>
        </w:numPr>
        <w:spacing w:line="360" w:lineRule="auto"/>
        <w:rPr>
          <w:rFonts w:ascii="Arial" w:hAnsi="Arial" w:cs="Arial"/>
          <w:b/>
          <w:sz w:val="22"/>
          <w:szCs w:val="22"/>
          <w:lang w:val="es-419"/>
        </w:rPr>
      </w:pPr>
      <w:r w:rsidRPr="00D368CE">
        <w:rPr>
          <w:rFonts w:ascii="Arial" w:hAnsi="Arial" w:cs="Arial"/>
          <w:color w:val="000000" w:themeColor="text1"/>
          <w:sz w:val="22"/>
          <w:szCs w:val="22"/>
          <w:lang w:val="es-419"/>
        </w:rPr>
        <w:t>Proponer recomendaciones para fortalecer la sostenibilidad y legitimidad de los procesos de inversión social en territorios mineros.</w:t>
      </w:r>
    </w:p>
    <w:p w14:paraId="185436C5" w14:textId="77777777" w:rsidR="006941BA" w:rsidRPr="004C14A1" w:rsidRDefault="006941BA" w:rsidP="006941BA">
      <w:pPr>
        <w:pStyle w:val="NormalWeb"/>
        <w:spacing w:line="276" w:lineRule="auto"/>
        <w:ind w:left="720"/>
        <w:rPr>
          <w:rFonts w:ascii="Arial" w:hAnsi="Arial" w:cs="Arial"/>
          <w:b/>
          <w:sz w:val="22"/>
          <w:szCs w:val="22"/>
          <w:lang w:val="es-419"/>
        </w:rPr>
      </w:pPr>
    </w:p>
    <w:p w14:paraId="5603A65A" w14:textId="77777777" w:rsidR="006941BA" w:rsidRPr="004C14A1" w:rsidRDefault="00D368CE" w:rsidP="004C14A1">
      <w:pPr>
        <w:pStyle w:val="NormalWeb"/>
        <w:spacing w:line="276" w:lineRule="auto"/>
        <w:rPr>
          <w:rFonts w:ascii="Arial" w:hAnsi="Arial" w:cs="Arial"/>
          <w:b/>
          <w:sz w:val="22"/>
          <w:szCs w:val="22"/>
          <w:lang w:val="es-419"/>
        </w:rPr>
      </w:pPr>
      <w:r w:rsidRPr="004C14A1">
        <w:rPr>
          <w:rFonts w:ascii="Arial" w:hAnsi="Arial" w:cs="Arial"/>
          <w:b/>
          <w:sz w:val="22"/>
          <w:szCs w:val="22"/>
          <w:lang w:val="es-419"/>
        </w:rPr>
        <w:t>APROXIMACIONES</w:t>
      </w:r>
    </w:p>
    <w:p w14:paraId="33F9EB12" w14:textId="77777777" w:rsidR="006941BA" w:rsidRPr="004C14A1" w:rsidRDefault="00F458BC" w:rsidP="004C14A1">
      <w:pPr>
        <w:spacing w:line="360" w:lineRule="auto"/>
        <w:jc w:val="both"/>
        <w:rPr>
          <w:rFonts w:ascii="Arial" w:hAnsi="Arial" w:cs="Arial"/>
          <w:sz w:val="22"/>
          <w:szCs w:val="22"/>
          <w:lang w:val="es-419" w:eastAsia="es-ES_tradnl"/>
        </w:rPr>
      </w:pPr>
      <w:r w:rsidRPr="004C14A1">
        <w:rPr>
          <w:rFonts w:ascii="Arial" w:hAnsi="Arial" w:cs="Arial"/>
          <w:sz w:val="22"/>
          <w:szCs w:val="22"/>
          <w:lang w:val="es-419" w:eastAsia="es-ES_tradnl"/>
        </w:rPr>
        <w:t>El modelo de acuerdos anuales ha caracterizado históricamente las relaciones entre empresas mineras y comunidades campesinas. A través de este esquema, las compañías respondían a demandas sociales mediante negociaciones periódicas, garantizando en muchos casos la continuidad de sus operaciones. No obstante, esta modalidad generó una serie de efectos no deseados: alta volatilidad en las relaciones sociales, dependencia de recursos mineros, ausencia de continuidad en las inversiones y escasa articulación con las políticas públicas locales.</w:t>
      </w:r>
      <w:r w:rsidR="006941BA" w:rsidRPr="004C14A1">
        <w:rPr>
          <w:rFonts w:ascii="Arial" w:hAnsi="Arial" w:cs="Arial"/>
          <w:sz w:val="22"/>
          <w:szCs w:val="22"/>
          <w:lang w:val="es-419" w:eastAsia="es-ES_tradnl"/>
        </w:rPr>
        <w:t xml:space="preserve"> </w:t>
      </w:r>
    </w:p>
    <w:p w14:paraId="3F48E6A9" w14:textId="77777777" w:rsidR="006941BA" w:rsidRPr="004C14A1" w:rsidRDefault="006941BA" w:rsidP="004C14A1">
      <w:pPr>
        <w:spacing w:line="360" w:lineRule="auto"/>
        <w:jc w:val="both"/>
        <w:rPr>
          <w:rFonts w:ascii="Arial" w:hAnsi="Arial" w:cs="Arial"/>
          <w:sz w:val="22"/>
          <w:szCs w:val="22"/>
          <w:lang w:val="es-419" w:eastAsia="es-ES_tradnl"/>
        </w:rPr>
      </w:pPr>
    </w:p>
    <w:p w14:paraId="77C71F0B" w14:textId="77777777" w:rsidR="006941BA" w:rsidRPr="004C14A1" w:rsidRDefault="00F458BC" w:rsidP="004C14A1">
      <w:pPr>
        <w:spacing w:line="360" w:lineRule="auto"/>
        <w:jc w:val="both"/>
        <w:rPr>
          <w:rFonts w:ascii="Arial" w:hAnsi="Arial" w:cs="Arial"/>
          <w:sz w:val="22"/>
          <w:szCs w:val="22"/>
          <w:lang w:val="es-419" w:eastAsia="es-ES_tradnl"/>
        </w:rPr>
      </w:pPr>
      <w:r w:rsidRPr="004C14A1">
        <w:rPr>
          <w:rFonts w:ascii="Arial" w:hAnsi="Arial" w:cs="Arial"/>
          <w:sz w:val="22"/>
          <w:szCs w:val="22"/>
          <w:lang w:val="es-419" w:eastAsia="es-ES_tradnl"/>
        </w:rPr>
        <w:t>Frente a estas limitaciones, surgió la necesidad de transitar hacia un nuevo enfoque basado en la planificación de inversión social de mediano plazo. Este modelo propone definir una agenda estratégica de proyectos sociales para un horizonte de tres a cinco años, priorizando iniciativas que contribuyan al desarrollo sostenible del territorio y que se articulen con los instrumentos de gestión pública existentes, como los Planes de Desarrollo Concertado y los presupuestos participativos.</w:t>
      </w:r>
    </w:p>
    <w:p w14:paraId="3C203BD4" w14:textId="77777777" w:rsidR="006941BA" w:rsidRPr="004C14A1" w:rsidRDefault="006941BA" w:rsidP="004C14A1">
      <w:pPr>
        <w:spacing w:line="360" w:lineRule="auto"/>
        <w:jc w:val="both"/>
        <w:rPr>
          <w:rFonts w:ascii="Arial" w:hAnsi="Arial" w:cs="Arial"/>
          <w:sz w:val="22"/>
          <w:szCs w:val="22"/>
          <w:lang w:val="es-419" w:eastAsia="es-ES_tradnl"/>
        </w:rPr>
      </w:pPr>
    </w:p>
    <w:p w14:paraId="157B1BE7" w14:textId="26F12135" w:rsidR="006941BA" w:rsidRPr="004C14A1" w:rsidRDefault="00F458BC" w:rsidP="004C14A1">
      <w:pPr>
        <w:spacing w:line="360" w:lineRule="auto"/>
        <w:jc w:val="both"/>
        <w:rPr>
          <w:rFonts w:ascii="Arial" w:hAnsi="Arial" w:cs="Arial"/>
          <w:sz w:val="22"/>
          <w:szCs w:val="22"/>
          <w:lang w:val="es-419" w:eastAsia="es-ES_tradnl"/>
        </w:rPr>
      </w:pPr>
      <w:r w:rsidRPr="004C14A1">
        <w:rPr>
          <w:rFonts w:ascii="Arial" w:hAnsi="Arial" w:cs="Arial"/>
          <w:sz w:val="22"/>
          <w:szCs w:val="22"/>
          <w:lang w:val="es-419" w:eastAsia="es-ES_tradnl"/>
        </w:rPr>
        <w:t>La participación de los gobiernos locales constituye un pilar fundamental de este nuevo enfoque. Al incorporar a los municipios como actores en la planificación, ejecución y supervisión de las inversiones sociales, se refuerza la legitimidad de las intervenciones, se promueve la corresponsabilidad y se facilita la sostenibilidad de los proyectos a través de su incorporación en las políticas y presupuestos públicos.</w:t>
      </w:r>
      <w:r w:rsidR="006941BA" w:rsidRPr="004C14A1">
        <w:rPr>
          <w:rFonts w:ascii="Arial" w:hAnsi="Arial" w:cs="Arial"/>
          <w:sz w:val="22"/>
          <w:szCs w:val="22"/>
          <w:lang w:val="es-419" w:eastAsia="es-ES_tradnl"/>
        </w:rPr>
        <w:t xml:space="preserve"> </w:t>
      </w:r>
    </w:p>
    <w:p w14:paraId="0A2E6B90" w14:textId="77777777" w:rsidR="006941BA" w:rsidRPr="004C14A1" w:rsidRDefault="006941BA" w:rsidP="004C14A1">
      <w:pPr>
        <w:spacing w:line="360" w:lineRule="auto"/>
        <w:jc w:val="both"/>
        <w:rPr>
          <w:rFonts w:ascii="Arial" w:hAnsi="Arial" w:cs="Arial"/>
          <w:sz w:val="22"/>
          <w:szCs w:val="22"/>
          <w:lang w:val="es-419" w:eastAsia="es-ES_tradnl"/>
        </w:rPr>
      </w:pPr>
    </w:p>
    <w:p w14:paraId="1CDC98B9" w14:textId="40C30A9E" w:rsidR="00F458BC" w:rsidRDefault="00F458BC" w:rsidP="004C14A1">
      <w:pPr>
        <w:spacing w:line="360" w:lineRule="auto"/>
        <w:jc w:val="both"/>
        <w:rPr>
          <w:rFonts w:ascii="Arial" w:hAnsi="Arial" w:cs="Arial"/>
          <w:sz w:val="22"/>
          <w:szCs w:val="22"/>
          <w:lang w:val="es-419" w:eastAsia="es-ES_tradnl"/>
        </w:rPr>
      </w:pPr>
      <w:r w:rsidRPr="004C14A1">
        <w:rPr>
          <w:rFonts w:ascii="Arial" w:hAnsi="Arial" w:cs="Arial"/>
          <w:sz w:val="22"/>
          <w:szCs w:val="22"/>
          <w:lang w:val="es-419" w:eastAsia="es-ES_tradnl"/>
        </w:rPr>
        <w:t>Desde la perspectiva interna de la empresa minera, esta transición también ha generado impactos positivos significativos en su gobernanza corporativa. El paso de compromisos anuales a compromisos multianuales ha permitido mejorar la previsibilidad financiera y operativa, optimizando la planificación presupuestal, los procesos de aprobación interna y la eficiencia administrativa en la atención de los compromisos sociales. La existencia de un plan de inversión social de mediano plazo facilita la integración de los compromisos comunitarios en los ciclos de planificación estratégica de la empresa, disminuyendo la carga de negociación anual y reduciendo los riesgos de conflictividad por incumplimientos o malinterpretaciones.</w:t>
      </w:r>
    </w:p>
    <w:p w14:paraId="11CBDC7F" w14:textId="77777777" w:rsidR="00B447C2" w:rsidRPr="004C14A1" w:rsidRDefault="00B447C2" w:rsidP="004C14A1">
      <w:pPr>
        <w:spacing w:line="360" w:lineRule="auto"/>
        <w:jc w:val="both"/>
        <w:rPr>
          <w:rFonts w:ascii="Arial" w:hAnsi="Arial" w:cs="Arial"/>
          <w:sz w:val="22"/>
          <w:szCs w:val="22"/>
          <w:lang w:val="es-419" w:eastAsia="es-ES_tradnl"/>
        </w:rPr>
      </w:pPr>
    </w:p>
    <w:p w14:paraId="55DBAF8C" w14:textId="77777777" w:rsidR="00F458BC" w:rsidRDefault="00F458BC" w:rsidP="004C14A1">
      <w:pPr>
        <w:spacing w:line="360" w:lineRule="auto"/>
        <w:jc w:val="both"/>
        <w:rPr>
          <w:rFonts w:ascii="Arial" w:hAnsi="Arial" w:cs="Arial"/>
          <w:sz w:val="22"/>
          <w:szCs w:val="22"/>
          <w:lang w:val="es-419" w:eastAsia="es-ES_tradnl"/>
        </w:rPr>
      </w:pPr>
      <w:r w:rsidRPr="004C14A1">
        <w:rPr>
          <w:rFonts w:ascii="Arial" w:hAnsi="Arial" w:cs="Arial"/>
          <w:sz w:val="22"/>
          <w:szCs w:val="22"/>
          <w:lang w:val="es-419" w:eastAsia="es-ES_tradnl"/>
        </w:rPr>
        <w:t>Además, al consolidarse compromisos bajo marcos formales y con horizontes claros, se fortalece la transparencia y la trazabilidad de las inversiones sociales, elementos que son cada vez más valorados tanto por los estándares internacionales de sostenibilidad como por los órganos de gobierno corporativo y auditoría interna de las compañías mineras.</w:t>
      </w:r>
    </w:p>
    <w:p w14:paraId="49732902" w14:textId="77777777" w:rsidR="00B447C2" w:rsidRPr="004C14A1" w:rsidRDefault="00B447C2" w:rsidP="004C14A1">
      <w:pPr>
        <w:spacing w:line="360" w:lineRule="auto"/>
        <w:jc w:val="both"/>
        <w:rPr>
          <w:rFonts w:ascii="Arial" w:hAnsi="Arial" w:cs="Arial"/>
          <w:sz w:val="22"/>
          <w:szCs w:val="22"/>
          <w:lang w:val="es-419" w:eastAsia="es-ES_tradnl"/>
        </w:rPr>
      </w:pPr>
    </w:p>
    <w:p w14:paraId="67EA6C7E" w14:textId="77777777" w:rsidR="00F458BC" w:rsidRPr="004C14A1" w:rsidRDefault="00F458BC" w:rsidP="004C14A1">
      <w:pPr>
        <w:spacing w:line="360" w:lineRule="auto"/>
        <w:jc w:val="both"/>
        <w:rPr>
          <w:rFonts w:ascii="Arial" w:hAnsi="Arial" w:cs="Arial"/>
          <w:sz w:val="22"/>
          <w:szCs w:val="22"/>
          <w:lang w:val="es-419" w:eastAsia="es-ES_tradnl"/>
        </w:rPr>
      </w:pPr>
      <w:r w:rsidRPr="004C14A1">
        <w:rPr>
          <w:rFonts w:ascii="Arial" w:hAnsi="Arial" w:cs="Arial"/>
          <w:sz w:val="22"/>
          <w:szCs w:val="22"/>
          <w:lang w:val="es-419" w:eastAsia="es-ES_tradnl"/>
        </w:rPr>
        <w:t>No obstante, la transición hacia este modelo no está exenta de desafíos. La construcción de confianza entre empresa, comunidades y gobiernos locales, el fortalecimiento de capacidades institucionales y la implementación de mecanismos de gobernanza participativa son factores críticos que deben ser gestionados de manera estratégica. Asimismo, la transparencia en la gestión de los recursos, la claridad en la definición de compromisos y la instalación de sistemas de monitoreo participativo resultan esenciales para consolidar el cambio de enfoque.</w:t>
      </w:r>
    </w:p>
    <w:p w14:paraId="45ECFA0A" w14:textId="77777777" w:rsidR="006941BA" w:rsidRPr="00F458BC" w:rsidRDefault="006941BA" w:rsidP="006941BA">
      <w:pPr>
        <w:pStyle w:val="EstiloPersonalizado"/>
        <w:jc w:val="both"/>
        <w:rPr>
          <w:rFonts w:eastAsia="Times New Roman"/>
          <w:b w:val="0"/>
          <w:bCs/>
          <w:lang w:val="es-419"/>
        </w:rPr>
      </w:pPr>
    </w:p>
    <w:p w14:paraId="645F5EA7" w14:textId="07EE73A7" w:rsidR="00D368CE" w:rsidRPr="004C14A1" w:rsidRDefault="00C43A8E" w:rsidP="006941BA">
      <w:pPr>
        <w:pStyle w:val="EstiloPersonalizado"/>
        <w:rPr>
          <w:rFonts w:eastAsia="Times New Roman"/>
          <w:lang w:val="es-419"/>
        </w:rPr>
      </w:pPr>
      <w:r w:rsidRPr="004C14A1">
        <w:rPr>
          <w:rFonts w:eastAsia="Times New Roman"/>
          <w:lang w:val="es-419"/>
        </w:rPr>
        <w:t>PROCEDIMIENTO O METODOLOGÍA</w:t>
      </w:r>
    </w:p>
    <w:p w14:paraId="39BF13FF" w14:textId="77777777" w:rsidR="00D368CE" w:rsidRPr="00D368CE" w:rsidRDefault="00D368CE" w:rsidP="006941BA">
      <w:pPr>
        <w:pStyle w:val="NormalWeb"/>
        <w:spacing w:line="276" w:lineRule="auto"/>
        <w:jc w:val="both"/>
        <w:rPr>
          <w:rFonts w:ascii="Arial" w:hAnsi="Arial" w:cs="Arial"/>
          <w:color w:val="000000" w:themeColor="text1"/>
          <w:sz w:val="22"/>
          <w:szCs w:val="22"/>
          <w:lang w:val="es-419"/>
        </w:rPr>
      </w:pPr>
      <w:r w:rsidRPr="00D368CE">
        <w:rPr>
          <w:rFonts w:ascii="Arial" w:hAnsi="Arial" w:cs="Arial"/>
          <w:color w:val="000000" w:themeColor="text1"/>
          <w:sz w:val="22"/>
          <w:szCs w:val="22"/>
          <w:lang w:val="es-419"/>
        </w:rPr>
        <w:t>La implementación de la transición hacia procesos de planificación de inversión social de mediano plazo se desarrolló mediante una metodología aplicada que comprendió las siguientes etapas:</w:t>
      </w:r>
    </w:p>
    <w:p w14:paraId="10BA2FC9" w14:textId="77777777" w:rsidR="00D368CE" w:rsidRPr="004C14A1" w:rsidRDefault="00D368CE" w:rsidP="006941BA">
      <w:pPr>
        <w:pStyle w:val="NormalWeb"/>
        <w:numPr>
          <w:ilvl w:val="0"/>
          <w:numId w:val="11"/>
        </w:numPr>
        <w:spacing w:line="276" w:lineRule="auto"/>
        <w:jc w:val="both"/>
        <w:rPr>
          <w:rFonts w:ascii="Arial" w:hAnsi="Arial" w:cs="Arial"/>
          <w:color w:val="000000" w:themeColor="text1"/>
          <w:sz w:val="22"/>
          <w:szCs w:val="22"/>
          <w:lang w:val="es-419"/>
        </w:rPr>
      </w:pPr>
      <w:r w:rsidRPr="00D368CE">
        <w:rPr>
          <w:rFonts w:ascii="Arial" w:hAnsi="Arial" w:cs="Arial"/>
          <w:b/>
          <w:bCs/>
          <w:color w:val="000000" w:themeColor="text1"/>
          <w:sz w:val="22"/>
          <w:szCs w:val="22"/>
          <w:lang w:val="es-419"/>
        </w:rPr>
        <w:lastRenderedPageBreak/>
        <w:t>Diagnóstico de la situación actual</w:t>
      </w:r>
    </w:p>
    <w:p w14:paraId="726EE39E" w14:textId="2F3DBFB7" w:rsidR="00D368CE" w:rsidRPr="00D368CE" w:rsidRDefault="00D368CE" w:rsidP="006941BA">
      <w:pPr>
        <w:pStyle w:val="NormalWeb"/>
        <w:spacing w:line="276" w:lineRule="auto"/>
        <w:ind w:left="720"/>
        <w:jc w:val="both"/>
        <w:rPr>
          <w:rFonts w:ascii="Arial" w:hAnsi="Arial" w:cs="Arial"/>
          <w:color w:val="000000" w:themeColor="text1"/>
          <w:sz w:val="22"/>
          <w:szCs w:val="22"/>
          <w:lang w:val="es-419"/>
        </w:rPr>
      </w:pPr>
      <w:r w:rsidRPr="004C14A1">
        <w:rPr>
          <w:rFonts w:ascii="Arial" w:hAnsi="Arial" w:cs="Arial"/>
          <w:color w:val="000000" w:themeColor="text1"/>
          <w:sz w:val="22"/>
          <w:szCs w:val="22"/>
          <w:lang w:val="es-419"/>
        </w:rPr>
        <w:t>Levantamiento</w:t>
      </w:r>
      <w:r w:rsidRPr="00D368CE">
        <w:rPr>
          <w:rFonts w:ascii="Arial" w:hAnsi="Arial" w:cs="Arial"/>
          <w:color w:val="000000" w:themeColor="text1"/>
          <w:sz w:val="22"/>
          <w:szCs w:val="22"/>
          <w:lang w:val="es-419"/>
        </w:rPr>
        <w:t xml:space="preserve"> de información sobre los acuerdos anuales vigentes, las demandas históricas de las comunidades y la calidad de la relación empresa-comunidad-gobierno local. Este diagnóstico permitió identificar las debilidades del modelo existente y establecer los lineamientos para su transformación.</w:t>
      </w:r>
    </w:p>
    <w:p w14:paraId="231F1744" w14:textId="3AE25667" w:rsidR="00D368CE" w:rsidRPr="004C14A1" w:rsidRDefault="00D368CE" w:rsidP="006941BA">
      <w:pPr>
        <w:pStyle w:val="NormalWeb"/>
        <w:numPr>
          <w:ilvl w:val="0"/>
          <w:numId w:val="11"/>
        </w:numPr>
        <w:spacing w:line="276" w:lineRule="auto"/>
        <w:jc w:val="both"/>
        <w:rPr>
          <w:rFonts w:ascii="Arial" w:hAnsi="Arial" w:cs="Arial"/>
          <w:color w:val="000000" w:themeColor="text1"/>
          <w:sz w:val="22"/>
          <w:szCs w:val="22"/>
          <w:lang w:val="es-419"/>
        </w:rPr>
      </w:pPr>
      <w:r w:rsidRPr="00D368CE">
        <w:rPr>
          <w:rFonts w:ascii="Arial" w:hAnsi="Arial" w:cs="Arial"/>
          <w:b/>
          <w:bCs/>
          <w:color w:val="000000" w:themeColor="text1"/>
          <w:sz w:val="22"/>
          <w:szCs w:val="22"/>
          <w:lang w:val="es-419"/>
        </w:rPr>
        <w:t>Mapeo de actores y análisis de capacidades</w:t>
      </w:r>
      <w:r w:rsidRPr="00D368CE">
        <w:rPr>
          <w:rFonts w:ascii="Arial" w:hAnsi="Arial" w:cs="Arial"/>
          <w:color w:val="000000" w:themeColor="text1"/>
          <w:sz w:val="22"/>
          <w:szCs w:val="22"/>
          <w:lang w:val="es-419"/>
        </w:rPr>
        <w:br/>
      </w:r>
      <w:r w:rsidRPr="004C14A1">
        <w:rPr>
          <w:rFonts w:ascii="Arial" w:hAnsi="Arial" w:cs="Arial"/>
          <w:color w:val="000000" w:themeColor="text1"/>
          <w:sz w:val="22"/>
          <w:szCs w:val="22"/>
          <w:lang w:val="es-419"/>
        </w:rPr>
        <w:t xml:space="preserve">Identificación de </w:t>
      </w:r>
      <w:r w:rsidRPr="00D368CE">
        <w:rPr>
          <w:rFonts w:ascii="Arial" w:hAnsi="Arial" w:cs="Arial"/>
          <w:color w:val="000000" w:themeColor="text1"/>
          <w:sz w:val="22"/>
          <w:szCs w:val="22"/>
          <w:lang w:val="es-419"/>
        </w:rPr>
        <w:t>actores clave del territorio —autoridades locales, líderes comunales, organizaciones sociales— y se ev</w:t>
      </w:r>
      <w:r w:rsidRPr="004C14A1">
        <w:rPr>
          <w:rFonts w:ascii="Arial" w:hAnsi="Arial" w:cs="Arial"/>
          <w:color w:val="000000" w:themeColor="text1"/>
          <w:sz w:val="22"/>
          <w:szCs w:val="22"/>
          <w:lang w:val="es-419"/>
        </w:rPr>
        <w:t>aluación de capacidades</w:t>
      </w:r>
      <w:r w:rsidRPr="00D368CE">
        <w:rPr>
          <w:rFonts w:ascii="Arial" w:hAnsi="Arial" w:cs="Arial"/>
          <w:color w:val="000000" w:themeColor="text1"/>
          <w:sz w:val="22"/>
          <w:szCs w:val="22"/>
          <w:lang w:val="es-419"/>
        </w:rPr>
        <w:t xml:space="preserve"> de gestión y participación en procesos de planificación.</w:t>
      </w:r>
    </w:p>
    <w:p w14:paraId="6236B681" w14:textId="77777777" w:rsidR="00D368CE" w:rsidRPr="004C14A1" w:rsidRDefault="00D368CE" w:rsidP="006941BA">
      <w:pPr>
        <w:pStyle w:val="NormalWeb"/>
        <w:numPr>
          <w:ilvl w:val="0"/>
          <w:numId w:val="11"/>
        </w:numPr>
        <w:spacing w:line="276" w:lineRule="auto"/>
        <w:jc w:val="both"/>
        <w:rPr>
          <w:rFonts w:ascii="Arial" w:hAnsi="Arial" w:cs="Arial"/>
          <w:color w:val="000000" w:themeColor="text1"/>
          <w:sz w:val="22"/>
          <w:szCs w:val="22"/>
          <w:lang w:val="es-419"/>
        </w:rPr>
      </w:pPr>
      <w:r w:rsidRPr="00D368CE">
        <w:rPr>
          <w:rFonts w:ascii="Arial" w:hAnsi="Arial" w:cs="Arial"/>
          <w:b/>
          <w:bCs/>
          <w:color w:val="000000" w:themeColor="text1"/>
          <w:sz w:val="22"/>
          <w:szCs w:val="22"/>
          <w:lang w:val="es-419"/>
        </w:rPr>
        <w:t>Instalación de espacios de diálogo multiactor</w:t>
      </w:r>
    </w:p>
    <w:p w14:paraId="7ACC50B5" w14:textId="04AB5399" w:rsidR="00D368CE" w:rsidRPr="00D368CE" w:rsidRDefault="00D368CE" w:rsidP="006941BA">
      <w:pPr>
        <w:pStyle w:val="NormalWeb"/>
        <w:spacing w:line="276" w:lineRule="auto"/>
        <w:ind w:left="708"/>
        <w:jc w:val="both"/>
        <w:rPr>
          <w:rFonts w:ascii="Arial" w:hAnsi="Arial" w:cs="Arial"/>
          <w:color w:val="000000" w:themeColor="text1"/>
          <w:sz w:val="22"/>
          <w:szCs w:val="22"/>
          <w:lang w:val="es-419"/>
        </w:rPr>
      </w:pPr>
      <w:r w:rsidRPr="004C14A1">
        <w:rPr>
          <w:rFonts w:ascii="Arial" w:hAnsi="Arial" w:cs="Arial"/>
          <w:color w:val="000000" w:themeColor="text1"/>
          <w:sz w:val="22"/>
          <w:szCs w:val="22"/>
          <w:lang w:val="es-419"/>
        </w:rPr>
        <w:t>Formación</w:t>
      </w:r>
      <w:r w:rsidRPr="00D368CE">
        <w:rPr>
          <w:rFonts w:ascii="Arial" w:hAnsi="Arial" w:cs="Arial"/>
          <w:color w:val="000000" w:themeColor="text1"/>
          <w:sz w:val="22"/>
          <w:szCs w:val="22"/>
          <w:lang w:val="es-419"/>
        </w:rPr>
        <w:t xml:space="preserve"> de mesas de trabajo (empresa, comunidad, gobierno local), que facilit</w:t>
      </w:r>
      <w:r w:rsidRPr="004C14A1">
        <w:rPr>
          <w:rFonts w:ascii="Arial" w:hAnsi="Arial" w:cs="Arial"/>
          <w:color w:val="000000" w:themeColor="text1"/>
          <w:sz w:val="22"/>
          <w:szCs w:val="22"/>
          <w:lang w:val="es-419"/>
        </w:rPr>
        <w:t>en</w:t>
      </w:r>
      <w:r w:rsidRPr="00D368CE">
        <w:rPr>
          <w:rFonts w:ascii="Arial" w:hAnsi="Arial" w:cs="Arial"/>
          <w:color w:val="000000" w:themeColor="text1"/>
          <w:sz w:val="22"/>
          <w:szCs w:val="22"/>
          <w:lang w:val="es-419"/>
        </w:rPr>
        <w:t xml:space="preserve"> la concertación de prioridades de inversión social, basadas en diagnósticos participativos y en los instrumentos de planificación pública.</w:t>
      </w:r>
    </w:p>
    <w:p w14:paraId="272EB69F" w14:textId="77777777" w:rsidR="00C43A8E" w:rsidRPr="004C14A1" w:rsidRDefault="00D368CE" w:rsidP="006941BA">
      <w:pPr>
        <w:pStyle w:val="NormalWeb"/>
        <w:numPr>
          <w:ilvl w:val="0"/>
          <w:numId w:val="11"/>
        </w:numPr>
        <w:spacing w:line="276" w:lineRule="auto"/>
        <w:jc w:val="both"/>
        <w:rPr>
          <w:rFonts w:ascii="Arial" w:hAnsi="Arial" w:cs="Arial"/>
          <w:color w:val="000000" w:themeColor="text1"/>
          <w:sz w:val="22"/>
          <w:szCs w:val="22"/>
          <w:lang w:val="es-419"/>
        </w:rPr>
      </w:pPr>
      <w:r w:rsidRPr="00D368CE">
        <w:rPr>
          <w:rFonts w:ascii="Arial" w:hAnsi="Arial" w:cs="Arial"/>
          <w:b/>
          <w:bCs/>
          <w:color w:val="000000" w:themeColor="text1"/>
          <w:sz w:val="22"/>
          <w:szCs w:val="22"/>
          <w:lang w:val="es-419"/>
        </w:rPr>
        <w:t>Diseño del Plan de Inversión Social de Mediano Plazo</w:t>
      </w:r>
    </w:p>
    <w:p w14:paraId="0B413B20" w14:textId="3937BA3B" w:rsidR="00D368CE" w:rsidRPr="00D368CE" w:rsidRDefault="00D368CE" w:rsidP="006941BA">
      <w:pPr>
        <w:pStyle w:val="NormalWeb"/>
        <w:spacing w:line="276" w:lineRule="auto"/>
        <w:ind w:left="720"/>
        <w:jc w:val="both"/>
        <w:rPr>
          <w:rFonts w:ascii="Arial" w:hAnsi="Arial" w:cs="Arial"/>
          <w:color w:val="000000" w:themeColor="text1"/>
          <w:sz w:val="22"/>
          <w:szCs w:val="22"/>
          <w:lang w:val="es-419"/>
        </w:rPr>
      </w:pPr>
      <w:r w:rsidRPr="00D368CE">
        <w:rPr>
          <w:rFonts w:ascii="Arial" w:hAnsi="Arial" w:cs="Arial"/>
          <w:color w:val="000000" w:themeColor="text1"/>
          <w:sz w:val="22"/>
          <w:szCs w:val="22"/>
          <w:lang w:val="es-419"/>
        </w:rPr>
        <w:t xml:space="preserve">A partir del diálogo multiactor, </w:t>
      </w:r>
      <w:r w:rsidR="00C43A8E" w:rsidRPr="004C14A1">
        <w:rPr>
          <w:rFonts w:ascii="Arial" w:hAnsi="Arial" w:cs="Arial"/>
          <w:color w:val="000000" w:themeColor="text1"/>
          <w:sz w:val="22"/>
          <w:szCs w:val="22"/>
          <w:lang w:val="es-419"/>
        </w:rPr>
        <w:t>elaboración de</w:t>
      </w:r>
      <w:r w:rsidRPr="00D368CE">
        <w:rPr>
          <w:rFonts w:ascii="Arial" w:hAnsi="Arial" w:cs="Arial"/>
          <w:color w:val="000000" w:themeColor="text1"/>
          <w:sz w:val="22"/>
          <w:szCs w:val="22"/>
          <w:lang w:val="es-419"/>
        </w:rPr>
        <w:t xml:space="preserve"> un plan estratégico que de</w:t>
      </w:r>
      <w:r w:rsidR="00C43A8E" w:rsidRPr="004C14A1">
        <w:rPr>
          <w:rFonts w:ascii="Arial" w:hAnsi="Arial" w:cs="Arial"/>
          <w:color w:val="000000" w:themeColor="text1"/>
          <w:sz w:val="22"/>
          <w:szCs w:val="22"/>
          <w:lang w:val="es-419"/>
        </w:rPr>
        <w:t xml:space="preserve">fina </w:t>
      </w:r>
      <w:r w:rsidRPr="00D368CE">
        <w:rPr>
          <w:rFonts w:ascii="Arial" w:hAnsi="Arial" w:cs="Arial"/>
          <w:color w:val="000000" w:themeColor="text1"/>
          <w:sz w:val="22"/>
          <w:szCs w:val="22"/>
          <w:lang w:val="es-419"/>
        </w:rPr>
        <w:t>proyectos prioritarios para un horizonte de tres a cinco años, alineados a los Planes de Desarrollo Concertado y los presupuestos municipales.</w:t>
      </w:r>
    </w:p>
    <w:p w14:paraId="65C819A1" w14:textId="77777777" w:rsidR="00C43A8E" w:rsidRPr="004C14A1" w:rsidRDefault="00D368CE" w:rsidP="006941BA">
      <w:pPr>
        <w:pStyle w:val="NormalWeb"/>
        <w:numPr>
          <w:ilvl w:val="0"/>
          <w:numId w:val="11"/>
        </w:numPr>
        <w:spacing w:line="276" w:lineRule="auto"/>
        <w:jc w:val="both"/>
        <w:rPr>
          <w:rFonts w:ascii="Arial" w:hAnsi="Arial" w:cs="Arial"/>
          <w:color w:val="000000" w:themeColor="text1"/>
          <w:sz w:val="22"/>
          <w:szCs w:val="22"/>
          <w:lang w:val="es-419"/>
        </w:rPr>
      </w:pPr>
      <w:r w:rsidRPr="00D368CE">
        <w:rPr>
          <w:rFonts w:ascii="Arial" w:hAnsi="Arial" w:cs="Arial"/>
          <w:b/>
          <w:bCs/>
          <w:color w:val="000000" w:themeColor="text1"/>
          <w:sz w:val="22"/>
          <w:szCs w:val="22"/>
          <w:lang w:val="es-419"/>
        </w:rPr>
        <w:t>Formalización de compromisos</w:t>
      </w:r>
    </w:p>
    <w:p w14:paraId="6085E868" w14:textId="19C2C4D2" w:rsidR="00D368CE" w:rsidRPr="00D368CE" w:rsidRDefault="006941BA" w:rsidP="006941BA">
      <w:pPr>
        <w:pStyle w:val="NormalWeb"/>
        <w:spacing w:line="276" w:lineRule="auto"/>
        <w:ind w:left="720"/>
        <w:jc w:val="both"/>
        <w:rPr>
          <w:rFonts w:ascii="Arial" w:hAnsi="Arial" w:cs="Arial"/>
          <w:color w:val="000000" w:themeColor="text1"/>
          <w:sz w:val="22"/>
          <w:szCs w:val="22"/>
          <w:lang w:val="es-419"/>
        </w:rPr>
      </w:pPr>
      <w:r w:rsidRPr="004C14A1">
        <w:rPr>
          <w:rFonts w:ascii="Arial" w:hAnsi="Arial" w:cs="Arial"/>
          <w:color w:val="000000" w:themeColor="text1"/>
          <w:sz w:val="22"/>
          <w:szCs w:val="22"/>
          <w:lang w:val="es-419"/>
        </w:rPr>
        <w:t>Los acuerdos por alcanzar</w:t>
      </w:r>
      <w:r w:rsidR="00C43A8E" w:rsidRPr="004C14A1">
        <w:rPr>
          <w:rFonts w:ascii="Arial" w:hAnsi="Arial" w:cs="Arial"/>
          <w:color w:val="000000" w:themeColor="text1"/>
          <w:sz w:val="22"/>
          <w:szCs w:val="22"/>
          <w:lang w:val="es-419"/>
        </w:rPr>
        <w:t xml:space="preserve"> deberán </w:t>
      </w:r>
      <w:r w:rsidR="00D368CE" w:rsidRPr="00D368CE">
        <w:rPr>
          <w:rFonts w:ascii="Arial" w:hAnsi="Arial" w:cs="Arial"/>
          <w:color w:val="000000" w:themeColor="text1"/>
          <w:sz w:val="22"/>
          <w:szCs w:val="22"/>
          <w:lang w:val="es-419"/>
        </w:rPr>
        <w:t>formaliza</w:t>
      </w:r>
      <w:r w:rsidR="00C43A8E" w:rsidRPr="004C14A1">
        <w:rPr>
          <w:rFonts w:ascii="Arial" w:hAnsi="Arial" w:cs="Arial"/>
          <w:color w:val="000000" w:themeColor="text1"/>
          <w:sz w:val="22"/>
          <w:szCs w:val="22"/>
          <w:lang w:val="es-419"/>
        </w:rPr>
        <w:t>rse</w:t>
      </w:r>
      <w:r w:rsidR="00D368CE" w:rsidRPr="00D368CE">
        <w:rPr>
          <w:rFonts w:ascii="Arial" w:hAnsi="Arial" w:cs="Arial"/>
          <w:color w:val="000000" w:themeColor="text1"/>
          <w:sz w:val="22"/>
          <w:szCs w:val="22"/>
          <w:lang w:val="es-419"/>
        </w:rPr>
        <w:t xml:space="preserve"> mediante </w:t>
      </w:r>
      <w:r w:rsidR="00C43A8E" w:rsidRPr="004C14A1">
        <w:rPr>
          <w:rFonts w:ascii="Arial" w:hAnsi="Arial" w:cs="Arial"/>
          <w:color w:val="000000" w:themeColor="text1"/>
          <w:sz w:val="22"/>
          <w:szCs w:val="22"/>
          <w:lang w:val="es-419"/>
        </w:rPr>
        <w:t>convenios que</w:t>
      </w:r>
      <w:r w:rsidR="00D368CE" w:rsidRPr="00D368CE">
        <w:rPr>
          <w:rFonts w:ascii="Arial" w:hAnsi="Arial" w:cs="Arial"/>
          <w:color w:val="000000" w:themeColor="text1"/>
          <w:sz w:val="22"/>
          <w:szCs w:val="22"/>
          <w:lang w:val="es-419"/>
        </w:rPr>
        <w:t xml:space="preserve"> estable</w:t>
      </w:r>
      <w:r w:rsidR="00C43A8E" w:rsidRPr="004C14A1">
        <w:rPr>
          <w:rFonts w:ascii="Arial" w:hAnsi="Arial" w:cs="Arial"/>
          <w:color w:val="000000" w:themeColor="text1"/>
          <w:sz w:val="22"/>
          <w:szCs w:val="22"/>
          <w:lang w:val="es-419"/>
        </w:rPr>
        <w:t>zcan</w:t>
      </w:r>
      <w:r w:rsidR="00D368CE" w:rsidRPr="00D368CE">
        <w:rPr>
          <w:rFonts w:ascii="Arial" w:hAnsi="Arial" w:cs="Arial"/>
          <w:color w:val="000000" w:themeColor="text1"/>
          <w:sz w:val="22"/>
          <w:szCs w:val="22"/>
          <w:lang w:val="es-419"/>
        </w:rPr>
        <w:t xml:space="preserve"> responsabilidades, cronogramas de ejecución, mecanismos de financiamiento y procedimientos de seguimiento y evaluación.</w:t>
      </w:r>
    </w:p>
    <w:p w14:paraId="61916791" w14:textId="77777777" w:rsidR="00C43A8E" w:rsidRPr="004C14A1" w:rsidRDefault="00D368CE" w:rsidP="006941BA">
      <w:pPr>
        <w:pStyle w:val="NormalWeb"/>
        <w:numPr>
          <w:ilvl w:val="0"/>
          <w:numId w:val="11"/>
        </w:numPr>
        <w:spacing w:line="276" w:lineRule="auto"/>
        <w:jc w:val="both"/>
        <w:rPr>
          <w:rFonts w:ascii="Arial" w:hAnsi="Arial" w:cs="Arial"/>
          <w:color w:val="000000" w:themeColor="text1"/>
          <w:sz w:val="22"/>
          <w:szCs w:val="22"/>
          <w:lang w:val="es-419"/>
        </w:rPr>
      </w:pPr>
      <w:r w:rsidRPr="00D368CE">
        <w:rPr>
          <w:rFonts w:ascii="Arial" w:hAnsi="Arial" w:cs="Arial"/>
          <w:b/>
          <w:bCs/>
          <w:color w:val="000000" w:themeColor="text1"/>
          <w:sz w:val="22"/>
          <w:szCs w:val="22"/>
          <w:lang w:val="es-419"/>
        </w:rPr>
        <w:t>Comunicación y rendición de cuentas</w:t>
      </w:r>
    </w:p>
    <w:p w14:paraId="6A444198" w14:textId="223F1C24" w:rsidR="00D368CE" w:rsidRPr="00D368CE" w:rsidRDefault="00C43A8E" w:rsidP="006941BA">
      <w:pPr>
        <w:pStyle w:val="NormalWeb"/>
        <w:spacing w:line="276" w:lineRule="auto"/>
        <w:ind w:left="720"/>
        <w:jc w:val="both"/>
        <w:rPr>
          <w:rFonts w:ascii="Arial" w:hAnsi="Arial" w:cs="Arial"/>
          <w:color w:val="000000" w:themeColor="text1"/>
          <w:sz w:val="22"/>
          <w:szCs w:val="22"/>
          <w:lang w:val="es-419"/>
        </w:rPr>
      </w:pPr>
      <w:r w:rsidRPr="004C14A1">
        <w:rPr>
          <w:rFonts w:ascii="Arial" w:hAnsi="Arial" w:cs="Arial"/>
          <w:color w:val="000000" w:themeColor="text1"/>
          <w:sz w:val="22"/>
          <w:szCs w:val="22"/>
          <w:lang w:val="es-419"/>
        </w:rPr>
        <w:t>Implementación de</w:t>
      </w:r>
      <w:r w:rsidR="00D368CE" w:rsidRPr="00D368CE">
        <w:rPr>
          <w:rFonts w:ascii="Arial" w:hAnsi="Arial" w:cs="Arial"/>
          <w:color w:val="000000" w:themeColor="text1"/>
          <w:sz w:val="22"/>
          <w:szCs w:val="22"/>
          <w:lang w:val="es-419"/>
        </w:rPr>
        <w:t xml:space="preserve"> mecanismos de comunicación permanente y rendición de cuentas ante las comunidades y actores públicos, a través de informes periódicos, asambleas abiertas y medios de comunicación locales.</w:t>
      </w:r>
    </w:p>
    <w:p w14:paraId="579562B2" w14:textId="6334F997" w:rsidR="00D368CE" w:rsidRPr="00D368CE" w:rsidRDefault="00C43A8E" w:rsidP="006941BA">
      <w:pPr>
        <w:pStyle w:val="NormalWeb"/>
        <w:spacing w:line="276" w:lineRule="auto"/>
        <w:jc w:val="both"/>
        <w:rPr>
          <w:rFonts w:ascii="Arial" w:hAnsi="Arial" w:cs="Arial"/>
          <w:color w:val="000000" w:themeColor="text1"/>
          <w:sz w:val="22"/>
          <w:szCs w:val="22"/>
          <w:lang w:val="es-419"/>
        </w:rPr>
      </w:pPr>
      <w:r w:rsidRPr="004C14A1">
        <w:rPr>
          <w:rFonts w:ascii="Arial" w:hAnsi="Arial" w:cs="Arial"/>
          <w:color w:val="000000" w:themeColor="text1"/>
          <w:sz w:val="22"/>
          <w:szCs w:val="22"/>
          <w:lang w:val="es-419"/>
        </w:rPr>
        <w:t>Esta propuesta busca</w:t>
      </w:r>
      <w:r w:rsidR="00D368CE" w:rsidRPr="00D368CE">
        <w:rPr>
          <w:rFonts w:ascii="Arial" w:hAnsi="Arial" w:cs="Arial"/>
          <w:color w:val="000000" w:themeColor="text1"/>
          <w:sz w:val="22"/>
          <w:szCs w:val="22"/>
          <w:lang w:val="es-419"/>
        </w:rPr>
        <w:t xml:space="preserve"> consolidar un modelo de gestión social más predecible, participativo y sostenible, reduciendo la conflictividad social, fortaleciendo el tejido institucional local y contribuyendo de manera más efectiva al desarrollo de los territorios de influencia minera.</w:t>
      </w:r>
    </w:p>
    <w:p w14:paraId="0A736504" w14:textId="77777777" w:rsidR="005F16F0" w:rsidRDefault="005F16F0">
      <w:pPr>
        <w:rPr>
          <w:rFonts w:ascii="Arial" w:eastAsia="Times New Roman" w:hAnsi="Arial" w:cs="Arial"/>
          <w:b/>
          <w:bCs/>
          <w:i/>
          <w:iCs/>
          <w:color w:val="000000" w:themeColor="text1"/>
          <w:kern w:val="0"/>
          <w:sz w:val="22"/>
          <w:szCs w:val="22"/>
          <w:lang w:val="es-ES" w:eastAsia="es-ES_tradnl"/>
          <w14:ligatures w14:val="none"/>
        </w:rPr>
      </w:pPr>
      <w:r>
        <w:rPr>
          <w:rFonts w:ascii="Arial" w:hAnsi="Arial" w:cs="Arial"/>
          <w:b/>
          <w:bCs/>
          <w:i/>
          <w:iCs/>
          <w:color w:val="000000" w:themeColor="text1"/>
          <w:sz w:val="22"/>
          <w:szCs w:val="22"/>
          <w:lang w:val="es-ES"/>
        </w:rPr>
        <w:br w:type="page"/>
      </w:r>
    </w:p>
    <w:p w14:paraId="06FA8FF7" w14:textId="5625FD4D" w:rsidR="004C14A1" w:rsidRPr="004C14A1" w:rsidRDefault="004C14A1" w:rsidP="006941BA">
      <w:pPr>
        <w:pStyle w:val="NormalWeb"/>
        <w:spacing w:line="276" w:lineRule="auto"/>
        <w:jc w:val="both"/>
        <w:rPr>
          <w:rFonts w:ascii="Arial" w:hAnsi="Arial" w:cs="Arial"/>
          <w:b/>
          <w:bCs/>
          <w:i/>
          <w:iCs/>
          <w:color w:val="000000" w:themeColor="text1"/>
          <w:sz w:val="22"/>
          <w:szCs w:val="22"/>
          <w:lang w:val="es-ES"/>
        </w:rPr>
      </w:pPr>
      <w:r w:rsidRPr="004C14A1">
        <w:rPr>
          <w:rFonts w:ascii="Arial" w:hAnsi="Arial" w:cs="Arial"/>
          <w:b/>
          <w:bCs/>
          <w:i/>
          <w:iCs/>
          <w:color w:val="000000" w:themeColor="text1"/>
          <w:sz w:val="22"/>
          <w:szCs w:val="22"/>
          <w:lang w:val="es-ES"/>
        </w:rPr>
        <w:lastRenderedPageBreak/>
        <w:t>RESEÑA PROFESIONAL DEL AUTOR:</w:t>
      </w:r>
    </w:p>
    <w:p w14:paraId="273FBEC5" w14:textId="07F70F77" w:rsidR="001D0BB6" w:rsidRPr="004C14A1" w:rsidRDefault="005F16F0" w:rsidP="00B447C2">
      <w:pPr>
        <w:pStyle w:val="NormalWeb"/>
        <w:spacing w:line="276" w:lineRule="auto"/>
        <w:jc w:val="both"/>
        <w:rPr>
          <w:rFonts w:ascii="Arial" w:hAnsi="Arial" w:cs="Arial"/>
          <w:color w:val="000000" w:themeColor="text1"/>
          <w:sz w:val="22"/>
          <w:szCs w:val="22"/>
          <w:lang w:val="es-ES"/>
        </w:rPr>
      </w:pPr>
      <w:r w:rsidRPr="005F16F0">
        <w:rPr>
          <w:rFonts w:ascii="Arial" w:hAnsi="Arial" w:cs="Arial"/>
          <w:color w:val="000000" w:themeColor="text1"/>
          <w:sz w:val="22"/>
          <w:szCs w:val="22"/>
          <w:lang w:val="es-ES_tradnl"/>
        </w:rPr>
        <w:t>Sociólogo con amplia experiencia en la gestión social en el sector minero. Especialista en sostenibilidad y gestión de riesgos socio ambientales con capacidad de análisis socio político en diversos niveles.</w:t>
      </w:r>
      <w:r w:rsidRPr="005F16F0">
        <w:rPr>
          <w:rFonts w:ascii="Arial" w:hAnsi="Arial" w:cs="Arial"/>
          <w:color w:val="000000" w:themeColor="text1"/>
          <w:sz w:val="22"/>
          <w:szCs w:val="22"/>
          <w:lang w:val="es-ES_tradnl"/>
        </w:rPr>
        <w:br/>
      </w:r>
      <w:r w:rsidRPr="005F16F0">
        <w:rPr>
          <w:rFonts w:ascii="Arial" w:hAnsi="Arial" w:cs="Arial"/>
          <w:color w:val="000000" w:themeColor="text1"/>
          <w:sz w:val="22"/>
          <w:szCs w:val="22"/>
          <w:lang w:val="es-ES_tradnl"/>
        </w:rPr>
        <w:br/>
        <w:t xml:space="preserve">Egresado de la maestría en Gestión Pública por la Universidad Peruana de Ciencias Aplicadas (UPC), cuenta además con estudios de maestría en Gestión de la Inversión Social por la Universidad del Pacifico (UP) y otras especializaciones en gestión de conflictos socioambientales y prácticas de responsabilidad social y </w:t>
      </w:r>
      <w:proofErr w:type="gramStart"/>
      <w:r w:rsidRPr="005F16F0">
        <w:rPr>
          <w:rFonts w:ascii="Arial" w:hAnsi="Arial" w:cs="Arial"/>
          <w:color w:val="000000" w:themeColor="text1"/>
          <w:sz w:val="22"/>
          <w:szCs w:val="22"/>
          <w:lang w:val="es-ES_tradnl"/>
        </w:rPr>
        <w:t>sostenibilidad.</w:t>
      </w:r>
      <w:proofErr w:type="gramEnd"/>
    </w:p>
    <w:sectPr w:rsidR="001D0BB6" w:rsidRPr="004C14A1" w:rsidSect="00142794">
      <w:pgSz w:w="11900" w:h="16840"/>
      <w:pgMar w:top="1417" w:right="1701" w:bottom="1417" w:left="1701" w:header="708" w:footer="708" w:gutter="0"/>
      <w:cols w:space="28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09139" w14:textId="77777777" w:rsidR="00E63CA7" w:rsidRDefault="00E63CA7" w:rsidP="006C5018">
      <w:r>
        <w:separator/>
      </w:r>
    </w:p>
  </w:endnote>
  <w:endnote w:type="continuationSeparator" w:id="0">
    <w:p w14:paraId="70FA6BC5" w14:textId="77777777" w:rsidR="00E63CA7" w:rsidRDefault="00E63CA7" w:rsidP="006C5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6F9F9" w14:textId="77777777" w:rsidR="00E63CA7" w:rsidRDefault="00E63CA7" w:rsidP="006C5018">
      <w:r>
        <w:separator/>
      </w:r>
    </w:p>
  </w:footnote>
  <w:footnote w:type="continuationSeparator" w:id="0">
    <w:p w14:paraId="5CDCECC9" w14:textId="77777777" w:rsidR="00E63CA7" w:rsidRDefault="00E63CA7" w:rsidP="006C50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70EB5"/>
    <w:multiLevelType w:val="hybridMultilevel"/>
    <w:tmpl w:val="61F42EB2"/>
    <w:lvl w:ilvl="0" w:tplc="040A0003">
      <w:start w:val="1"/>
      <w:numFmt w:val="bullet"/>
      <w:lvlText w:val="o"/>
      <w:lvlJc w:val="left"/>
      <w:pPr>
        <w:ind w:left="360" w:hanging="360"/>
      </w:pPr>
      <w:rPr>
        <w:rFonts w:ascii="Courier New" w:hAnsi="Courier New" w:cs="Courier New"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 w15:restartNumberingAfterBreak="0">
    <w:nsid w:val="333F33C1"/>
    <w:multiLevelType w:val="hybridMultilevel"/>
    <w:tmpl w:val="5BFE82F2"/>
    <w:lvl w:ilvl="0" w:tplc="040A0005">
      <w:start w:val="1"/>
      <w:numFmt w:val="bullet"/>
      <w:lvlText w:val=""/>
      <w:lvlJc w:val="left"/>
      <w:pPr>
        <w:ind w:left="720" w:hanging="360"/>
      </w:pPr>
      <w:rPr>
        <w:rFonts w:ascii="Wingdings" w:hAnsi="Wingdings"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35C86EC1"/>
    <w:multiLevelType w:val="hybridMultilevel"/>
    <w:tmpl w:val="78E0C574"/>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38177C90"/>
    <w:multiLevelType w:val="multilevel"/>
    <w:tmpl w:val="E4669E88"/>
    <w:lvl w:ilvl="0">
      <w:start w:val="1"/>
      <w:numFmt w:val="decimal"/>
      <w:lvlText w:val="%1."/>
      <w:lvlJc w:val="left"/>
      <w:pPr>
        <w:ind w:left="720" w:hanging="360"/>
      </w:pPr>
      <w:rPr>
        <w:rFonts w:hint="default"/>
      </w:rPr>
    </w:lvl>
    <w:lvl w:ilvl="1">
      <w:start w:val="1"/>
      <w:numFmt w:val="decimal"/>
      <w:isLgl/>
      <w:lvlText w:val="%1.%2"/>
      <w:lvlJc w:val="left"/>
      <w:pPr>
        <w:ind w:left="1420" w:hanging="70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FD469B8"/>
    <w:multiLevelType w:val="multilevel"/>
    <w:tmpl w:val="05BA0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85312A"/>
    <w:multiLevelType w:val="multilevel"/>
    <w:tmpl w:val="C852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807309"/>
    <w:multiLevelType w:val="multilevel"/>
    <w:tmpl w:val="E89AE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E80476"/>
    <w:multiLevelType w:val="multilevel"/>
    <w:tmpl w:val="C7269C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B716B3"/>
    <w:multiLevelType w:val="hybridMultilevel"/>
    <w:tmpl w:val="EFB8143A"/>
    <w:lvl w:ilvl="0" w:tplc="040A0003">
      <w:start w:val="1"/>
      <w:numFmt w:val="bullet"/>
      <w:lvlText w:val="o"/>
      <w:lvlJc w:val="left"/>
      <w:pPr>
        <w:ind w:left="1080" w:hanging="360"/>
      </w:pPr>
      <w:rPr>
        <w:rFonts w:ascii="Courier New" w:hAnsi="Courier New" w:cs="Courier New"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9" w15:restartNumberingAfterBreak="0">
    <w:nsid w:val="747D361E"/>
    <w:multiLevelType w:val="hybridMultilevel"/>
    <w:tmpl w:val="9F6A202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7772263D"/>
    <w:multiLevelType w:val="multilevel"/>
    <w:tmpl w:val="7BB2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760997"/>
    <w:multiLevelType w:val="multilevel"/>
    <w:tmpl w:val="14D6A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7456580">
    <w:abstractNumId w:val="3"/>
  </w:num>
  <w:num w:numId="2" w16cid:durableId="1576548711">
    <w:abstractNumId w:val="9"/>
  </w:num>
  <w:num w:numId="3" w16cid:durableId="861171253">
    <w:abstractNumId w:val="2"/>
  </w:num>
  <w:num w:numId="4" w16cid:durableId="1156149923">
    <w:abstractNumId w:val="1"/>
  </w:num>
  <w:num w:numId="5" w16cid:durableId="1567497857">
    <w:abstractNumId w:val="8"/>
  </w:num>
  <w:num w:numId="6" w16cid:durableId="576092658">
    <w:abstractNumId w:val="0"/>
  </w:num>
  <w:num w:numId="7" w16cid:durableId="478889292">
    <w:abstractNumId w:val="5"/>
  </w:num>
  <w:num w:numId="8" w16cid:durableId="787623131">
    <w:abstractNumId w:val="4"/>
  </w:num>
  <w:num w:numId="9" w16cid:durableId="375860068">
    <w:abstractNumId w:val="10"/>
  </w:num>
  <w:num w:numId="10" w16cid:durableId="1754668476">
    <w:abstractNumId w:val="6"/>
  </w:num>
  <w:num w:numId="11" w16cid:durableId="1999574623">
    <w:abstractNumId w:val="11"/>
  </w:num>
  <w:num w:numId="12" w16cid:durableId="16608444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7D0"/>
    <w:rsid w:val="00000A2D"/>
    <w:rsid w:val="00010922"/>
    <w:rsid w:val="000464C3"/>
    <w:rsid w:val="00080AA5"/>
    <w:rsid w:val="000C1D3E"/>
    <w:rsid w:val="001401CD"/>
    <w:rsid w:val="00142794"/>
    <w:rsid w:val="00165779"/>
    <w:rsid w:val="001878F2"/>
    <w:rsid w:val="001A397E"/>
    <w:rsid w:val="001D0BB6"/>
    <w:rsid w:val="001F3D04"/>
    <w:rsid w:val="00286540"/>
    <w:rsid w:val="002B27D0"/>
    <w:rsid w:val="002B643D"/>
    <w:rsid w:val="00345399"/>
    <w:rsid w:val="0038332D"/>
    <w:rsid w:val="00386BBC"/>
    <w:rsid w:val="003E5007"/>
    <w:rsid w:val="004A00DD"/>
    <w:rsid w:val="004B270D"/>
    <w:rsid w:val="004C14A1"/>
    <w:rsid w:val="00525E86"/>
    <w:rsid w:val="005512CD"/>
    <w:rsid w:val="00560D29"/>
    <w:rsid w:val="005D18D0"/>
    <w:rsid w:val="005E0D4E"/>
    <w:rsid w:val="005F16F0"/>
    <w:rsid w:val="00613F44"/>
    <w:rsid w:val="00644BD2"/>
    <w:rsid w:val="00655AFB"/>
    <w:rsid w:val="006763B0"/>
    <w:rsid w:val="006941BA"/>
    <w:rsid w:val="006A6863"/>
    <w:rsid w:val="006C5018"/>
    <w:rsid w:val="0078031A"/>
    <w:rsid w:val="007A3E90"/>
    <w:rsid w:val="007F0836"/>
    <w:rsid w:val="008E73B5"/>
    <w:rsid w:val="008F4D05"/>
    <w:rsid w:val="009040E1"/>
    <w:rsid w:val="009C4A39"/>
    <w:rsid w:val="009F6D05"/>
    <w:rsid w:val="00A42C7E"/>
    <w:rsid w:val="00A7495F"/>
    <w:rsid w:val="00B00052"/>
    <w:rsid w:val="00B447C2"/>
    <w:rsid w:val="00C11980"/>
    <w:rsid w:val="00C43A8E"/>
    <w:rsid w:val="00C4586D"/>
    <w:rsid w:val="00CC5955"/>
    <w:rsid w:val="00CD18B0"/>
    <w:rsid w:val="00D17457"/>
    <w:rsid w:val="00D368CE"/>
    <w:rsid w:val="00D44A9D"/>
    <w:rsid w:val="00D8605A"/>
    <w:rsid w:val="00D9544E"/>
    <w:rsid w:val="00E366A9"/>
    <w:rsid w:val="00E63CA7"/>
    <w:rsid w:val="00E64A71"/>
    <w:rsid w:val="00EB05AA"/>
    <w:rsid w:val="00F458BC"/>
    <w:rsid w:val="00F62DFD"/>
    <w:rsid w:val="00F7768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A1C5A"/>
  <w15:chartTrackingRefBased/>
  <w15:docId w15:val="{B6B44ECD-DB71-3D48-BAD3-4F7CB9E0E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D368CE"/>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2B27D0"/>
    <w:pPr>
      <w:spacing w:before="100" w:beforeAutospacing="1" w:after="100" w:afterAutospacing="1"/>
    </w:pPr>
    <w:rPr>
      <w:rFonts w:ascii="Times New Roman" w:eastAsia="Times New Roman" w:hAnsi="Times New Roman" w:cs="Times New Roman"/>
      <w:kern w:val="0"/>
      <w:lang w:val="es-PE" w:eastAsia="es-ES_tradnl"/>
      <w14:ligatures w14:val="none"/>
    </w:rPr>
  </w:style>
  <w:style w:type="character" w:styleId="Hipervnculo">
    <w:name w:val="Hyperlink"/>
    <w:basedOn w:val="Fuentedeprrafopredeter"/>
    <w:uiPriority w:val="99"/>
    <w:unhideWhenUsed/>
    <w:rsid w:val="002B27D0"/>
    <w:rPr>
      <w:color w:val="0563C1" w:themeColor="hyperlink"/>
      <w:u w:val="single"/>
    </w:rPr>
  </w:style>
  <w:style w:type="character" w:styleId="Mencinsinresolver">
    <w:name w:val="Unresolved Mention"/>
    <w:basedOn w:val="Fuentedeprrafopredeter"/>
    <w:uiPriority w:val="99"/>
    <w:semiHidden/>
    <w:unhideWhenUsed/>
    <w:rsid w:val="002B27D0"/>
    <w:rPr>
      <w:color w:val="605E5C"/>
      <w:shd w:val="clear" w:color="auto" w:fill="E1DFDD"/>
    </w:rPr>
  </w:style>
  <w:style w:type="paragraph" w:styleId="Textonotapie">
    <w:name w:val="footnote text"/>
    <w:basedOn w:val="Normal"/>
    <w:link w:val="TextonotapieCar"/>
    <w:uiPriority w:val="99"/>
    <w:semiHidden/>
    <w:unhideWhenUsed/>
    <w:rsid w:val="006C5018"/>
    <w:rPr>
      <w:sz w:val="20"/>
      <w:szCs w:val="20"/>
    </w:rPr>
  </w:style>
  <w:style w:type="character" w:customStyle="1" w:styleId="TextonotapieCar">
    <w:name w:val="Texto nota pie Car"/>
    <w:basedOn w:val="Fuentedeprrafopredeter"/>
    <w:link w:val="Textonotapie"/>
    <w:uiPriority w:val="99"/>
    <w:semiHidden/>
    <w:rsid w:val="006C5018"/>
    <w:rPr>
      <w:sz w:val="20"/>
      <w:szCs w:val="20"/>
      <w:lang w:val="es-ES_tradnl"/>
    </w:rPr>
  </w:style>
  <w:style w:type="character" w:styleId="Refdenotaalpie">
    <w:name w:val="footnote reference"/>
    <w:basedOn w:val="Fuentedeprrafopredeter"/>
    <w:uiPriority w:val="99"/>
    <w:semiHidden/>
    <w:unhideWhenUsed/>
    <w:rsid w:val="006C5018"/>
    <w:rPr>
      <w:vertAlign w:val="superscript"/>
    </w:rPr>
  </w:style>
  <w:style w:type="character" w:styleId="Hipervnculovisitado">
    <w:name w:val="FollowedHyperlink"/>
    <w:basedOn w:val="Fuentedeprrafopredeter"/>
    <w:uiPriority w:val="99"/>
    <w:semiHidden/>
    <w:unhideWhenUsed/>
    <w:rsid w:val="00D8605A"/>
    <w:rPr>
      <w:color w:val="954F72" w:themeColor="followedHyperlink"/>
      <w:u w:val="single"/>
    </w:rPr>
  </w:style>
  <w:style w:type="character" w:styleId="Refdecomentario">
    <w:name w:val="annotation reference"/>
    <w:basedOn w:val="Fuentedeprrafopredeter"/>
    <w:uiPriority w:val="99"/>
    <w:semiHidden/>
    <w:unhideWhenUsed/>
    <w:rsid w:val="00655AFB"/>
    <w:rPr>
      <w:sz w:val="16"/>
      <w:szCs w:val="16"/>
    </w:rPr>
  </w:style>
  <w:style w:type="paragraph" w:styleId="Textocomentario">
    <w:name w:val="annotation text"/>
    <w:basedOn w:val="Normal"/>
    <w:link w:val="TextocomentarioCar"/>
    <w:uiPriority w:val="99"/>
    <w:unhideWhenUsed/>
    <w:rsid w:val="00655AFB"/>
    <w:rPr>
      <w:sz w:val="20"/>
      <w:szCs w:val="20"/>
    </w:rPr>
  </w:style>
  <w:style w:type="character" w:customStyle="1" w:styleId="TextocomentarioCar">
    <w:name w:val="Texto comentario Car"/>
    <w:basedOn w:val="Fuentedeprrafopredeter"/>
    <w:link w:val="Textocomentario"/>
    <w:uiPriority w:val="99"/>
    <w:rsid w:val="00655AFB"/>
    <w:rPr>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655AFB"/>
    <w:rPr>
      <w:b/>
      <w:bCs/>
    </w:rPr>
  </w:style>
  <w:style w:type="character" w:customStyle="1" w:styleId="AsuntodelcomentarioCar">
    <w:name w:val="Asunto del comentario Car"/>
    <w:basedOn w:val="TextocomentarioCar"/>
    <w:link w:val="Asuntodelcomentario"/>
    <w:uiPriority w:val="99"/>
    <w:semiHidden/>
    <w:rsid w:val="00655AFB"/>
    <w:rPr>
      <w:b/>
      <w:bCs/>
      <w:sz w:val="20"/>
      <w:szCs w:val="20"/>
      <w:lang w:val="es-ES_tradnl"/>
    </w:rPr>
  </w:style>
  <w:style w:type="paragraph" w:customStyle="1" w:styleId="EstiloPersonalizado">
    <w:name w:val="EstiloPersonalizado"/>
    <w:basedOn w:val="Ttulo1"/>
    <w:link w:val="EstiloPersonalizadoCar"/>
    <w:qFormat/>
    <w:rsid w:val="00D368CE"/>
    <w:pPr>
      <w:spacing w:line="276" w:lineRule="auto"/>
    </w:pPr>
    <w:rPr>
      <w:rFonts w:ascii="Arial" w:hAnsi="Arial" w:cs="Arial"/>
      <w:b/>
      <w:color w:val="000000" w:themeColor="text1"/>
      <w:sz w:val="22"/>
      <w:szCs w:val="22"/>
    </w:rPr>
  </w:style>
  <w:style w:type="character" w:customStyle="1" w:styleId="Ttulo1Car">
    <w:name w:val="Título 1 Car"/>
    <w:basedOn w:val="Fuentedeprrafopredeter"/>
    <w:link w:val="Ttulo1"/>
    <w:uiPriority w:val="9"/>
    <w:rsid w:val="00D368CE"/>
    <w:rPr>
      <w:rFonts w:asciiTheme="majorHAnsi" w:eastAsiaTheme="majorEastAsia" w:hAnsiTheme="majorHAnsi" w:cstheme="majorBidi"/>
      <w:color w:val="2F5496" w:themeColor="accent1" w:themeShade="BF"/>
      <w:sz w:val="32"/>
      <w:szCs w:val="32"/>
      <w:lang w:val="es-ES_tradnl"/>
    </w:rPr>
  </w:style>
  <w:style w:type="character" w:customStyle="1" w:styleId="EstiloPersonalizadoCar">
    <w:name w:val="EstiloPersonalizado Car"/>
    <w:basedOn w:val="Ttulo1Car"/>
    <w:link w:val="EstiloPersonalizado"/>
    <w:rsid w:val="00D368CE"/>
    <w:rPr>
      <w:rFonts w:ascii="Arial" w:eastAsiaTheme="majorEastAsia" w:hAnsi="Arial" w:cs="Arial"/>
      <w:b/>
      <w:color w:val="000000" w:themeColor="text1"/>
      <w:sz w:val="22"/>
      <w:szCs w:val="22"/>
      <w:lang w:val="es-ES_tradnl"/>
    </w:rPr>
  </w:style>
  <w:style w:type="paragraph" w:styleId="Prrafodelista">
    <w:name w:val="List Paragraph"/>
    <w:basedOn w:val="Normal"/>
    <w:uiPriority w:val="34"/>
    <w:qFormat/>
    <w:rsid w:val="00D368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69778">
      <w:bodyDiv w:val="1"/>
      <w:marLeft w:val="0"/>
      <w:marRight w:val="0"/>
      <w:marTop w:val="0"/>
      <w:marBottom w:val="0"/>
      <w:divBdr>
        <w:top w:val="none" w:sz="0" w:space="0" w:color="auto"/>
        <w:left w:val="none" w:sz="0" w:space="0" w:color="auto"/>
        <w:bottom w:val="none" w:sz="0" w:space="0" w:color="auto"/>
        <w:right w:val="none" w:sz="0" w:space="0" w:color="auto"/>
      </w:divBdr>
      <w:divsChild>
        <w:div w:id="2042314787">
          <w:marLeft w:val="0"/>
          <w:marRight w:val="0"/>
          <w:marTop w:val="0"/>
          <w:marBottom w:val="0"/>
          <w:divBdr>
            <w:top w:val="none" w:sz="0" w:space="0" w:color="auto"/>
            <w:left w:val="none" w:sz="0" w:space="0" w:color="auto"/>
            <w:bottom w:val="none" w:sz="0" w:space="0" w:color="auto"/>
            <w:right w:val="none" w:sz="0" w:space="0" w:color="auto"/>
          </w:divBdr>
          <w:divsChild>
            <w:div w:id="1063287780">
              <w:marLeft w:val="0"/>
              <w:marRight w:val="0"/>
              <w:marTop w:val="0"/>
              <w:marBottom w:val="0"/>
              <w:divBdr>
                <w:top w:val="none" w:sz="0" w:space="0" w:color="auto"/>
                <w:left w:val="none" w:sz="0" w:space="0" w:color="auto"/>
                <w:bottom w:val="none" w:sz="0" w:space="0" w:color="auto"/>
                <w:right w:val="none" w:sz="0" w:space="0" w:color="auto"/>
              </w:divBdr>
              <w:divsChild>
                <w:div w:id="125508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385603">
      <w:bodyDiv w:val="1"/>
      <w:marLeft w:val="0"/>
      <w:marRight w:val="0"/>
      <w:marTop w:val="0"/>
      <w:marBottom w:val="0"/>
      <w:divBdr>
        <w:top w:val="none" w:sz="0" w:space="0" w:color="auto"/>
        <w:left w:val="none" w:sz="0" w:space="0" w:color="auto"/>
        <w:bottom w:val="none" w:sz="0" w:space="0" w:color="auto"/>
        <w:right w:val="none" w:sz="0" w:space="0" w:color="auto"/>
      </w:divBdr>
    </w:div>
    <w:div w:id="768740485">
      <w:bodyDiv w:val="1"/>
      <w:marLeft w:val="0"/>
      <w:marRight w:val="0"/>
      <w:marTop w:val="0"/>
      <w:marBottom w:val="0"/>
      <w:divBdr>
        <w:top w:val="none" w:sz="0" w:space="0" w:color="auto"/>
        <w:left w:val="none" w:sz="0" w:space="0" w:color="auto"/>
        <w:bottom w:val="none" w:sz="0" w:space="0" w:color="auto"/>
        <w:right w:val="none" w:sz="0" w:space="0" w:color="auto"/>
      </w:divBdr>
    </w:div>
    <w:div w:id="882013314">
      <w:bodyDiv w:val="1"/>
      <w:marLeft w:val="0"/>
      <w:marRight w:val="0"/>
      <w:marTop w:val="0"/>
      <w:marBottom w:val="0"/>
      <w:divBdr>
        <w:top w:val="none" w:sz="0" w:space="0" w:color="auto"/>
        <w:left w:val="none" w:sz="0" w:space="0" w:color="auto"/>
        <w:bottom w:val="none" w:sz="0" w:space="0" w:color="auto"/>
        <w:right w:val="none" w:sz="0" w:space="0" w:color="auto"/>
      </w:divBdr>
    </w:div>
    <w:div w:id="981151281">
      <w:bodyDiv w:val="1"/>
      <w:marLeft w:val="0"/>
      <w:marRight w:val="0"/>
      <w:marTop w:val="0"/>
      <w:marBottom w:val="0"/>
      <w:divBdr>
        <w:top w:val="none" w:sz="0" w:space="0" w:color="auto"/>
        <w:left w:val="none" w:sz="0" w:space="0" w:color="auto"/>
        <w:bottom w:val="none" w:sz="0" w:space="0" w:color="auto"/>
        <w:right w:val="none" w:sz="0" w:space="0" w:color="auto"/>
      </w:divBdr>
    </w:div>
    <w:div w:id="1031220619">
      <w:bodyDiv w:val="1"/>
      <w:marLeft w:val="0"/>
      <w:marRight w:val="0"/>
      <w:marTop w:val="0"/>
      <w:marBottom w:val="0"/>
      <w:divBdr>
        <w:top w:val="none" w:sz="0" w:space="0" w:color="auto"/>
        <w:left w:val="none" w:sz="0" w:space="0" w:color="auto"/>
        <w:bottom w:val="none" w:sz="0" w:space="0" w:color="auto"/>
        <w:right w:val="none" w:sz="0" w:space="0" w:color="auto"/>
      </w:divBdr>
    </w:div>
    <w:div w:id="1087845567">
      <w:bodyDiv w:val="1"/>
      <w:marLeft w:val="0"/>
      <w:marRight w:val="0"/>
      <w:marTop w:val="0"/>
      <w:marBottom w:val="0"/>
      <w:divBdr>
        <w:top w:val="none" w:sz="0" w:space="0" w:color="auto"/>
        <w:left w:val="none" w:sz="0" w:space="0" w:color="auto"/>
        <w:bottom w:val="none" w:sz="0" w:space="0" w:color="auto"/>
        <w:right w:val="none" w:sz="0" w:space="0" w:color="auto"/>
      </w:divBdr>
    </w:div>
    <w:div w:id="1134640908">
      <w:bodyDiv w:val="1"/>
      <w:marLeft w:val="0"/>
      <w:marRight w:val="0"/>
      <w:marTop w:val="0"/>
      <w:marBottom w:val="0"/>
      <w:divBdr>
        <w:top w:val="none" w:sz="0" w:space="0" w:color="auto"/>
        <w:left w:val="none" w:sz="0" w:space="0" w:color="auto"/>
        <w:bottom w:val="none" w:sz="0" w:space="0" w:color="auto"/>
        <w:right w:val="none" w:sz="0" w:space="0" w:color="auto"/>
      </w:divBdr>
      <w:divsChild>
        <w:div w:id="1067459428">
          <w:marLeft w:val="0"/>
          <w:marRight w:val="0"/>
          <w:marTop w:val="0"/>
          <w:marBottom w:val="0"/>
          <w:divBdr>
            <w:top w:val="none" w:sz="0" w:space="0" w:color="auto"/>
            <w:left w:val="none" w:sz="0" w:space="0" w:color="auto"/>
            <w:bottom w:val="none" w:sz="0" w:space="0" w:color="auto"/>
            <w:right w:val="none" w:sz="0" w:space="0" w:color="auto"/>
          </w:divBdr>
          <w:divsChild>
            <w:div w:id="200483697">
              <w:marLeft w:val="0"/>
              <w:marRight w:val="0"/>
              <w:marTop w:val="0"/>
              <w:marBottom w:val="0"/>
              <w:divBdr>
                <w:top w:val="none" w:sz="0" w:space="0" w:color="auto"/>
                <w:left w:val="none" w:sz="0" w:space="0" w:color="auto"/>
                <w:bottom w:val="none" w:sz="0" w:space="0" w:color="auto"/>
                <w:right w:val="none" w:sz="0" w:space="0" w:color="auto"/>
              </w:divBdr>
              <w:divsChild>
                <w:div w:id="152628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013559">
      <w:bodyDiv w:val="1"/>
      <w:marLeft w:val="0"/>
      <w:marRight w:val="0"/>
      <w:marTop w:val="0"/>
      <w:marBottom w:val="0"/>
      <w:divBdr>
        <w:top w:val="none" w:sz="0" w:space="0" w:color="auto"/>
        <w:left w:val="none" w:sz="0" w:space="0" w:color="auto"/>
        <w:bottom w:val="none" w:sz="0" w:space="0" w:color="auto"/>
        <w:right w:val="none" w:sz="0" w:space="0" w:color="auto"/>
      </w:divBdr>
    </w:div>
    <w:div w:id="1728996070">
      <w:bodyDiv w:val="1"/>
      <w:marLeft w:val="0"/>
      <w:marRight w:val="0"/>
      <w:marTop w:val="0"/>
      <w:marBottom w:val="0"/>
      <w:divBdr>
        <w:top w:val="none" w:sz="0" w:space="0" w:color="auto"/>
        <w:left w:val="none" w:sz="0" w:space="0" w:color="auto"/>
        <w:bottom w:val="none" w:sz="0" w:space="0" w:color="auto"/>
        <w:right w:val="none" w:sz="0" w:space="0" w:color="auto"/>
      </w:divBdr>
    </w:div>
    <w:div w:id="2032368724">
      <w:bodyDiv w:val="1"/>
      <w:marLeft w:val="0"/>
      <w:marRight w:val="0"/>
      <w:marTop w:val="0"/>
      <w:marBottom w:val="0"/>
      <w:divBdr>
        <w:top w:val="none" w:sz="0" w:space="0" w:color="auto"/>
        <w:left w:val="none" w:sz="0" w:space="0" w:color="auto"/>
        <w:bottom w:val="none" w:sz="0" w:space="0" w:color="auto"/>
        <w:right w:val="none" w:sz="0" w:space="0" w:color="auto"/>
      </w:divBdr>
    </w:div>
    <w:div w:id="204998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guerrero@antamina.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avid.guerrero.ceron83@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95922-1117-7F41-A1F2-F67AE734A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1339</Words>
  <Characters>7368</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Guerrero Cerón</dc:creator>
  <cp:keywords/>
  <dc:description/>
  <cp:lastModifiedBy>Guerrero, David</cp:lastModifiedBy>
  <cp:revision>5</cp:revision>
  <dcterms:created xsi:type="dcterms:W3CDTF">2025-04-27T17:32:00Z</dcterms:created>
  <dcterms:modified xsi:type="dcterms:W3CDTF">2025-05-12T23:59:00Z</dcterms:modified>
</cp:coreProperties>
</file>