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D09DF5" w14:textId="4C9A3BEC" w:rsidR="00EB6619" w:rsidRDefault="00CA40C7" w:rsidP="00EB6619">
      <w:pPr>
        <w:spacing w:after="0" w:line="360" w:lineRule="auto"/>
        <w:jc w:val="center"/>
        <w:rPr>
          <w:rFonts w:ascii="Arial" w:hAnsi="Arial" w:cs="Arial"/>
          <w:b/>
          <w:bCs/>
          <w:sz w:val="24"/>
          <w:szCs w:val="24"/>
        </w:rPr>
      </w:pPr>
      <w:r w:rsidRPr="00CA40C7">
        <w:rPr>
          <w:rFonts w:ascii="Arial" w:hAnsi="Arial" w:cs="Arial"/>
          <w:b/>
          <w:bCs/>
          <w:sz w:val="24"/>
          <w:szCs w:val="24"/>
        </w:rPr>
        <w:t>Recuperación sostenible de materiales de módulos fotovoltaicos de silicio policristalino al final de su vida útil: un enfoque integrado de reciclaje</w:t>
      </w:r>
    </w:p>
    <w:p w14:paraId="79F0D9B9" w14:textId="77777777" w:rsidR="00CA40C7" w:rsidRPr="00B57B2D" w:rsidRDefault="00CA40C7" w:rsidP="00EB6619">
      <w:pPr>
        <w:spacing w:after="0" w:line="360" w:lineRule="auto"/>
        <w:jc w:val="center"/>
        <w:rPr>
          <w:rFonts w:ascii="Arial" w:hAnsi="Arial" w:cs="Arial"/>
          <w:b/>
          <w:bCs/>
          <w:sz w:val="24"/>
          <w:szCs w:val="24"/>
        </w:rPr>
      </w:pPr>
    </w:p>
    <w:p w14:paraId="77C2E108" w14:textId="2FC2920E" w:rsidR="00A20FCF" w:rsidRDefault="00CA40C7" w:rsidP="00A20FCF">
      <w:pPr>
        <w:spacing w:after="0" w:line="360" w:lineRule="auto"/>
        <w:jc w:val="both"/>
        <w:rPr>
          <w:rFonts w:ascii="Arial" w:hAnsi="Arial" w:cs="Arial"/>
          <w:sz w:val="24"/>
          <w:szCs w:val="24"/>
          <w:vertAlign w:val="superscript"/>
          <w:lang w:val="pt-BR"/>
        </w:rPr>
      </w:pPr>
      <w:r>
        <w:rPr>
          <w:rFonts w:ascii="Arial" w:hAnsi="Arial" w:cs="Arial"/>
          <w:sz w:val="24"/>
          <w:szCs w:val="24"/>
          <w:lang w:val="pt-BR"/>
        </w:rPr>
        <w:t>Rosario Juyo Salazar</w:t>
      </w:r>
      <w:proofErr w:type="gramStart"/>
      <w:r w:rsidRPr="003D38F2">
        <w:rPr>
          <w:rFonts w:ascii="Arial" w:hAnsi="Arial" w:cs="Arial"/>
          <w:sz w:val="24"/>
          <w:szCs w:val="24"/>
          <w:vertAlign w:val="superscript"/>
          <w:lang w:val="pt-BR"/>
        </w:rPr>
        <w:t>1</w:t>
      </w:r>
      <w:r>
        <w:rPr>
          <w:rFonts w:ascii="Arial" w:hAnsi="Arial" w:cs="Arial"/>
          <w:sz w:val="24"/>
          <w:szCs w:val="24"/>
          <w:lang w:val="pt-BR"/>
        </w:rPr>
        <w:t xml:space="preserve"> ,</w:t>
      </w:r>
      <w:proofErr w:type="gramEnd"/>
      <w:r>
        <w:rPr>
          <w:rFonts w:ascii="Arial" w:hAnsi="Arial" w:cs="Arial"/>
          <w:sz w:val="24"/>
          <w:szCs w:val="24"/>
          <w:lang w:val="pt-BR"/>
        </w:rPr>
        <w:t xml:space="preserve"> </w:t>
      </w:r>
      <w:r w:rsidR="00A20FCF" w:rsidRPr="004F4DB5">
        <w:rPr>
          <w:rFonts w:ascii="Arial" w:hAnsi="Arial" w:cs="Arial"/>
          <w:sz w:val="24"/>
          <w:szCs w:val="24"/>
          <w:lang w:val="pt-BR"/>
        </w:rPr>
        <w:t xml:space="preserve">Denise </w:t>
      </w:r>
      <w:proofErr w:type="spellStart"/>
      <w:r w:rsidR="00A20FCF" w:rsidRPr="004F4DB5">
        <w:rPr>
          <w:rFonts w:ascii="Arial" w:hAnsi="Arial" w:cs="Arial"/>
          <w:sz w:val="24"/>
          <w:szCs w:val="24"/>
          <w:lang w:val="pt-BR"/>
        </w:rPr>
        <w:t>Crocce</w:t>
      </w:r>
      <w:proofErr w:type="spellEnd"/>
      <w:r w:rsidR="00A20FCF" w:rsidRPr="004F4DB5">
        <w:rPr>
          <w:rFonts w:ascii="Arial" w:hAnsi="Arial" w:cs="Arial"/>
          <w:sz w:val="24"/>
          <w:szCs w:val="24"/>
          <w:lang w:val="pt-BR"/>
        </w:rPr>
        <w:t xml:space="preserve"> Romano Espinosa</w:t>
      </w:r>
      <w:r w:rsidR="00A20FCF" w:rsidRPr="00A87F3F">
        <w:rPr>
          <w:rFonts w:ascii="Arial" w:hAnsi="Arial" w:cs="Arial"/>
          <w:sz w:val="24"/>
          <w:szCs w:val="24"/>
          <w:vertAlign w:val="superscript"/>
          <w:lang w:val="pt-BR"/>
        </w:rPr>
        <w:t>1</w:t>
      </w:r>
      <w:r w:rsidR="00A20FCF">
        <w:rPr>
          <w:rFonts w:ascii="Arial" w:hAnsi="Arial" w:cs="Arial"/>
          <w:sz w:val="24"/>
          <w:szCs w:val="24"/>
          <w:lang w:val="pt-BR"/>
        </w:rPr>
        <w:t xml:space="preserve">; </w:t>
      </w:r>
      <w:r w:rsidR="00A20FCF" w:rsidRPr="004F4DB5">
        <w:rPr>
          <w:rFonts w:ascii="Arial" w:hAnsi="Arial" w:cs="Arial"/>
          <w:sz w:val="24"/>
          <w:szCs w:val="24"/>
          <w:lang w:val="pt-BR"/>
        </w:rPr>
        <w:t>Jorge Alberto Soares Tenório</w:t>
      </w:r>
      <w:r w:rsidR="00A20FCF" w:rsidRPr="00A87F3F">
        <w:rPr>
          <w:rFonts w:ascii="Arial" w:hAnsi="Arial" w:cs="Arial"/>
          <w:sz w:val="24"/>
          <w:szCs w:val="24"/>
          <w:vertAlign w:val="superscript"/>
          <w:lang w:val="pt-BR"/>
        </w:rPr>
        <w:t>1</w:t>
      </w:r>
    </w:p>
    <w:p w14:paraId="4D1BA609" w14:textId="77777777" w:rsidR="00CA40C7" w:rsidRPr="004F4DB5" w:rsidRDefault="00CA40C7" w:rsidP="00A20FCF">
      <w:pPr>
        <w:spacing w:after="0" w:line="360" w:lineRule="auto"/>
        <w:jc w:val="both"/>
        <w:rPr>
          <w:rFonts w:ascii="Arial" w:hAnsi="Arial" w:cs="Arial"/>
          <w:sz w:val="24"/>
          <w:szCs w:val="24"/>
          <w:lang w:val="pt-BR"/>
        </w:rPr>
      </w:pPr>
    </w:p>
    <w:p w14:paraId="0A3FEBFE" w14:textId="7406649C" w:rsidR="00A20FCF" w:rsidRDefault="00A20FCF" w:rsidP="00A20FCF">
      <w:pPr>
        <w:spacing w:after="0" w:line="360" w:lineRule="auto"/>
        <w:jc w:val="both"/>
        <w:rPr>
          <w:rFonts w:ascii="Arial" w:hAnsi="Arial" w:cs="Arial"/>
          <w:i/>
          <w:iCs/>
          <w:sz w:val="24"/>
          <w:szCs w:val="24"/>
          <w:lang w:val="pt-BR"/>
        </w:rPr>
      </w:pPr>
      <w:r w:rsidRPr="002721C5">
        <w:rPr>
          <w:rFonts w:ascii="Arial" w:hAnsi="Arial" w:cs="Arial"/>
          <w:sz w:val="24"/>
          <w:szCs w:val="24"/>
          <w:vertAlign w:val="superscript"/>
          <w:lang w:val="pt-BR"/>
        </w:rPr>
        <w:t>1</w:t>
      </w:r>
      <w:r w:rsidRPr="002721C5">
        <w:rPr>
          <w:rFonts w:ascii="Arial" w:hAnsi="Arial" w:cs="Arial"/>
          <w:i/>
          <w:iCs/>
          <w:sz w:val="24"/>
          <w:szCs w:val="24"/>
          <w:lang w:val="pt-BR"/>
        </w:rPr>
        <w:t>Department</w:t>
      </w:r>
      <w:r w:rsidR="002721C5" w:rsidRPr="002721C5">
        <w:rPr>
          <w:rFonts w:ascii="Arial" w:hAnsi="Arial" w:cs="Arial"/>
          <w:i/>
          <w:iCs/>
          <w:sz w:val="24"/>
          <w:szCs w:val="24"/>
          <w:lang w:val="pt-BR"/>
        </w:rPr>
        <w:t>o</w:t>
      </w:r>
      <w:r w:rsidRPr="002721C5">
        <w:rPr>
          <w:rFonts w:ascii="Arial" w:hAnsi="Arial" w:cs="Arial"/>
          <w:i/>
          <w:iCs/>
          <w:sz w:val="24"/>
          <w:szCs w:val="24"/>
          <w:lang w:val="pt-BR"/>
        </w:rPr>
        <w:t xml:space="preserve"> </w:t>
      </w:r>
      <w:r w:rsidR="002721C5" w:rsidRPr="002721C5">
        <w:rPr>
          <w:rFonts w:ascii="Arial" w:hAnsi="Arial" w:cs="Arial"/>
          <w:i/>
          <w:iCs/>
          <w:sz w:val="24"/>
          <w:szCs w:val="24"/>
          <w:lang w:val="pt-BR"/>
        </w:rPr>
        <w:t>de</w:t>
      </w:r>
      <w:r w:rsidRPr="002721C5">
        <w:rPr>
          <w:rFonts w:ascii="Arial" w:hAnsi="Arial" w:cs="Arial"/>
          <w:i/>
          <w:iCs/>
          <w:sz w:val="24"/>
          <w:szCs w:val="24"/>
          <w:lang w:val="pt-BR"/>
        </w:rPr>
        <w:t xml:space="preserve"> </w:t>
      </w:r>
      <w:r w:rsidR="002721C5" w:rsidRPr="002721C5">
        <w:rPr>
          <w:rFonts w:ascii="Arial" w:hAnsi="Arial" w:cs="Arial"/>
          <w:i/>
          <w:iCs/>
          <w:sz w:val="24"/>
          <w:szCs w:val="24"/>
          <w:lang w:val="pt-BR"/>
        </w:rPr>
        <w:t>Ingeniería Química</w:t>
      </w:r>
      <w:r w:rsidRPr="002721C5">
        <w:rPr>
          <w:rFonts w:ascii="Arial" w:hAnsi="Arial" w:cs="Arial"/>
          <w:i/>
          <w:iCs/>
          <w:sz w:val="24"/>
          <w:szCs w:val="24"/>
          <w:lang w:val="pt-BR"/>
        </w:rPr>
        <w:t xml:space="preserve">, </w:t>
      </w:r>
      <w:r w:rsidR="002721C5" w:rsidRPr="002721C5">
        <w:rPr>
          <w:rFonts w:ascii="Arial" w:hAnsi="Arial" w:cs="Arial"/>
          <w:i/>
          <w:iCs/>
          <w:sz w:val="24"/>
          <w:szCs w:val="24"/>
          <w:lang w:val="pt-BR"/>
        </w:rPr>
        <w:t>Univ</w:t>
      </w:r>
      <w:r w:rsidR="002721C5">
        <w:rPr>
          <w:rFonts w:ascii="Arial" w:hAnsi="Arial" w:cs="Arial"/>
          <w:i/>
          <w:iCs/>
          <w:sz w:val="24"/>
          <w:szCs w:val="24"/>
          <w:lang w:val="pt-BR"/>
        </w:rPr>
        <w:t>ersidad de</w:t>
      </w:r>
      <w:r w:rsidRPr="002721C5">
        <w:rPr>
          <w:rFonts w:ascii="Arial" w:hAnsi="Arial" w:cs="Arial"/>
          <w:i/>
          <w:iCs/>
          <w:sz w:val="24"/>
          <w:szCs w:val="24"/>
          <w:lang w:val="pt-BR"/>
        </w:rPr>
        <w:t xml:space="preserve"> </w:t>
      </w:r>
      <w:r w:rsidR="002721C5" w:rsidRPr="002721C5">
        <w:rPr>
          <w:rFonts w:ascii="Arial" w:hAnsi="Arial" w:cs="Arial"/>
          <w:i/>
          <w:iCs/>
          <w:sz w:val="24"/>
          <w:szCs w:val="24"/>
          <w:lang w:val="pt-BR"/>
        </w:rPr>
        <w:t>São</w:t>
      </w:r>
      <w:r w:rsidRPr="002721C5">
        <w:rPr>
          <w:rFonts w:ascii="Arial" w:hAnsi="Arial" w:cs="Arial"/>
          <w:i/>
          <w:iCs/>
          <w:sz w:val="24"/>
          <w:szCs w:val="24"/>
          <w:lang w:val="pt-BR"/>
        </w:rPr>
        <w:t xml:space="preserve"> Paulo, São Paulo – </w:t>
      </w:r>
      <w:r w:rsidR="002721C5" w:rsidRPr="002721C5">
        <w:rPr>
          <w:rFonts w:ascii="Arial" w:hAnsi="Arial" w:cs="Arial"/>
          <w:i/>
          <w:iCs/>
          <w:sz w:val="24"/>
          <w:szCs w:val="24"/>
          <w:lang w:val="pt-BR"/>
        </w:rPr>
        <w:t>Brasil</w:t>
      </w:r>
      <w:r w:rsidRPr="002721C5">
        <w:rPr>
          <w:rFonts w:ascii="Arial" w:hAnsi="Arial" w:cs="Arial"/>
          <w:i/>
          <w:iCs/>
          <w:sz w:val="24"/>
          <w:szCs w:val="24"/>
          <w:lang w:val="pt-BR"/>
        </w:rPr>
        <w:t>.</w:t>
      </w:r>
    </w:p>
    <w:p w14:paraId="49B4902D" w14:textId="77777777" w:rsidR="00CA40C7" w:rsidRPr="002721C5" w:rsidRDefault="00CA40C7" w:rsidP="00A20FCF">
      <w:pPr>
        <w:spacing w:after="0" w:line="360" w:lineRule="auto"/>
        <w:jc w:val="both"/>
        <w:rPr>
          <w:rFonts w:ascii="Arial" w:hAnsi="Arial" w:cs="Arial"/>
          <w:i/>
          <w:iCs/>
          <w:sz w:val="24"/>
          <w:szCs w:val="24"/>
          <w:lang w:val="pt-BR"/>
        </w:rPr>
      </w:pPr>
    </w:p>
    <w:p w14:paraId="71001259" w14:textId="6384A427" w:rsidR="00A20FCF" w:rsidRPr="002721C5" w:rsidRDefault="00A20FCF" w:rsidP="00A20FCF">
      <w:pPr>
        <w:jc w:val="both"/>
        <w:rPr>
          <w:rFonts w:ascii="Arial" w:hAnsi="Arial" w:cs="Arial"/>
          <w:sz w:val="24"/>
          <w:szCs w:val="24"/>
        </w:rPr>
      </w:pPr>
      <w:r w:rsidRPr="002721C5">
        <w:rPr>
          <w:rFonts w:ascii="Arial" w:hAnsi="Arial" w:cs="Arial"/>
          <w:sz w:val="24"/>
          <w:szCs w:val="24"/>
        </w:rPr>
        <w:t>*</w:t>
      </w:r>
      <w:r w:rsidR="002721C5">
        <w:rPr>
          <w:rFonts w:ascii="Arial" w:hAnsi="Arial" w:cs="Arial"/>
          <w:sz w:val="24"/>
          <w:szCs w:val="24"/>
        </w:rPr>
        <w:t xml:space="preserve"> </w:t>
      </w:r>
      <w:r w:rsidR="002721C5">
        <w:rPr>
          <w:rFonts w:ascii="Arial" w:hAnsi="Arial" w:cs="Arial"/>
          <w:i/>
          <w:iCs/>
          <w:sz w:val="24"/>
          <w:szCs w:val="24"/>
        </w:rPr>
        <w:t>Autor c</w:t>
      </w:r>
      <w:r w:rsidRPr="002721C5">
        <w:rPr>
          <w:rFonts w:ascii="Arial" w:hAnsi="Arial" w:cs="Arial"/>
          <w:i/>
          <w:iCs/>
          <w:sz w:val="24"/>
          <w:szCs w:val="24"/>
        </w:rPr>
        <w:t>orrespondi</w:t>
      </w:r>
      <w:r w:rsidR="002721C5">
        <w:rPr>
          <w:rFonts w:ascii="Arial" w:hAnsi="Arial" w:cs="Arial"/>
          <w:i/>
          <w:iCs/>
          <w:sz w:val="24"/>
          <w:szCs w:val="24"/>
        </w:rPr>
        <w:t>ente</w:t>
      </w:r>
      <w:r w:rsidRPr="002721C5">
        <w:rPr>
          <w:rFonts w:ascii="Arial" w:hAnsi="Arial" w:cs="Arial"/>
          <w:sz w:val="24"/>
          <w:szCs w:val="24"/>
        </w:rPr>
        <w:t>:</w:t>
      </w:r>
    </w:p>
    <w:p w14:paraId="7380D1B9" w14:textId="1A8A6D3B" w:rsidR="00EB6619" w:rsidRPr="002721C5" w:rsidRDefault="002721C5" w:rsidP="00A20FCF">
      <w:pPr>
        <w:jc w:val="both"/>
        <w:rPr>
          <w:rFonts w:ascii="Arial" w:hAnsi="Arial" w:cs="Arial"/>
          <w:sz w:val="24"/>
          <w:szCs w:val="24"/>
        </w:rPr>
      </w:pPr>
      <w:r w:rsidRPr="002721C5">
        <w:rPr>
          <w:rFonts w:ascii="Arial" w:hAnsi="Arial" w:cs="Arial"/>
          <w:sz w:val="24"/>
          <w:szCs w:val="24"/>
        </w:rPr>
        <w:t>Correo el</w:t>
      </w:r>
      <w:r>
        <w:rPr>
          <w:rFonts w:ascii="Arial" w:hAnsi="Arial" w:cs="Arial"/>
          <w:sz w:val="24"/>
          <w:szCs w:val="24"/>
        </w:rPr>
        <w:t>ectrónico</w:t>
      </w:r>
      <w:r w:rsidR="00A20FCF" w:rsidRPr="002721C5">
        <w:rPr>
          <w:rFonts w:ascii="Arial" w:hAnsi="Arial" w:cs="Arial"/>
          <w:sz w:val="24"/>
          <w:szCs w:val="24"/>
        </w:rPr>
        <w:t xml:space="preserve">: </w:t>
      </w:r>
      <w:hyperlink r:id="rId4" w:history="1">
        <w:r w:rsidR="00CA40C7" w:rsidRPr="00650F00">
          <w:rPr>
            <w:rStyle w:val="Hipervnculo"/>
          </w:rPr>
          <w:t>rjuyo@usp.br</w:t>
        </w:r>
      </w:hyperlink>
      <w:r w:rsidR="00CA40C7">
        <w:t xml:space="preserve"> </w:t>
      </w:r>
    </w:p>
    <w:p w14:paraId="2FFA9AF2" w14:textId="77777777" w:rsidR="00EB6619" w:rsidRPr="002721C5" w:rsidRDefault="00EB6619" w:rsidP="00EB6619">
      <w:pPr>
        <w:rPr>
          <w:rFonts w:ascii="Arial" w:hAnsi="Arial" w:cs="Arial"/>
          <w:b/>
          <w:bCs/>
          <w:sz w:val="24"/>
          <w:szCs w:val="24"/>
        </w:rPr>
      </w:pPr>
    </w:p>
    <w:p w14:paraId="3C170FC1" w14:textId="7BEC9D27" w:rsidR="00EB6619" w:rsidRPr="00D55A08" w:rsidRDefault="00EB6619" w:rsidP="00EB6619">
      <w:pPr>
        <w:rPr>
          <w:rFonts w:ascii="Arial" w:hAnsi="Arial" w:cs="Arial"/>
          <w:b/>
          <w:bCs/>
          <w:sz w:val="24"/>
          <w:szCs w:val="24"/>
        </w:rPr>
      </w:pPr>
      <w:r>
        <w:rPr>
          <w:rFonts w:ascii="Arial" w:hAnsi="Arial" w:cs="Arial"/>
          <w:b/>
          <w:bCs/>
          <w:sz w:val="24"/>
          <w:szCs w:val="24"/>
        </w:rPr>
        <w:t>Resumen</w:t>
      </w:r>
    </w:p>
    <w:p w14:paraId="0C03C11B" w14:textId="77777777" w:rsidR="00CA40C7" w:rsidRPr="00CA40C7" w:rsidRDefault="00CA40C7" w:rsidP="00CA40C7">
      <w:pPr>
        <w:jc w:val="both"/>
        <w:rPr>
          <w:rFonts w:ascii="Arial" w:hAnsi="Arial" w:cs="Arial"/>
          <w:sz w:val="24"/>
          <w:szCs w:val="24"/>
        </w:rPr>
      </w:pPr>
      <w:r w:rsidRPr="00CA40C7">
        <w:rPr>
          <w:rFonts w:ascii="Arial" w:hAnsi="Arial" w:cs="Arial"/>
          <w:b/>
          <w:bCs/>
          <w:sz w:val="24"/>
          <w:szCs w:val="24"/>
        </w:rPr>
        <w:t>Resumen</w:t>
      </w:r>
    </w:p>
    <w:p w14:paraId="3EF96CDF" w14:textId="77777777" w:rsidR="00CA40C7" w:rsidRDefault="00CA40C7" w:rsidP="00CA40C7">
      <w:pPr>
        <w:jc w:val="both"/>
        <w:rPr>
          <w:rFonts w:ascii="Arial" w:hAnsi="Arial" w:cs="Arial"/>
          <w:sz w:val="24"/>
          <w:szCs w:val="24"/>
        </w:rPr>
      </w:pPr>
      <w:r w:rsidRPr="00CA40C7">
        <w:rPr>
          <w:rFonts w:ascii="Arial" w:hAnsi="Arial" w:cs="Arial"/>
          <w:sz w:val="24"/>
          <w:szCs w:val="24"/>
        </w:rPr>
        <w:t>El creciente interés por las fuentes de energía renovable ha impulsado en los últimos años la instalación de tecnología solar fotovoltaica. La tecnología basada en silicio cristalino lidera el mercado global con una participación del 95%, convirtiéndose así en el tipo de módulo fotovoltaico más comercializado a nivel mundial. Como resultado, la demanda de módulos fotovoltaicos de esta tecnología continúa aumentando, lo que ha generado una cantidad considerable de módulos que están alcanzando el final de su vida útil.</w:t>
      </w:r>
      <w:r>
        <w:rPr>
          <w:rFonts w:ascii="Arial" w:hAnsi="Arial" w:cs="Arial"/>
          <w:sz w:val="24"/>
          <w:szCs w:val="24"/>
        </w:rPr>
        <w:t xml:space="preserve"> </w:t>
      </w:r>
      <w:r w:rsidRPr="00CA40C7">
        <w:rPr>
          <w:rFonts w:ascii="Arial" w:hAnsi="Arial" w:cs="Arial"/>
          <w:sz w:val="24"/>
          <w:szCs w:val="24"/>
        </w:rPr>
        <w:t>La gestión adecuada de estos módulos al final de su ciclo de vida es crucial para la recuperación y separación de materiales valiosos y peligrosos. Por ello, es necesario proponer métodos eficaces para el tratamiento de residuos fotovoltaicos, a fin de minimizar su impacto ambiental y facilitar la transición hacia una economía más sostenible y circular, en consonancia con los Objetivos de Desarrollo Sostenible.</w:t>
      </w:r>
    </w:p>
    <w:p w14:paraId="36FDA60F" w14:textId="77777777" w:rsidR="00CA40C7" w:rsidRDefault="00CA40C7" w:rsidP="00CA40C7">
      <w:pPr>
        <w:jc w:val="both"/>
        <w:rPr>
          <w:rFonts w:ascii="Arial" w:hAnsi="Arial" w:cs="Arial"/>
          <w:sz w:val="24"/>
          <w:szCs w:val="24"/>
        </w:rPr>
      </w:pPr>
      <w:r w:rsidRPr="00CA40C7">
        <w:rPr>
          <w:rFonts w:ascii="Arial" w:hAnsi="Arial" w:cs="Arial"/>
          <w:sz w:val="24"/>
          <w:szCs w:val="24"/>
        </w:rPr>
        <w:t>Este estudio tiene como objetivo desarrollar una ruta de reciclaje para módulos fotovoltaicos de silicio policristalino, abordando su caracterización, desmontaje, conminución, delaminación, lixiviación y purificación. La etapa de desmontaje permitió la separación del 16% de aluminio metálico y el 9% de vidrio. La estructura fotovoltaica fue fragmentada en partículas de menos de 6,35 mm mediante conminución.</w:t>
      </w:r>
      <w:r>
        <w:rPr>
          <w:rFonts w:ascii="Arial" w:hAnsi="Arial" w:cs="Arial"/>
          <w:sz w:val="24"/>
          <w:szCs w:val="24"/>
        </w:rPr>
        <w:t xml:space="preserve"> </w:t>
      </w:r>
    </w:p>
    <w:p w14:paraId="1DF0CA98" w14:textId="6083AFD7" w:rsidR="00CA40C7" w:rsidRPr="00CA40C7" w:rsidRDefault="00CA40C7" w:rsidP="00CA40C7">
      <w:pPr>
        <w:jc w:val="both"/>
        <w:rPr>
          <w:rFonts w:ascii="Arial" w:hAnsi="Arial" w:cs="Arial"/>
          <w:sz w:val="24"/>
          <w:szCs w:val="24"/>
        </w:rPr>
      </w:pPr>
      <w:r w:rsidRPr="00CA40C7">
        <w:rPr>
          <w:rFonts w:ascii="Arial" w:hAnsi="Arial" w:cs="Arial"/>
          <w:sz w:val="24"/>
          <w:szCs w:val="24"/>
        </w:rPr>
        <w:t xml:space="preserve">Para la delaminación se estudiaron dos rutas diferentes y se propuso una ruta híbrida que permitió separar las fracciones mediante tamizado. Esta ruta clasificó los productos en diferentes fracciones. Para evitar la combustión de aproximadamente el 42% de los polímeros, estos se concentraron en fracciones mayores a 4,00 </w:t>
      </w:r>
      <w:proofErr w:type="spellStart"/>
      <w:r w:rsidRPr="00CA40C7">
        <w:rPr>
          <w:rFonts w:ascii="Arial" w:hAnsi="Arial" w:cs="Arial"/>
          <w:sz w:val="24"/>
          <w:szCs w:val="24"/>
        </w:rPr>
        <w:t>mm.</w:t>
      </w:r>
      <w:proofErr w:type="spellEnd"/>
      <w:r w:rsidRPr="00CA40C7">
        <w:rPr>
          <w:rFonts w:ascii="Arial" w:hAnsi="Arial" w:cs="Arial"/>
          <w:sz w:val="24"/>
          <w:szCs w:val="24"/>
        </w:rPr>
        <w:t xml:space="preserve"> El tratamiento térmico se aplicó a las fracciones de entre </w:t>
      </w:r>
      <w:r w:rsidRPr="00CA40C7">
        <w:rPr>
          <w:rFonts w:ascii="Arial" w:hAnsi="Arial" w:cs="Arial"/>
          <w:sz w:val="24"/>
          <w:szCs w:val="24"/>
        </w:rPr>
        <w:lastRenderedPageBreak/>
        <w:t>0,50 mm y 2,00 mm a 500 °C durante 60 minutos, recuperándose un 47% de vidrio y un 1% de cobre.</w:t>
      </w:r>
    </w:p>
    <w:p w14:paraId="3998FBF1" w14:textId="77777777" w:rsidR="00CA40C7" w:rsidRPr="00CA40C7" w:rsidRDefault="00CA40C7" w:rsidP="00CA40C7">
      <w:pPr>
        <w:jc w:val="both"/>
        <w:rPr>
          <w:rFonts w:ascii="Arial" w:hAnsi="Arial" w:cs="Arial"/>
          <w:sz w:val="24"/>
          <w:szCs w:val="24"/>
        </w:rPr>
      </w:pPr>
      <w:r w:rsidRPr="00CA40C7">
        <w:rPr>
          <w:rFonts w:ascii="Arial" w:hAnsi="Arial" w:cs="Arial"/>
          <w:sz w:val="24"/>
          <w:szCs w:val="24"/>
        </w:rPr>
        <w:t>Se observó que el material activo se concentraba predominantemente en fracciones menores a 0,25 mm, las cuales contenían el 94% de la plata (Ag). La lixiviación del material activo se llevó a cabo utilizando ácido nítrico (HNO</w:t>
      </w:r>
      <w:r w:rsidRPr="00CA40C7">
        <w:rPr>
          <w:rFonts w:ascii="Cambria Math" w:hAnsi="Cambria Math" w:cs="Cambria Math"/>
          <w:sz w:val="24"/>
          <w:szCs w:val="24"/>
        </w:rPr>
        <w:t>₃</w:t>
      </w:r>
      <w:r w:rsidRPr="00CA40C7">
        <w:rPr>
          <w:rFonts w:ascii="Arial" w:hAnsi="Arial" w:cs="Arial"/>
          <w:sz w:val="24"/>
          <w:szCs w:val="24"/>
        </w:rPr>
        <w:t>), alcanzando eficiencias de extracción del 99,9% para Ag, 99% para Pb y 80% para Fe, bajo las siguientes condiciones: una concentración de 3,0 mol L</w:t>
      </w:r>
      <w:r w:rsidRPr="00CA40C7">
        <w:rPr>
          <w:rFonts w:ascii="Cambria Math" w:hAnsi="Cambria Math" w:cs="Cambria Math"/>
          <w:sz w:val="24"/>
          <w:szCs w:val="24"/>
        </w:rPr>
        <w:t>⁻</w:t>
      </w:r>
      <w:r w:rsidRPr="00CA40C7">
        <w:rPr>
          <w:rFonts w:ascii="Arial" w:hAnsi="Arial" w:cs="Arial"/>
          <w:sz w:val="24"/>
          <w:szCs w:val="24"/>
        </w:rPr>
        <w:t>¹ de HNO</w:t>
      </w:r>
      <w:r w:rsidRPr="00CA40C7">
        <w:rPr>
          <w:rFonts w:ascii="Cambria Math" w:hAnsi="Cambria Math" w:cs="Cambria Math"/>
          <w:sz w:val="24"/>
          <w:szCs w:val="24"/>
        </w:rPr>
        <w:t>₃</w:t>
      </w:r>
      <w:r w:rsidRPr="00CA40C7">
        <w:rPr>
          <w:rFonts w:ascii="Arial" w:hAnsi="Arial" w:cs="Arial"/>
          <w:sz w:val="24"/>
          <w:szCs w:val="24"/>
        </w:rPr>
        <w:t>, una relación sólido/líquido de 1:3, a 50 °C durante 180 minutos. La precipitación del 99,9% de la plata fue exitosa utilizando 0,15 mol L</w:t>
      </w:r>
      <w:r w:rsidRPr="00CA40C7">
        <w:rPr>
          <w:rFonts w:ascii="Cambria Math" w:hAnsi="Cambria Math" w:cs="Cambria Math"/>
          <w:sz w:val="24"/>
          <w:szCs w:val="24"/>
        </w:rPr>
        <w:t>⁻</w:t>
      </w:r>
      <w:r w:rsidRPr="00CA40C7">
        <w:rPr>
          <w:rFonts w:ascii="Arial" w:hAnsi="Arial" w:cs="Arial"/>
          <w:sz w:val="24"/>
          <w:szCs w:val="24"/>
        </w:rPr>
        <w:t>¹ de NaCl a 25 °C durante 30 minutos. Además, se logró eliminar el 99,7% del hierro (Fe) a pH 3 utilizando 1,32 mol L</w:t>
      </w:r>
      <w:r w:rsidRPr="00CA40C7">
        <w:rPr>
          <w:rFonts w:ascii="Cambria Math" w:hAnsi="Cambria Math" w:cs="Cambria Math"/>
          <w:sz w:val="24"/>
          <w:szCs w:val="24"/>
        </w:rPr>
        <w:t>⁻</w:t>
      </w:r>
      <w:r w:rsidRPr="00CA40C7">
        <w:rPr>
          <w:rFonts w:ascii="Arial" w:hAnsi="Arial" w:cs="Arial"/>
          <w:sz w:val="24"/>
          <w:szCs w:val="24"/>
        </w:rPr>
        <w:t xml:space="preserve">¹ de </w:t>
      </w:r>
      <w:proofErr w:type="spellStart"/>
      <w:r w:rsidRPr="00CA40C7">
        <w:rPr>
          <w:rFonts w:ascii="Arial" w:hAnsi="Arial" w:cs="Arial"/>
          <w:sz w:val="24"/>
          <w:szCs w:val="24"/>
        </w:rPr>
        <w:t>Na</w:t>
      </w:r>
      <w:r w:rsidRPr="00CA40C7">
        <w:rPr>
          <w:rFonts w:ascii="Cambria Math" w:hAnsi="Cambria Math" w:cs="Cambria Math"/>
          <w:sz w:val="24"/>
          <w:szCs w:val="24"/>
        </w:rPr>
        <w:t>₂</w:t>
      </w:r>
      <w:r w:rsidRPr="00CA40C7">
        <w:rPr>
          <w:rFonts w:ascii="Arial" w:hAnsi="Arial" w:cs="Arial"/>
          <w:sz w:val="24"/>
          <w:szCs w:val="24"/>
        </w:rPr>
        <w:t>CO</w:t>
      </w:r>
      <w:proofErr w:type="spellEnd"/>
      <w:r w:rsidRPr="00CA40C7">
        <w:rPr>
          <w:rFonts w:ascii="Cambria Math" w:hAnsi="Cambria Math" w:cs="Cambria Math"/>
          <w:sz w:val="24"/>
          <w:szCs w:val="24"/>
        </w:rPr>
        <w:t>₃</w:t>
      </w:r>
      <w:r w:rsidRPr="00CA40C7">
        <w:rPr>
          <w:rFonts w:ascii="Arial" w:hAnsi="Arial" w:cs="Arial"/>
          <w:sz w:val="24"/>
          <w:szCs w:val="24"/>
        </w:rPr>
        <w:t>.</w:t>
      </w:r>
    </w:p>
    <w:p w14:paraId="32EAA49C" w14:textId="77777777" w:rsidR="005E61F6" w:rsidRDefault="005E61F6" w:rsidP="00EB6619">
      <w:pPr>
        <w:jc w:val="both"/>
        <w:rPr>
          <w:rFonts w:ascii="Arial" w:hAnsi="Arial" w:cs="Arial"/>
          <w:sz w:val="24"/>
          <w:szCs w:val="24"/>
        </w:rPr>
      </w:pPr>
    </w:p>
    <w:p w14:paraId="07949F12" w14:textId="42E405C2" w:rsidR="005E61F6" w:rsidRPr="005E61F6" w:rsidRDefault="005E61F6" w:rsidP="00EB6619">
      <w:pPr>
        <w:jc w:val="both"/>
        <w:rPr>
          <w:rFonts w:ascii="Arial" w:hAnsi="Arial" w:cs="Arial"/>
          <w:sz w:val="24"/>
          <w:szCs w:val="24"/>
        </w:rPr>
      </w:pPr>
      <w:r w:rsidRPr="005E61F6">
        <w:rPr>
          <w:rFonts w:ascii="Arial" w:hAnsi="Arial" w:cs="Arial"/>
          <w:b/>
          <w:bCs/>
          <w:sz w:val="24"/>
          <w:szCs w:val="24"/>
        </w:rPr>
        <w:t>Palabras clave</w:t>
      </w:r>
      <w:r>
        <w:rPr>
          <w:rFonts w:ascii="Arial" w:hAnsi="Arial" w:cs="Arial"/>
          <w:sz w:val="24"/>
          <w:szCs w:val="24"/>
        </w:rPr>
        <w:t xml:space="preserve">: </w:t>
      </w:r>
      <w:r w:rsidR="00CA40C7" w:rsidRPr="00CA40C7">
        <w:rPr>
          <w:rFonts w:ascii="Arial" w:hAnsi="Arial" w:cs="Arial"/>
          <w:sz w:val="24"/>
          <w:szCs w:val="24"/>
        </w:rPr>
        <w:t>Circularidad, fin de vida útil, módulos fotovoltaicos, sostenibilidad, reciclaje.</w:t>
      </w:r>
    </w:p>
    <w:sectPr w:rsidR="005E61F6" w:rsidRPr="005E61F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6619"/>
    <w:rsid w:val="00077601"/>
    <w:rsid w:val="000C3854"/>
    <w:rsid w:val="00206935"/>
    <w:rsid w:val="002521EE"/>
    <w:rsid w:val="002721C5"/>
    <w:rsid w:val="002A4FA1"/>
    <w:rsid w:val="003642B5"/>
    <w:rsid w:val="005A37D9"/>
    <w:rsid w:val="005E61F6"/>
    <w:rsid w:val="009C1879"/>
    <w:rsid w:val="009E1D36"/>
    <w:rsid w:val="00A20FCF"/>
    <w:rsid w:val="00A60EB7"/>
    <w:rsid w:val="00B57B2D"/>
    <w:rsid w:val="00B875C7"/>
    <w:rsid w:val="00C169C5"/>
    <w:rsid w:val="00CA40C7"/>
    <w:rsid w:val="00DB5647"/>
    <w:rsid w:val="00E00130"/>
    <w:rsid w:val="00EB6619"/>
    <w:rsid w:val="00F54E3C"/>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308E65"/>
  <w15:chartTrackingRefBased/>
  <w15:docId w15:val="{A62A4789-CDFF-4BD7-BDEC-1C0B114ABA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6619"/>
    <w:rPr>
      <w14:ligatures w14:val="standardContextual"/>
    </w:rPr>
  </w:style>
  <w:style w:type="paragraph" w:styleId="Ttulo1">
    <w:name w:val="heading 1"/>
    <w:basedOn w:val="Normal"/>
    <w:next w:val="Normal"/>
    <w:link w:val="Ttulo1Car"/>
    <w:uiPriority w:val="9"/>
    <w:qFormat/>
    <w:rsid w:val="00EB6619"/>
    <w:pPr>
      <w:keepNext/>
      <w:keepLines/>
      <w:spacing w:before="360" w:after="80"/>
      <w:outlineLvl w:val="0"/>
    </w:pPr>
    <w:rPr>
      <w:rFonts w:asciiTheme="majorHAnsi" w:eastAsiaTheme="majorEastAsia" w:hAnsiTheme="majorHAnsi" w:cstheme="majorBidi"/>
      <w:color w:val="0F4761" w:themeColor="accent1" w:themeShade="BF"/>
      <w:sz w:val="40"/>
      <w:szCs w:val="40"/>
      <w14:ligatures w14:val="none"/>
    </w:rPr>
  </w:style>
  <w:style w:type="paragraph" w:styleId="Ttulo2">
    <w:name w:val="heading 2"/>
    <w:basedOn w:val="Normal"/>
    <w:next w:val="Normal"/>
    <w:link w:val="Ttulo2Car"/>
    <w:uiPriority w:val="9"/>
    <w:semiHidden/>
    <w:unhideWhenUsed/>
    <w:qFormat/>
    <w:rsid w:val="00EB6619"/>
    <w:pPr>
      <w:keepNext/>
      <w:keepLines/>
      <w:spacing w:before="160" w:after="80"/>
      <w:outlineLvl w:val="1"/>
    </w:pPr>
    <w:rPr>
      <w:rFonts w:asciiTheme="majorHAnsi" w:eastAsiaTheme="majorEastAsia" w:hAnsiTheme="majorHAnsi" w:cstheme="majorBidi"/>
      <w:color w:val="0F4761" w:themeColor="accent1" w:themeShade="BF"/>
      <w:sz w:val="32"/>
      <w:szCs w:val="32"/>
      <w14:ligatures w14:val="none"/>
    </w:rPr>
  </w:style>
  <w:style w:type="paragraph" w:styleId="Ttulo3">
    <w:name w:val="heading 3"/>
    <w:basedOn w:val="Normal"/>
    <w:next w:val="Normal"/>
    <w:link w:val="Ttulo3Car"/>
    <w:uiPriority w:val="9"/>
    <w:semiHidden/>
    <w:unhideWhenUsed/>
    <w:qFormat/>
    <w:rsid w:val="00EB6619"/>
    <w:pPr>
      <w:keepNext/>
      <w:keepLines/>
      <w:spacing w:before="160" w:after="80"/>
      <w:outlineLvl w:val="2"/>
    </w:pPr>
    <w:rPr>
      <w:rFonts w:eastAsiaTheme="majorEastAsia" w:cstheme="majorBidi"/>
      <w:color w:val="0F4761" w:themeColor="accent1" w:themeShade="BF"/>
      <w:sz w:val="28"/>
      <w:szCs w:val="28"/>
      <w14:ligatures w14:val="none"/>
    </w:rPr>
  </w:style>
  <w:style w:type="paragraph" w:styleId="Ttulo4">
    <w:name w:val="heading 4"/>
    <w:basedOn w:val="Normal"/>
    <w:next w:val="Normal"/>
    <w:link w:val="Ttulo4Car"/>
    <w:uiPriority w:val="9"/>
    <w:semiHidden/>
    <w:unhideWhenUsed/>
    <w:qFormat/>
    <w:rsid w:val="00EB6619"/>
    <w:pPr>
      <w:keepNext/>
      <w:keepLines/>
      <w:spacing w:before="80" w:after="40"/>
      <w:outlineLvl w:val="3"/>
    </w:pPr>
    <w:rPr>
      <w:rFonts w:eastAsiaTheme="majorEastAsia" w:cstheme="majorBidi"/>
      <w:i/>
      <w:iCs/>
      <w:color w:val="0F4761" w:themeColor="accent1" w:themeShade="BF"/>
      <w14:ligatures w14:val="none"/>
    </w:rPr>
  </w:style>
  <w:style w:type="paragraph" w:styleId="Ttulo5">
    <w:name w:val="heading 5"/>
    <w:basedOn w:val="Normal"/>
    <w:next w:val="Normal"/>
    <w:link w:val="Ttulo5Car"/>
    <w:uiPriority w:val="9"/>
    <w:semiHidden/>
    <w:unhideWhenUsed/>
    <w:qFormat/>
    <w:rsid w:val="00EB6619"/>
    <w:pPr>
      <w:keepNext/>
      <w:keepLines/>
      <w:spacing w:before="80" w:after="40"/>
      <w:outlineLvl w:val="4"/>
    </w:pPr>
    <w:rPr>
      <w:rFonts w:eastAsiaTheme="majorEastAsia" w:cstheme="majorBidi"/>
      <w:color w:val="0F4761" w:themeColor="accent1" w:themeShade="BF"/>
      <w14:ligatures w14:val="none"/>
    </w:rPr>
  </w:style>
  <w:style w:type="paragraph" w:styleId="Ttulo6">
    <w:name w:val="heading 6"/>
    <w:basedOn w:val="Normal"/>
    <w:next w:val="Normal"/>
    <w:link w:val="Ttulo6Car"/>
    <w:uiPriority w:val="9"/>
    <w:semiHidden/>
    <w:unhideWhenUsed/>
    <w:qFormat/>
    <w:rsid w:val="00EB6619"/>
    <w:pPr>
      <w:keepNext/>
      <w:keepLines/>
      <w:spacing w:before="40" w:after="0"/>
      <w:outlineLvl w:val="5"/>
    </w:pPr>
    <w:rPr>
      <w:rFonts w:eastAsiaTheme="majorEastAsia" w:cstheme="majorBidi"/>
      <w:i/>
      <w:iCs/>
      <w:color w:val="595959" w:themeColor="text1" w:themeTint="A6"/>
      <w14:ligatures w14:val="none"/>
    </w:rPr>
  </w:style>
  <w:style w:type="paragraph" w:styleId="Ttulo7">
    <w:name w:val="heading 7"/>
    <w:basedOn w:val="Normal"/>
    <w:next w:val="Normal"/>
    <w:link w:val="Ttulo7Car"/>
    <w:uiPriority w:val="9"/>
    <w:semiHidden/>
    <w:unhideWhenUsed/>
    <w:qFormat/>
    <w:rsid w:val="00EB6619"/>
    <w:pPr>
      <w:keepNext/>
      <w:keepLines/>
      <w:spacing w:before="40" w:after="0"/>
      <w:outlineLvl w:val="6"/>
    </w:pPr>
    <w:rPr>
      <w:rFonts w:eastAsiaTheme="majorEastAsia" w:cstheme="majorBidi"/>
      <w:color w:val="595959" w:themeColor="text1" w:themeTint="A6"/>
      <w14:ligatures w14:val="none"/>
    </w:rPr>
  </w:style>
  <w:style w:type="paragraph" w:styleId="Ttulo8">
    <w:name w:val="heading 8"/>
    <w:basedOn w:val="Normal"/>
    <w:next w:val="Normal"/>
    <w:link w:val="Ttulo8Car"/>
    <w:uiPriority w:val="9"/>
    <w:semiHidden/>
    <w:unhideWhenUsed/>
    <w:qFormat/>
    <w:rsid w:val="00EB6619"/>
    <w:pPr>
      <w:keepNext/>
      <w:keepLines/>
      <w:spacing w:after="0"/>
      <w:outlineLvl w:val="7"/>
    </w:pPr>
    <w:rPr>
      <w:rFonts w:eastAsiaTheme="majorEastAsia" w:cstheme="majorBidi"/>
      <w:i/>
      <w:iCs/>
      <w:color w:val="272727" w:themeColor="text1" w:themeTint="D8"/>
      <w14:ligatures w14:val="none"/>
    </w:rPr>
  </w:style>
  <w:style w:type="paragraph" w:styleId="Ttulo9">
    <w:name w:val="heading 9"/>
    <w:basedOn w:val="Normal"/>
    <w:next w:val="Normal"/>
    <w:link w:val="Ttulo9Car"/>
    <w:uiPriority w:val="9"/>
    <w:semiHidden/>
    <w:unhideWhenUsed/>
    <w:qFormat/>
    <w:rsid w:val="00EB6619"/>
    <w:pPr>
      <w:keepNext/>
      <w:keepLines/>
      <w:spacing w:after="0"/>
      <w:outlineLvl w:val="8"/>
    </w:pPr>
    <w:rPr>
      <w:rFonts w:eastAsiaTheme="majorEastAsia" w:cstheme="majorBidi"/>
      <w:color w:val="272727" w:themeColor="text1" w:themeTint="D8"/>
      <w14:ligatures w14:val="none"/>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B661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B661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B661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B661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B661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B661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B661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B661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B6619"/>
    <w:rPr>
      <w:rFonts w:eastAsiaTheme="majorEastAsia" w:cstheme="majorBidi"/>
      <w:color w:val="272727" w:themeColor="text1" w:themeTint="D8"/>
    </w:rPr>
  </w:style>
  <w:style w:type="paragraph" w:styleId="Ttulo">
    <w:name w:val="Title"/>
    <w:basedOn w:val="Normal"/>
    <w:next w:val="Normal"/>
    <w:link w:val="TtuloCar"/>
    <w:uiPriority w:val="10"/>
    <w:qFormat/>
    <w:rsid w:val="00EB6619"/>
    <w:pPr>
      <w:spacing w:after="80" w:line="240" w:lineRule="auto"/>
      <w:contextualSpacing/>
    </w:pPr>
    <w:rPr>
      <w:rFonts w:asciiTheme="majorHAnsi" w:eastAsiaTheme="majorEastAsia" w:hAnsiTheme="majorHAnsi" w:cstheme="majorBidi"/>
      <w:spacing w:val="-10"/>
      <w:kern w:val="28"/>
      <w:sz w:val="56"/>
      <w:szCs w:val="56"/>
      <w14:ligatures w14:val="none"/>
    </w:rPr>
  </w:style>
  <w:style w:type="character" w:customStyle="1" w:styleId="TtuloCar">
    <w:name w:val="Título Car"/>
    <w:basedOn w:val="Fuentedeprrafopredeter"/>
    <w:link w:val="Ttulo"/>
    <w:uiPriority w:val="10"/>
    <w:rsid w:val="00EB661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B6619"/>
    <w:pPr>
      <w:numPr>
        <w:ilvl w:val="1"/>
      </w:numPr>
    </w:pPr>
    <w:rPr>
      <w:rFonts w:eastAsiaTheme="majorEastAsia" w:cstheme="majorBidi"/>
      <w:color w:val="595959" w:themeColor="text1" w:themeTint="A6"/>
      <w:spacing w:val="15"/>
      <w:sz w:val="28"/>
      <w:szCs w:val="28"/>
      <w14:ligatures w14:val="none"/>
    </w:rPr>
  </w:style>
  <w:style w:type="character" w:customStyle="1" w:styleId="SubttuloCar">
    <w:name w:val="Subtítulo Car"/>
    <w:basedOn w:val="Fuentedeprrafopredeter"/>
    <w:link w:val="Subttulo"/>
    <w:uiPriority w:val="11"/>
    <w:rsid w:val="00EB661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B6619"/>
    <w:pPr>
      <w:spacing w:before="160"/>
      <w:jc w:val="center"/>
    </w:pPr>
    <w:rPr>
      <w:i/>
      <w:iCs/>
      <w:color w:val="404040" w:themeColor="text1" w:themeTint="BF"/>
      <w14:ligatures w14:val="none"/>
    </w:rPr>
  </w:style>
  <w:style w:type="character" w:customStyle="1" w:styleId="CitaCar">
    <w:name w:val="Cita Car"/>
    <w:basedOn w:val="Fuentedeprrafopredeter"/>
    <w:link w:val="Cita"/>
    <w:uiPriority w:val="29"/>
    <w:rsid w:val="00EB6619"/>
    <w:rPr>
      <w:i/>
      <w:iCs/>
      <w:color w:val="404040" w:themeColor="text1" w:themeTint="BF"/>
    </w:rPr>
  </w:style>
  <w:style w:type="paragraph" w:styleId="Prrafodelista">
    <w:name w:val="List Paragraph"/>
    <w:basedOn w:val="Normal"/>
    <w:uiPriority w:val="34"/>
    <w:qFormat/>
    <w:rsid w:val="00EB6619"/>
    <w:pPr>
      <w:ind w:left="720"/>
      <w:contextualSpacing/>
    </w:pPr>
    <w:rPr>
      <w14:ligatures w14:val="none"/>
    </w:rPr>
  </w:style>
  <w:style w:type="character" w:styleId="nfasisintenso">
    <w:name w:val="Intense Emphasis"/>
    <w:basedOn w:val="Fuentedeprrafopredeter"/>
    <w:uiPriority w:val="21"/>
    <w:qFormat/>
    <w:rsid w:val="00EB6619"/>
    <w:rPr>
      <w:i/>
      <w:iCs/>
      <w:color w:val="0F4761" w:themeColor="accent1" w:themeShade="BF"/>
    </w:rPr>
  </w:style>
  <w:style w:type="paragraph" w:styleId="Citadestacada">
    <w:name w:val="Intense Quote"/>
    <w:basedOn w:val="Normal"/>
    <w:next w:val="Normal"/>
    <w:link w:val="CitadestacadaCar"/>
    <w:uiPriority w:val="30"/>
    <w:qFormat/>
    <w:rsid w:val="00EB66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14:ligatures w14:val="none"/>
    </w:rPr>
  </w:style>
  <w:style w:type="character" w:customStyle="1" w:styleId="CitadestacadaCar">
    <w:name w:val="Cita destacada Car"/>
    <w:basedOn w:val="Fuentedeprrafopredeter"/>
    <w:link w:val="Citadestacada"/>
    <w:uiPriority w:val="30"/>
    <w:rsid w:val="00EB6619"/>
    <w:rPr>
      <w:i/>
      <w:iCs/>
      <w:color w:val="0F4761" w:themeColor="accent1" w:themeShade="BF"/>
    </w:rPr>
  </w:style>
  <w:style w:type="character" w:styleId="Referenciaintensa">
    <w:name w:val="Intense Reference"/>
    <w:basedOn w:val="Fuentedeprrafopredeter"/>
    <w:uiPriority w:val="32"/>
    <w:qFormat/>
    <w:rsid w:val="00EB6619"/>
    <w:rPr>
      <w:b/>
      <w:bCs/>
      <w:smallCaps/>
      <w:color w:val="0F4761" w:themeColor="accent1" w:themeShade="BF"/>
      <w:spacing w:val="5"/>
    </w:rPr>
  </w:style>
  <w:style w:type="character" w:styleId="Hipervnculo">
    <w:name w:val="Hyperlink"/>
    <w:basedOn w:val="Fuentedeprrafopredeter"/>
    <w:uiPriority w:val="99"/>
    <w:unhideWhenUsed/>
    <w:rsid w:val="00A20FCF"/>
    <w:rPr>
      <w:color w:val="467886" w:themeColor="hyperlink"/>
      <w:u w:val="single"/>
    </w:rPr>
  </w:style>
  <w:style w:type="character" w:styleId="Mencinsinresolver">
    <w:name w:val="Unresolved Mention"/>
    <w:basedOn w:val="Fuentedeprrafopredeter"/>
    <w:uiPriority w:val="99"/>
    <w:semiHidden/>
    <w:unhideWhenUsed/>
    <w:rsid w:val="00A20FC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7566177">
      <w:bodyDiv w:val="1"/>
      <w:marLeft w:val="0"/>
      <w:marRight w:val="0"/>
      <w:marTop w:val="0"/>
      <w:marBottom w:val="0"/>
      <w:divBdr>
        <w:top w:val="none" w:sz="0" w:space="0" w:color="auto"/>
        <w:left w:val="none" w:sz="0" w:space="0" w:color="auto"/>
        <w:bottom w:val="none" w:sz="0" w:space="0" w:color="auto"/>
        <w:right w:val="none" w:sz="0" w:space="0" w:color="auto"/>
      </w:divBdr>
    </w:div>
    <w:div w:id="18306286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rjuyo@usp.br"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464</Words>
  <Characters>2553</Characters>
  <Application>Microsoft Office Word</Application>
  <DocSecurity>4</DocSecurity>
  <Lines>21</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Darwin Cheje Machaca</dc:creator>
  <cp:keywords/>
  <dc:description/>
  <cp:lastModifiedBy>Rosario Juyo Salazar</cp:lastModifiedBy>
  <cp:revision>2</cp:revision>
  <dcterms:created xsi:type="dcterms:W3CDTF">2025-05-13T05:15:00Z</dcterms:created>
  <dcterms:modified xsi:type="dcterms:W3CDTF">2025-05-13T05:15:00Z</dcterms:modified>
</cp:coreProperties>
</file>