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D122" w14:textId="3602A252" w:rsidR="00140E67" w:rsidRPr="00483293" w:rsidRDefault="00140E67" w:rsidP="00760181">
      <w:pPr>
        <w:spacing w:line="360" w:lineRule="auto"/>
        <w:jc w:val="center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PERUMIN 37 Convención Minera</w:t>
      </w:r>
    </w:p>
    <w:p w14:paraId="674459F8" w14:textId="5D4BB68B" w:rsidR="00140E67" w:rsidRPr="00483293" w:rsidRDefault="00140E67" w:rsidP="00760181">
      <w:pPr>
        <w:spacing w:line="360" w:lineRule="auto"/>
        <w:jc w:val="center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Arequipa, 22 – 26 de setiembre, 2025</w:t>
      </w:r>
    </w:p>
    <w:p w14:paraId="5A7E54A4" w14:textId="532255D9" w:rsidR="00CC1DCB" w:rsidRPr="00483293" w:rsidRDefault="00140E67" w:rsidP="00760181">
      <w:pPr>
        <w:spacing w:line="360" w:lineRule="auto"/>
        <w:jc w:val="center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FORO DE TECNOLOGÍA, INNOVACIÓN Y SOSTENIBILIDAD CONVOCATORIA DE TRABAJOS TÉCNICOS PREMIO NACIONAL DE MINERÍA</w:t>
      </w:r>
    </w:p>
    <w:p w14:paraId="5F2B49C2" w14:textId="056816C8" w:rsidR="00140E67" w:rsidRPr="00483293" w:rsidRDefault="00140E67" w:rsidP="00760181">
      <w:p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Tema:</w:t>
      </w:r>
      <w:r w:rsidR="000F1AE3">
        <w:rPr>
          <w:rFonts w:ascii="Arial" w:hAnsi="Arial" w:cs="Arial"/>
          <w:b/>
          <w:bCs/>
        </w:rPr>
        <w:t xml:space="preserve"> </w:t>
      </w:r>
      <w:r w:rsidR="000F1AE3" w:rsidRPr="000F1AE3">
        <w:rPr>
          <w:rFonts w:ascii="Arial" w:hAnsi="Arial" w:cs="Arial"/>
        </w:rPr>
        <w:t>Tercerización</w:t>
      </w:r>
    </w:p>
    <w:p w14:paraId="5A44B5E3" w14:textId="21047710" w:rsidR="00140E67" w:rsidRPr="00483293" w:rsidRDefault="00483293" w:rsidP="00760181">
      <w:p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Categoría</w:t>
      </w:r>
      <w:r w:rsidR="00140E67" w:rsidRPr="00483293">
        <w:rPr>
          <w:rFonts w:ascii="Arial" w:hAnsi="Arial" w:cs="Arial"/>
          <w:b/>
          <w:bCs/>
        </w:rPr>
        <w:t>:</w:t>
      </w:r>
      <w:r w:rsidR="000F1AE3">
        <w:rPr>
          <w:rFonts w:ascii="Arial" w:hAnsi="Arial" w:cs="Arial"/>
          <w:b/>
          <w:bCs/>
        </w:rPr>
        <w:t xml:space="preserve"> </w:t>
      </w:r>
      <w:r w:rsidR="000F1AE3" w:rsidRPr="000F1AE3">
        <w:rPr>
          <w:rFonts w:ascii="Arial" w:hAnsi="Arial" w:cs="Arial"/>
        </w:rPr>
        <w:t>Regulación y Economía Minera</w:t>
      </w:r>
    </w:p>
    <w:p w14:paraId="40D7917B" w14:textId="34F76348" w:rsidR="00140E67" w:rsidRDefault="00140E67" w:rsidP="00760181">
      <w:p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Datos del autor y coautores:</w:t>
      </w:r>
    </w:p>
    <w:p w14:paraId="23620463" w14:textId="6557A3F4" w:rsidR="000F1AE3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Nombre: </w:t>
      </w:r>
      <w:r w:rsidRPr="000F1AE3">
        <w:rPr>
          <w:rFonts w:ascii="Arial" w:hAnsi="Arial" w:cs="Arial"/>
        </w:rPr>
        <w:t>Erik Málaga Enciso</w:t>
      </w:r>
    </w:p>
    <w:p w14:paraId="37953396" w14:textId="7268E01C" w:rsidR="000F1AE3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0F1AE3">
        <w:rPr>
          <w:rFonts w:ascii="Arial" w:hAnsi="Arial" w:cs="Arial"/>
          <w:b/>
          <w:bCs/>
          <w:lang w:val="en-US"/>
        </w:rPr>
        <w:t xml:space="preserve">Empresa: </w:t>
      </w:r>
      <w:r w:rsidRPr="000F1AE3">
        <w:rPr>
          <w:rFonts w:ascii="Arial" w:hAnsi="Arial" w:cs="Arial"/>
          <w:lang w:val="en-US"/>
        </w:rPr>
        <w:t>Southern Perú Copper Corporation</w:t>
      </w:r>
    </w:p>
    <w:p w14:paraId="5F13E37B" w14:textId="525ADD34" w:rsidR="000F1AE3" w:rsidRPr="000F1AE3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0F1AE3">
        <w:rPr>
          <w:rFonts w:ascii="Arial" w:hAnsi="Arial" w:cs="Arial"/>
          <w:b/>
          <w:bCs/>
        </w:rPr>
        <w:t xml:space="preserve">Cargo:  </w:t>
      </w:r>
      <w:r w:rsidR="0090735E" w:rsidRPr="0090735E">
        <w:rPr>
          <w:rFonts w:ascii="Arial" w:hAnsi="Arial" w:cs="Arial"/>
        </w:rPr>
        <w:t>Gerente de Planea</w:t>
      </w:r>
      <w:r w:rsidR="0090735E">
        <w:rPr>
          <w:rFonts w:ascii="Arial" w:hAnsi="Arial" w:cs="Arial"/>
        </w:rPr>
        <w:t>ción</w:t>
      </w:r>
      <w:r w:rsidR="0090735E" w:rsidRPr="0090735E">
        <w:rPr>
          <w:rFonts w:ascii="Arial" w:hAnsi="Arial" w:cs="Arial"/>
        </w:rPr>
        <w:t xml:space="preserve"> y Servicios Técnicos</w:t>
      </w:r>
    </w:p>
    <w:p w14:paraId="595AB269" w14:textId="21BF26F2" w:rsidR="000F1AE3" w:rsidRPr="0090735E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Dirección:</w:t>
      </w:r>
      <w:r w:rsidR="0090735E">
        <w:rPr>
          <w:rFonts w:ascii="Arial" w:hAnsi="Arial" w:cs="Arial"/>
          <w:b/>
          <w:bCs/>
        </w:rPr>
        <w:t xml:space="preserve"> </w:t>
      </w:r>
      <w:r w:rsidR="0090735E" w:rsidRPr="0090735E">
        <w:rPr>
          <w:rFonts w:ascii="Arial" w:hAnsi="Arial" w:cs="Arial"/>
        </w:rPr>
        <w:t>Villa Staff Cuajone Calle Torata #42 Moquegua - Cuajone</w:t>
      </w:r>
    </w:p>
    <w:p w14:paraId="754BA53D" w14:textId="670BA427" w:rsidR="000F1AE3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Correo corporativo:</w:t>
      </w:r>
      <w:r w:rsidRPr="0090735E">
        <w:rPr>
          <w:rFonts w:ascii="Arial" w:hAnsi="Arial" w:cs="Arial"/>
        </w:rPr>
        <w:t xml:space="preserve"> </w:t>
      </w:r>
      <w:hyperlink r:id="rId5" w:history="1">
        <w:r w:rsidRPr="0090735E">
          <w:t>emalagae@southernperu.com.pe</w:t>
        </w:r>
      </w:hyperlink>
    </w:p>
    <w:p w14:paraId="059D8DA9" w14:textId="79070609" w:rsidR="000F1AE3" w:rsidRPr="0090735E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Correo personal: </w:t>
      </w:r>
      <w:hyperlink r:id="rId6">
        <w:r w:rsidR="0090735E" w:rsidRPr="0090735E">
          <w:rPr>
            <w:rFonts w:ascii="Arial" w:hAnsi="Arial" w:cs="Arial"/>
          </w:rPr>
          <w:t>erik.malaga@outlook.com</w:t>
        </w:r>
      </w:hyperlink>
    </w:p>
    <w:p w14:paraId="6A2AA0A7" w14:textId="64425A60" w:rsidR="000F1AE3" w:rsidRPr="0090735E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Numero de celular: </w:t>
      </w:r>
      <w:r w:rsidR="0090735E" w:rsidRPr="0090735E">
        <w:rPr>
          <w:rFonts w:ascii="Arial" w:hAnsi="Arial" w:cs="Arial"/>
        </w:rPr>
        <w:t>+51 950 211 674</w:t>
      </w:r>
    </w:p>
    <w:p w14:paraId="01DAA589" w14:textId="11532520" w:rsidR="00140E67" w:rsidRDefault="00140E67" w:rsidP="00760181">
      <w:p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Palabras claves:</w:t>
      </w:r>
    </w:p>
    <w:p w14:paraId="65B583A9" w14:textId="55FF994A" w:rsidR="000423BC" w:rsidRPr="000423BC" w:rsidRDefault="000423BC" w:rsidP="00760181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423BC">
        <w:rPr>
          <w:rFonts w:ascii="Arial" w:hAnsi="Arial" w:cs="Arial"/>
        </w:rPr>
        <w:t>Tercerización</w:t>
      </w:r>
    </w:p>
    <w:p w14:paraId="19E14625" w14:textId="59FD6DC3" w:rsidR="000423BC" w:rsidRPr="000423BC" w:rsidRDefault="000423BC" w:rsidP="00760181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423BC">
        <w:rPr>
          <w:rFonts w:ascii="Arial" w:hAnsi="Arial" w:cs="Arial"/>
        </w:rPr>
        <w:t> Eficiencia</w:t>
      </w:r>
    </w:p>
    <w:p w14:paraId="4943CEC6" w14:textId="73716B67" w:rsidR="000423BC" w:rsidRPr="000423BC" w:rsidRDefault="000423BC" w:rsidP="00760181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423BC">
        <w:rPr>
          <w:rFonts w:ascii="Arial" w:hAnsi="Arial" w:cs="Arial"/>
        </w:rPr>
        <w:t>Costos operativos</w:t>
      </w:r>
    </w:p>
    <w:p w14:paraId="4FE22463" w14:textId="6E796116" w:rsidR="000423BC" w:rsidRPr="000423BC" w:rsidRDefault="000423BC" w:rsidP="00D31620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423BC">
        <w:rPr>
          <w:rFonts w:ascii="Arial" w:hAnsi="Arial" w:cs="Arial"/>
        </w:rPr>
        <w:t xml:space="preserve">Sostenibilidad </w:t>
      </w:r>
    </w:p>
    <w:p w14:paraId="027CB4D3" w14:textId="05BEAB3C" w:rsidR="00140E67" w:rsidRPr="00483293" w:rsidRDefault="00140E67" w:rsidP="00D31620">
      <w:p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 xml:space="preserve">Partes que debe contener un resumen de trabajo técnico a presentarse: </w:t>
      </w:r>
    </w:p>
    <w:p w14:paraId="7B796578" w14:textId="53EF0420" w:rsidR="00DF3614" w:rsidRPr="00483293" w:rsidRDefault="00DF3614" w:rsidP="00D3162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Contexto o escenario en que se ha realizado el trabajo y cómo se ha llegado a precisar sus alcances:</w:t>
      </w:r>
    </w:p>
    <w:p w14:paraId="1D33FBA2" w14:textId="77777777" w:rsidR="00891CE9" w:rsidRDefault="00891CE9" w:rsidP="00D31620">
      <w:pPr>
        <w:pStyle w:val="Sinespaciado"/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Este estudio se desarrolla en el marco del debate técnico, legal y social sobre la tercerización en la gran minería peruana, un tema que ha cobrado especial relevancia ante recientes normas restrictivas como el D.S. 001-2022-TR, así como por su impacto directo en la productividad, la seguridad laboral y la sostenibilidad de las operaciones mineras.</w:t>
      </w:r>
      <w:r w:rsidRPr="00891CE9">
        <w:rPr>
          <w:rFonts w:ascii="Arial" w:hAnsi="Arial" w:cs="Arial"/>
        </w:rPr>
        <w:br/>
        <w:t>El trabajo surge en un contexto de revisión normativa, alta tercerización operativa y tensiones laborales, con el objetivo de brindar una visión técnica, ética y estratégica sobre este fenómeno.</w:t>
      </w:r>
    </w:p>
    <w:p w14:paraId="1C962CA5" w14:textId="4DF077E2" w:rsidR="00891CE9" w:rsidRPr="00891CE9" w:rsidRDefault="00891CE9" w:rsidP="00D31620">
      <w:pPr>
        <w:pStyle w:val="Sinespaciado"/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Se ha definido como alcance del estudio:</w:t>
      </w:r>
    </w:p>
    <w:p w14:paraId="54B4C771" w14:textId="77777777" w:rsidR="00891CE9" w:rsidRPr="00891CE9" w:rsidRDefault="00891CE9" w:rsidP="00D31620">
      <w:pPr>
        <w:pStyle w:val="Sinespaciado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lastRenderedPageBreak/>
        <w:t xml:space="preserve"> Analizar el fenómeno de la tercerización desde una perspectiva integral: técnica, jurídica, social y económica.</w:t>
      </w:r>
    </w:p>
    <w:p w14:paraId="7A55732A" w14:textId="77777777" w:rsidR="00891CE9" w:rsidRPr="00891CE9" w:rsidRDefault="00891CE9" w:rsidP="00D31620">
      <w:pPr>
        <w:pStyle w:val="Sinespaciado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Evaluar su implementación en la gran minería peruana, con énfasis en los modelos operativos, actores involucrados y marcos regulatorios.</w:t>
      </w:r>
    </w:p>
    <w:p w14:paraId="36744D8B" w14:textId="3C934F49" w:rsidR="00891CE9" w:rsidRPr="00891CE9" w:rsidRDefault="00891CE9" w:rsidP="00D31620">
      <w:pPr>
        <w:pStyle w:val="Sinespaciado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Proponer modelos de gestión óptimos y sostenibles, integrando experiencias reales asimiladas por el autor.</w:t>
      </w:r>
    </w:p>
    <w:p w14:paraId="6F27A291" w14:textId="77777777" w:rsidR="00891CE9" w:rsidRPr="00891CE9" w:rsidRDefault="00891CE9" w:rsidP="00D31620">
      <w:pPr>
        <w:pStyle w:val="Sinespaciado"/>
        <w:spacing w:line="360" w:lineRule="auto"/>
        <w:jc w:val="both"/>
      </w:pPr>
    </w:p>
    <w:p w14:paraId="5231CBCD" w14:textId="77777777" w:rsidR="00D31620" w:rsidRDefault="00CA41D1" w:rsidP="00D3162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Objetivos:</w:t>
      </w:r>
    </w:p>
    <w:p w14:paraId="0514DF08" w14:textId="77777777" w:rsidR="00D31620" w:rsidRDefault="00891CE9" w:rsidP="00D31620">
      <w:p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  <w:b/>
          <w:bCs/>
        </w:rPr>
        <w:t>Objetivo general</w:t>
      </w:r>
    </w:p>
    <w:p w14:paraId="4731F3E7" w14:textId="68F4740C" w:rsidR="00891CE9" w:rsidRPr="00D31620" w:rsidRDefault="00891CE9" w:rsidP="00D31620">
      <w:pPr>
        <w:spacing w:line="360" w:lineRule="auto"/>
        <w:jc w:val="both"/>
        <w:rPr>
          <w:rFonts w:ascii="Arial" w:hAnsi="Arial" w:cs="Arial"/>
          <w:b/>
          <w:bCs/>
        </w:rPr>
      </w:pPr>
      <w:r w:rsidRPr="00891CE9">
        <w:rPr>
          <w:rFonts w:ascii="Arial" w:hAnsi="Arial" w:cs="Arial"/>
        </w:rPr>
        <w:t>Analizar e interpretar los alcances, limitaciones, beneficios y desafíos del modelo de tercerización en la gran minería del Perú, para contribuir con herramientas, criterios y propuestas aplicables a la mejora de la gestión y la sostenibilidad del sector.</w:t>
      </w:r>
      <w:r w:rsidRPr="00891CE9">
        <w:rPr>
          <w:rFonts w:ascii="Arial" w:hAnsi="Arial" w:cs="Arial"/>
        </w:rPr>
        <w:br/>
      </w:r>
      <w:r w:rsidRPr="00891CE9">
        <w:rPr>
          <w:rFonts w:ascii="Arial" w:hAnsi="Arial" w:cs="Arial"/>
          <w:b/>
          <w:bCs/>
        </w:rPr>
        <w:t>Objetivos Específicos:</w:t>
      </w:r>
    </w:p>
    <w:p w14:paraId="3E550D70" w14:textId="77777777" w:rsidR="00891CE9" w:rsidRDefault="00891CE9" w:rsidP="00D3162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Describir el marco normativo y su evolución histórica.</w:t>
      </w:r>
    </w:p>
    <w:p w14:paraId="2B795C69" w14:textId="77777777" w:rsidR="00891CE9" w:rsidRDefault="00891CE9" w:rsidP="00D3162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891CE9">
        <w:rPr>
          <w:rFonts w:ascii="Arial" w:hAnsi="Arial" w:cs="Arial"/>
        </w:rPr>
        <w:t>dentificar los tipos de outsourcing utilizados y sus efectos operativos.</w:t>
      </w:r>
    </w:p>
    <w:p w14:paraId="28DE5CA9" w14:textId="77777777" w:rsidR="00891CE9" w:rsidRDefault="00891CE9" w:rsidP="00D3162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Analizar los riesgos laborales y de seguridad asociados a la tercerización.</w:t>
      </w:r>
    </w:p>
    <w:p w14:paraId="53EE17E3" w14:textId="77777777" w:rsidR="00891CE9" w:rsidRDefault="00891CE9" w:rsidP="00D3162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Sistematizar los actores involucrados y sus interacciones.</w:t>
      </w:r>
    </w:p>
    <w:p w14:paraId="32138D26" w14:textId="77777777" w:rsidR="00891CE9" w:rsidRDefault="00891CE9" w:rsidP="00D3162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891CE9">
        <w:rPr>
          <w:rFonts w:ascii="Arial" w:hAnsi="Arial" w:cs="Arial"/>
        </w:rPr>
        <w:t>xponer casos y experiencias reales de aplicación exitosa de modelos integrados, como el Modelo Ideal de Gestión de Activos.</w:t>
      </w:r>
    </w:p>
    <w:p w14:paraId="61DE73C0" w14:textId="331E724C" w:rsidR="00891CE9" w:rsidRPr="00891CE9" w:rsidRDefault="00891CE9" w:rsidP="00D3162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Proponer conclusiones y recomendaciones que aporten al debate técnico y regulatorio.</w:t>
      </w:r>
    </w:p>
    <w:p w14:paraId="6CCD0D08" w14:textId="73D191E6" w:rsidR="00483293" w:rsidRPr="00483293" w:rsidRDefault="00483293" w:rsidP="00D3162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El procedimiento o metodología empleada como parte del trabajo.</w:t>
      </w:r>
    </w:p>
    <w:p w14:paraId="28B49063" w14:textId="77777777" w:rsidR="00891CE9" w:rsidRDefault="00891CE9" w:rsidP="00D31620">
      <w:p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El estudio ha seguido una metodología técnica-descriptiva, documental y analítica, combinando:</w:t>
      </w:r>
      <w:r>
        <w:rPr>
          <w:rFonts w:ascii="Arial" w:hAnsi="Arial" w:cs="Arial"/>
        </w:rPr>
        <w:t xml:space="preserve"> </w:t>
      </w:r>
    </w:p>
    <w:p w14:paraId="06A7F4B5" w14:textId="77777777" w:rsidR="00891CE9" w:rsidRDefault="00891CE9" w:rsidP="00D3162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Revisión normativa y jurídica (Leyes, D.S., R.M. y jurisprudencia).</w:t>
      </w:r>
    </w:p>
    <w:p w14:paraId="40123E3A" w14:textId="77777777" w:rsidR="00891CE9" w:rsidRDefault="00891CE9" w:rsidP="00D3162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Análisis técnico-operativo de modelos de tercerización en la gran minería.</w:t>
      </w:r>
    </w:p>
    <w:p w14:paraId="2DB17A36" w14:textId="77777777" w:rsidR="00891CE9" w:rsidRDefault="00891CE9" w:rsidP="00D3162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Revisión de publicaciones especializadas y experiencias reales en la Gran Minería.</w:t>
      </w:r>
    </w:p>
    <w:p w14:paraId="68FF97A0" w14:textId="77777777" w:rsidR="00891CE9" w:rsidRPr="00D31620" w:rsidRDefault="00891CE9" w:rsidP="00D3162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 xml:space="preserve">Construcción de visuales e infografías para representar comparativas, mapas de </w:t>
      </w:r>
      <w:r w:rsidRPr="00D31620">
        <w:rPr>
          <w:rFonts w:ascii="Arial" w:hAnsi="Arial" w:cs="Arial"/>
        </w:rPr>
        <w:t>actores, escalas de riesgo y modelos de gestión.</w:t>
      </w:r>
    </w:p>
    <w:p w14:paraId="58AC04DE" w14:textId="5C19E8AA" w:rsidR="00891CE9" w:rsidRPr="00D31620" w:rsidRDefault="00891CE9" w:rsidP="00D3162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D31620">
        <w:rPr>
          <w:rFonts w:ascii="Arial" w:hAnsi="Arial" w:cs="Arial"/>
        </w:rPr>
        <w:t>Aplicación de herramientas de IA para organizar, compilar, ilustrar y fortalecer la presentación del contenido.</w:t>
      </w:r>
    </w:p>
    <w:p w14:paraId="76774561" w14:textId="77777777" w:rsidR="00D31620" w:rsidRDefault="00483293" w:rsidP="00D3162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  <w:b/>
          <w:bCs/>
        </w:rPr>
        <w:t>Resultados alcanzados:</w:t>
      </w:r>
    </w:p>
    <w:p w14:paraId="3D414B14" w14:textId="200B8EF0" w:rsidR="00891CE9" w:rsidRPr="00D31620" w:rsidRDefault="00891CE9" w:rsidP="00D31620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Compendio técnico-académico de más de 60 páginas, con contenido visual,</w:t>
      </w:r>
    </w:p>
    <w:p w14:paraId="4C1BD882" w14:textId="77777777" w:rsidR="00891CE9" w:rsidRPr="00D31620" w:rsidRDefault="00891CE9" w:rsidP="00D31620">
      <w:pPr>
        <w:pStyle w:val="Prrafodelista"/>
        <w:spacing w:line="360" w:lineRule="auto"/>
        <w:jc w:val="both"/>
        <w:rPr>
          <w:rFonts w:ascii="Arial" w:hAnsi="Arial" w:cs="Arial"/>
        </w:rPr>
      </w:pPr>
      <w:r w:rsidRPr="00D31620">
        <w:rPr>
          <w:rFonts w:ascii="Arial" w:hAnsi="Arial" w:cs="Arial"/>
        </w:rPr>
        <w:lastRenderedPageBreak/>
        <w:t>analítico y referencial.</w:t>
      </w:r>
    </w:p>
    <w:p w14:paraId="495C4051" w14:textId="77777777" w:rsidR="00891CE9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Tipología y clasificación de outsourcing en función de su criticidad e impacto.</w:t>
      </w:r>
    </w:p>
    <w:p w14:paraId="39703EEF" w14:textId="77777777" w:rsidR="00891CE9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Análisis comparativo de marcos normativos y su aplicación práctica en minería.</w:t>
      </w:r>
    </w:p>
    <w:p w14:paraId="61956412" w14:textId="77777777" w:rsidR="00891CE9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Modelo visual del mapa de actores con sus vínculos funcionales.</w:t>
      </w:r>
    </w:p>
    <w:p w14:paraId="1C5C865F" w14:textId="77777777" w:rsidR="00891CE9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Escala de riesgo aplicada a contratistas y tercerización.</w:t>
      </w:r>
    </w:p>
    <w:p w14:paraId="541678B8" w14:textId="77777777" w:rsidR="00D31620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Integración del Modelo Ideal de Gestión de Activos para la Operación y Mantenimiento en la Gran Minería, destacando cómo la tercerización puede maximizar la disponibilidad, confiabilidad y seguridad mediante una gestión profesional.</w:t>
      </w:r>
    </w:p>
    <w:p w14:paraId="6DE186F9" w14:textId="77777777" w:rsidR="00D31620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Propuesta de la matriz SIGPRO como herramienta de gestión estratégica para proyectos Opex y Capex.</w:t>
      </w:r>
    </w:p>
    <w:p w14:paraId="32FE7BD4" w14:textId="7A2EBBA4" w:rsidR="00483293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Desarrollo de presentaciones en PowerPoint, infografías, versión EPUB y versión ejecutiva para múltiples audiencias.</w:t>
      </w:r>
    </w:p>
    <w:p w14:paraId="53171DB9" w14:textId="2DB978F4" w:rsidR="003F7DCF" w:rsidRPr="00D31620" w:rsidRDefault="00891CE9" w:rsidP="00D3162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  <w:b/>
          <w:bCs/>
        </w:rPr>
        <w:t>Conclusiones y Recomendaciones</w:t>
      </w:r>
      <w:r w:rsidR="00DF3614" w:rsidRPr="00D31620">
        <w:rPr>
          <w:rFonts w:ascii="Arial" w:hAnsi="Arial" w:cs="Arial"/>
          <w:b/>
          <w:bCs/>
        </w:rPr>
        <w:t>:</w:t>
      </w:r>
    </w:p>
    <w:p w14:paraId="0E0AD899" w14:textId="4DA86893" w:rsidR="00891CE9" w:rsidRPr="00D31620" w:rsidRDefault="00891CE9" w:rsidP="00D31620">
      <w:p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  <w:b/>
          <w:bCs/>
        </w:rPr>
        <w:t xml:space="preserve"> Conclusiones:</w:t>
      </w:r>
    </w:p>
    <w:p w14:paraId="417B0AAC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La tercerización, aplicada correctamente, permite optimizar la eficiencia y sostenibilidad en minería.</w:t>
      </w:r>
    </w:p>
    <w:p w14:paraId="4AC266CE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Requiere criterios técnicos, marcos regulatorios claros y una ética de corresponsabilidad.</w:t>
      </w:r>
    </w:p>
    <w:p w14:paraId="319F14B6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La seguridad laboral de trabajadores tercerizados debe ser equivalente a la del personal directo.</w:t>
      </w:r>
    </w:p>
    <w:p w14:paraId="7DEA3E47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El modelo propuesto demuestra que una gestión profesional e integrada de activos permite alcanzar altos niveles de productividad sin comprometer la seguridad ni la equidad.</w:t>
      </w:r>
    </w:p>
    <w:p w14:paraId="4E2FD1FC" w14:textId="77777777" w:rsidR="00D31620" w:rsidRPr="00D31620" w:rsidRDefault="00891CE9" w:rsidP="00D31620">
      <w:p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  <w:b/>
          <w:bCs/>
        </w:rPr>
        <w:t>Recomendaciones:</w:t>
      </w:r>
    </w:p>
    <w:p w14:paraId="22C23E76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Impulsar la profesionalización y regulación clara de los contratos de outsourcing.</w:t>
      </w:r>
    </w:p>
    <w:p w14:paraId="7A211B45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Incorporar Sistemas Integrales como SIGPRO en la gestión de proyectos mineros.</w:t>
      </w:r>
    </w:p>
    <w:p w14:paraId="3ABEFD37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Fortalecer la fiscalización técnica más allá de lo formal, priorizando resultados e indicadores.</w:t>
      </w:r>
    </w:p>
    <w:p w14:paraId="4C7EF39A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Promover la corresponsabilidad entre empresas mineras y contratistas en seguridad, calidad y sostenibilidad.</w:t>
      </w:r>
    </w:p>
    <w:p w14:paraId="0E19CD4B" w14:textId="77777777" w:rsidR="00760181" w:rsidRPr="001068A7" w:rsidRDefault="00760181" w:rsidP="00D31620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</w:p>
    <w:sectPr w:rsidR="00760181" w:rsidRPr="001068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12EFB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6D3D62"/>
    <w:multiLevelType w:val="hybridMultilevel"/>
    <w:tmpl w:val="FCE6CC9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571ED"/>
    <w:multiLevelType w:val="hybridMultilevel"/>
    <w:tmpl w:val="C03EAB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F130F"/>
    <w:multiLevelType w:val="hybridMultilevel"/>
    <w:tmpl w:val="71C880A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9C5944"/>
    <w:multiLevelType w:val="hybridMultilevel"/>
    <w:tmpl w:val="C69ABD6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142D7"/>
    <w:multiLevelType w:val="hybridMultilevel"/>
    <w:tmpl w:val="F8CEBE0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041A14"/>
    <w:multiLevelType w:val="hybridMultilevel"/>
    <w:tmpl w:val="4992B8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50417"/>
    <w:multiLevelType w:val="hybridMultilevel"/>
    <w:tmpl w:val="2BE8ADE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E56DBB"/>
    <w:multiLevelType w:val="hybridMultilevel"/>
    <w:tmpl w:val="35AE9C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971B0"/>
    <w:multiLevelType w:val="hybridMultilevel"/>
    <w:tmpl w:val="83EC8D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D3618"/>
    <w:multiLevelType w:val="hybridMultilevel"/>
    <w:tmpl w:val="CE6C7D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564F35"/>
    <w:multiLevelType w:val="hybridMultilevel"/>
    <w:tmpl w:val="E2AC7B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85964"/>
    <w:multiLevelType w:val="hybridMultilevel"/>
    <w:tmpl w:val="2F8A387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600F01"/>
    <w:multiLevelType w:val="hybridMultilevel"/>
    <w:tmpl w:val="5094C8B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2161C9"/>
    <w:multiLevelType w:val="hybridMultilevel"/>
    <w:tmpl w:val="362A3CA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681C0E"/>
    <w:multiLevelType w:val="hybridMultilevel"/>
    <w:tmpl w:val="F04A09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3543F3"/>
    <w:multiLevelType w:val="hybridMultilevel"/>
    <w:tmpl w:val="122C929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9664DE6"/>
    <w:multiLevelType w:val="hybridMultilevel"/>
    <w:tmpl w:val="6052BD1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C8C7718"/>
    <w:multiLevelType w:val="hybridMultilevel"/>
    <w:tmpl w:val="DC0091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636EAF"/>
    <w:multiLevelType w:val="hybridMultilevel"/>
    <w:tmpl w:val="0EB21F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E1F3C"/>
    <w:multiLevelType w:val="hybridMultilevel"/>
    <w:tmpl w:val="03FE81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D836CE"/>
    <w:multiLevelType w:val="hybridMultilevel"/>
    <w:tmpl w:val="C364727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4A241EC"/>
    <w:multiLevelType w:val="hybridMultilevel"/>
    <w:tmpl w:val="E8A0F2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FA5687"/>
    <w:multiLevelType w:val="hybridMultilevel"/>
    <w:tmpl w:val="9738DF0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D074B59"/>
    <w:multiLevelType w:val="hybridMultilevel"/>
    <w:tmpl w:val="4238F2F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518154">
    <w:abstractNumId w:val="19"/>
  </w:num>
  <w:num w:numId="2" w16cid:durableId="907299064">
    <w:abstractNumId w:val="24"/>
  </w:num>
  <w:num w:numId="3" w16cid:durableId="206375973">
    <w:abstractNumId w:val="8"/>
  </w:num>
  <w:num w:numId="4" w16cid:durableId="623586693">
    <w:abstractNumId w:val="23"/>
  </w:num>
  <w:num w:numId="5" w16cid:durableId="358046573">
    <w:abstractNumId w:val="7"/>
  </w:num>
  <w:num w:numId="6" w16cid:durableId="1246303614">
    <w:abstractNumId w:val="0"/>
  </w:num>
  <w:num w:numId="7" w16cid:durableId="1766610052">
    <w:abstractNumId w:val="3"/>
  </w:num>
  <w:num w:numId="8" w16cid:durableId="1521699223">
    <w:abstractNumId w:val="21"/>
  </w:num>
  <w:num w:numId="9" w16cid:durableId="419109858">
    <w:abstractNumId w:val="13"/>
  </w:num>
  <w:num w:numId="10" w16cid:durableId="760949890">
    <w:abstractNumId w:val="5"/>
  </w:num>
  <w:num w:numId="11" w16cid:durableId="616060395">
    <w:abstractNumId w:val="11"/>
  </w:num>
  <w:num w:numId="12" w16cid:durableId="1062290335">
    <w:abstractNumId w:val="14"/>
  </w:num>
  <w:num w:numId="13" w16cid:durableId="1443920026">
    <w:abstractNumId w:val="1"/>
  </w:num>
  <w:num w:numId="14" w16cid:durableId="409080046">
    <w:abstractNumId w:val="6"/>
  </w:num>
  <w:num w:numId="15" w16cid:durableId="1585995924">
    <w:abstractNumId w:val="9"/>
  </w:num>
  <w:num w:numId="16" w16cid:durableId="1421021701">
    <w:abstractNumId w:val="22"/>
  </w:num>
  <w:num w:numId="17" w16cid:durableId="1590459682">
    <w:abstractNumId w:val="10"/>
  </w:num>
  <w:num w:numId="18" w16cid:durableId="1107850907">
    <w:abstractNumId w:val="15"/>
  </w:num>
  <w:num w:numId="19" w16cid:durableId="2025747247">
    <w:abstractNumId w:val="2"/>
  </w:num>
  <w:num w:numId="20" w16cid:durableId="1961759683">
    <w:abstractNumId w:val="12"/>
  </w:num>
  <w:num w:numId="21" w16cid:durableId="1177382114">
    <w:abstractNumId w:val="18"/>
  </w:num>
  <w:num w:numId="22" w16cid:durableId="371468596">
    <w:abstractNumId w:val="16"/>
  </w:num>
  <w:num w:numId="23" w16cid:durableId="1689215710">
    <w:abstractNumId w:val="4"/>
  </w:num>
  <w:num w:numId="24" w16cid:durableId="1279339678">
    <w:abstractNumId w:val="17"/>
  </w:num>
  <w:num w:numId="25" w16cid:durableId="15090551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67"/>
    <w:rsid w:val="000323E3"/>
    <w:rsid w:val="000423BC"/>
    <w:rsid w:val="000F1AE3"/>
    <w:rsid w:val="001068A7"/>
    <w:rsid w:val="00140E67"/>
    <w:rsid w:val="003F7DCF"/>
    <w:rsid w:val="00483293"/>
    <w:rsid w:val="00501FA3"/>
    <w:rsid w:val="005A2E95"/>
    <w:rsid w:val="0060763E"/>
    <w:rsid w:val="00760181"/>
    <w:rsid w:val="00891CE9"/>
    <w:rsid w:val="0090735E"/>
    <w:rsid w:val="00B5279C"/>
    <w:rsid w:val="00C35BAE"/>
    <w:rsid w:val="00CA41D1"/>
    <w:rsid w:val="00CC1DCB"/>
    <w:rsid w:val="00D31620"/>
    <w:rsid w:val="00DF3614"/>
    <w:rsid w:val="00E4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FCF3"/>
  <w15:chartTrackingRefBased/>
  <w15:docId w15:val="{C0BB011C-94D8-4705-BDC8-08A81A66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E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E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E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E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E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E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E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E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E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E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E67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DF3614"/>
    <w:pPr>
      <w:numPr>
        <w:numId w:val="6"/>
      </w:numPr>
      <w:spacing w:after="200" w:line="276" w:lineRule="auto"/>
      <w:contextualSpacing/>
    </w:pPr>
    <w:rPr>
      <w:rFonts w:eastAsiaTheme="minorEastAsia"/>
      <w:lang w:val="en-US"/>
    </w:rPr>
  </w:style>
  <w:style w:type="character" w:styleId="Hipervnculo">
    <w:name w:val="Hyperlink"/>
    <w:basedOn w:val="Fuentedeprrafopredeter"/>
    <w:uiPriority w:val="99"/>
    <w:unhideWhenUsed/>
    <w:rsid w:val="000F1AE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1A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60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Sinespaciado">
    <w:name w:val="No Spacing"/>
    <w:uiPriority w:val="1"/>
    <w:qFormat/>
    <w:rsid w:val="00891C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4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rik.malaga@outlook.com" TargetMode="External"/><Relationship Id="rId5" Type="http://schemas.openxmlformats.org/officeDocument/2006/relationships/hyperlink" Target="mailto:emalagae@southernperu.com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773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Villavicencio Valenzuela</dc:creator>
  <cp:keywords/>
  <dc:description/>
  <cp:lastModifiedBy>Málaga, Erik</cp:lastModifiedBy>
  <cp:revision>7</cp:revision>
  <dcterms:created xsi:type="dcterms:W3CDTF">2025-03-29T12:46:00Z</dcterms:created>
  <dcterms:modified xsi:type="dcterms:W3CDTF">2025-04-04T16:32:00Z</dcterms:modified>
</cp:coreProperties>
</file>