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B3E0" w14:textId="6A5DB80D" w:rsidR="00D35898" w:rsidRPr="00804C4B" w:rsidRDefault="00421BF3" w:rsidP="00804C4B">
      <w:pPr>
        <w:spacing w:line="360" w:lineRule="auto"/>
        <w:jc w:val="both"/>
        <w:rPr>
          <w:rFonts w:cs="Arial"/>
          <w:sz w:val="22"/>
          <w:szCs w:val="22"/>
          <w:lang w:val="es-ES"/>
        </w:rPr>
      </w:pPr>
      <w:r w:rsidRPr="00804C4B">
        <w:rPr>
          <w:rFonts w:cs="Arial"/>
          <w:b/>
          <w:bCs/>
          <w:sz w:val="22"/>
          <w:szCs w:val="22"/>
          <w:lang w:val="es-ES"/>
        </w:rPr>
        <w:t>Resumen</w:t>
      </w:r>
      <w:r w:rsidRPr="00804C4B">
        <w:rPr>
          <w:rFonts w:cs="Arial"/>
          <w:sz w:val="22"/>
          <w:szCs w:val="22"/>
          <w:lang w:val="es-ES"/>
        </w:rPr>
        <w:t>:</w:t>
      </w:r>
    </w:p>
    <w:p w14:paraId="7B86BC84" w14:textId="32E2A707" w:rsidR="00DC13A3" w:rsidRPr="00DC13A3" w:rsidRDefault="00DC13A3" w:rsidP="00804C4B">
      <w:pPr>
        <w:spacing w:before="360" w:after="240" w:line="360" w:lineRule="auto"/>
        <w:jc w:val="both"/>
        <w:rPr>
          <w:rFonts w:cs="Arial"/>
          <w:bCs/>
          <w:iCs/>
          <w:sz w:val="22"/>
          <w:szCs w:val="22"/>
          <w:lang w:val="es-PE"/>
        </w:rPr>
      </w:pPr>
      <w:r w:rsidRPr="00DC13A3">
        <w:rPr>
          <w:rFonts w:cs="Arial"/>
          <w:bCs/>
          <w:iCs/>
          <w:sz w:val="22"/>
          <w:szCs w:val="22"/>
          <w:lang w:val="es-PE"/>
        </w:rPr>
        <w:t>La industria minera genera volúmenes significativos de materiales de desmonte como parte de sus operaciones extractivas, representando uno de los mayores desafíos ambientales del sector. Tradicionalmente, estos materiales han sido gestionados mediante sistemas de almacenamiento en botaderos o depósitos, ocupando grandes extensiones de terreno y generando potenciales impactos ambientales. El creciente desarrollo de proyectos mineros, junto con la profundización de operaciones existentes, ha intensificado la generación de estos residuos. Simultáneamente, el sector minero enfrenta una presión creciente por parte de reguladores, comunidades y accionistas para mejorar su desempeño ambiental y social. En este contexto, surge la oportunidad de reimaginar la gestión de desmontes mineros, transitando desde un enfoque centrado exclusivamente en el cumplimiento normativo hacia modelos de economía circular que permitan aprovechar estos materiales en actividades fuera del core del negocio minero, generando valor adicional y minimizando la huella ambiental de las operaciones.</w:t>
      </w:r>
    </w:p>
    <w:p w14:paraId="0D2175A1" w14:textId="71B8805F" w:rsidR="00DC13A3" w:rsidRPr="00DC13A3" w:rsidRDefault="00DC13A3" w:rsidP="00804C4B">
      <w:pPr>
        <w:spacing w:before="360" w:after="240" w:line="360" w:lineRule="auto"/>
        <w:jc w:val="both"/>
        <w:rPr>
          <w:rFonts w:cs="Arial"/>
          <w:bCs/>
          <w:iCs/>
          <w:sz w:val="22"/>
          <w:szCs w:val="22"/>
          <w:lang w:val="es-PE"/>
        </w:rPr>
      </w:pPr>
      <w:r w:rsidRPr="00DC13A3">
        <w:rPr>
          <w:rFonts w:cs="Arial"/>
          <w:bCs/>
          <w:iCs/>
          <w:sz w:val="22"/>
          <w:szCs w:val="22"/>
          <w:lang w:val="es-PE"/>
        </w:rPr>
        <w:t>Este trabajo técnico busca desarrollar un roadmap integral para la gestión circular de los desmontes mineros, estableciendo directrices estratégicas que permitan a las empresas del sector implementar soluciones innovadoras para la valorización de estos materiales en actividades complementarias a la extracción mineral. Se pretende identificar oportunidades de aprovechamiento en sectores como construcción, agricultura, restauración ambiental y obras de infraestructura local, superando las barreras técnicas, económicas y regulatorias que actualmente limitan estas aplicaciones. El objetivo final es transformar lo que tradicionalmente se ha considerado un pasivo ambiental en un activo con potencial de generar beneficios económicos, ambientales y sociales.</w:t>
      </w:r>
    </w:p>
    <w:p w14:paraId="3D874E06" w14:textId="21FF55B0" w:rsidR="00DC13A3" w:rsidRPr="00DC13A3" w:rsidRDefault="00DC13A3" w:rsidP="00804C4B">
      <w:pPr>
        <w:spacing w:before="360" w:after="240" w:line="360" w:lineRule="auto"/>
        <w:jc w:val="both"/>
        <w:rPr>
          <w:rFonts w:cs="Arial"/>
          <w:bCs/>
          <w:iCs/>
          <w:sz w:val="22"/>
          <w:szCs w:val="22"/>
          <w:lang w:val="es-PE"/>
        </w:rPr>
      </w:pPr>
      <w:r w:rsidRPr="00DC13A3">
        <w:rPr>
          <w:rFonts w:cs="Arial"/>
          <w:bCs/>
          <w:iCs/>
          <w:sz w:val="22"/>
          <w:szCs w:val="22"/>
          <w:lang w:val="es-PE"/>
        </w:rPr>
        <w:t>La elaboración del roadmap se ha fundamentado en una metodología mixta que comprende: 1) caracterización geoquímica y mineralógica de desmontes en diferentes tipos de operaciones mineras; 2) análisis de casos exitosos de aprovechamiento de desmontes mineros a nivel internacional; 3) consultas con expertos multidisciplinarios (minería, metalurgia, construcción, restauración ambiental) mediante entrevistas estructuradas y talleres participativos; 4) evaluación de tecnologías de tratamiento, estabilización y valorización de desmontes; y 5) análisis de viabilidad económica y ambiental de distintos escenarios de aprovechamiento, considerando factores como distancias de transporte, costos de procesamiento y aceptación de mercado.</w:t>
      </w:r>
    </w:p>
    <w:p w14:paraId="05B3B428" w14:textId="77777777" w:rsidR="00DC13A3" w:rsidRPr="00DC13A3" w:rsidRDefault="00DC13A3" w:rsidP="00DC13A3">
      <w:pPr>
        <w:spacing w:before="360" w:after="240" w:line="360" w:lineRule="auto"/>
        <w:jc w:val="both"/>
        <w:rPr>
          <w:rFonts w:cs="Arial"/>
          <w:bCs/>
          <w:iCs/>
          <w:sz w:val="22"/>
          <w:szCs w:val="22"/>
          <w:lang w:val="es-PE"/>
        </w:rPr>
      </w:pPr>
      <w:r w:rsidRPr="00DC13A3">
        <w:rPr>
          <w:rFonts w:cs="Arial"/>
          <w:bCs/>
          <w:iCs/>
          <w:sz w:val="22"/>
          <w:szCs w:val="22"/>
          <w:lang w:val="es-PE"/>
        </w:rPr>
        <w:lastRenderedPageBreak/>
        <w:t>El roadmap desarrollado establece un marco de actuación estructurado en cinco ejes estratégicos: caracterización avanzada y segregación selectiva de desmontes, desarrollo de aplicaciones específicas según tipología de material, establecimiento de alianzas estratégicas con sectores receptores, adecuación del marco regulatorio, y construcción de capacidades técnicas e institucionales. Para cada eje se han definido acciones concretas, indicadores de seguimiento y plazos de implementación escalonados.</w:t>
      </w:r>
    </w:p>
    <w:p w14:paraId="5A130838" w14:textId="77777777" w:rsidR="00DC13A3" w:rsidRPr="00DC13A3" w:rsidRDefault="00DC13A3" w:rsidP="00DC13A3">
      <w:pPr>
        <w:spacing w:before="360" w:after="240" w:line="360" w:lineRule="auto"/>
        <w:jc w:val="both"/>
        <w:rPr>
          <w:rFonts w:cs="Arial"/>
          <w:bCs/>
          <w:iCs/>
          <w:sz w:val="22"/>
          <w:szCs w:val="22"/>
          <w:lang w:val="es-PE"/>
        </w:rPr>
      </w:pPr>
      <w:r w:rsidRPr="00DC13A3">
        <w:rPr>
          <w:rFonts w:cs="Arial"/>
          <w:bCs/>
          <w:iCs/>
          <w:sz w:val="22"/>
          <w:szCs w:val="22"/>
          <w:lang w:val="es-PE"/>
        </w:rPr>
        <w:t>Entre las aplicaciones más prometedoras identificadas destacan: utilización de desmontes como material de relleno estructural para caminos y obras civiles, fabricación de agregados para construcción, sustratos para revegetación y restauración paisajística, materiales para control de erosión, y desarrollo de productos especializados como adiciones minerales para cementación. El análisis realizado muestra que implementando el roadmap propuesto, una operación minera mediana podría valorizar hasta un 60% de sus desmontes, reduciendo los costos de gestión de residuos en un 35% y generando ingresos adicionales equivalentes al 5-8% de su facturación mediante la comercialización de productos derivados</w:t>
      </w:r>
    </w:p>
    <w:p w14:paraId="5CB26E44" w14:textId="10B9449A" w:rsidR="00DC13A3" w:rsidRPr="00DC13A3" w:rsidRDefault="00DC13A3" w:rsidP="00804C4B">
      <w:pPr>
        <w:spacing w:before="360" w:after="240" w:line="360" w:lineRule="auto"/>
        <w:jc w:val="both"/>
        <w:rPr>
          <w:rFonts w:cs="Arial"/>
          <w:bCs/>
          <w:iCs/>
          <w:sz w:val="22"/>
          <w:szCs w:val="22"/>
          <w:lang w:val="es-PE"/>
        </w:rPr>
      </w:pPr>
      <w:r w:rsidRPr="00DC13A3">
        <w:rPr>
          <w:rFonts w:cs="Arial"/>
          <w:bCs/>
          <w:iCs/>
          <w:sz w:val="22"/>
          <w:szCs w:val="22"/>
          <w:lang w:val="es-PE"/>
        </w:rPr>
        <w:t>La transformación de la gestión de desmontes mineros hacia un modelo circular representa una oportunidad estratégica para el sector que va más allá del cumplimiento normativo. Se recomienda que las empresas mineras inicien por desarrollar sistemas robustos de caracterización y clasificación de sus desmontes, identificando composiciones y propiedades que determinen su potencial de aprovechamiento. Es fundamental establecer alianzas estratégicas con actores de la industria de la construcción, gobiernos locales y comunidades del entorno para desarrollar cadenas de valor que garanticen el aprovechamiento sostenible de estos materiales.</w:t>
      </w:r>
    </w:p>
    <w:p w14:paraId="4EB2D83E" w14:textId="69164A3E" w:rsidR="00DC13A3" w:rsidRPr="00DC13A3" w:rsidRDefault="00DC13A3" w:rsidP="00804C4B">
      <w:pPr>
        <w:spacing w:before="360" w:after="240" w:line="360" w:lineRule="auto"/>
        <w:jc w:val="both"/>
        <w:rPr>
          <w:rFonts w:cs="Arial"/>
          <w:bCs/>
          <w:iCs/>
          <w:sz w:val="22"/>
          <w:szCs w:val="22"/>
          <w:lang w:val="es-PE"/>
        </w:rPr>
      </w:pPr>
      <w:r w:rsidRPr="00DC13A3">
        <w:rPr>
          <w:rFonts w:cs="Arial"/>
          <w:bCs/>
          <w:iCs/>
          <w:sz w:val="22"/>
          <w:szCs w:val="22"/>
          <w:lang w:val="es-PE"/>
        </w:rPr>
        <w:t>Adicionalmente, se recomienda trabajar con las autoridades regulatorias para establecer marcos normativos que faciliten la reclasificación de desmontes como subproductos cuando cumplan con especificaciones técnicas apropiadas. La implementación del roadmap no solo generará beneficios ambientales al reducir la huella de las operaciones mineras, sino que contribuirá a fortalecer las relaciones comunitarias al convertir un potencial pasivo en recursos que apoyen el desarrollo local, fortaleciendo así la licencia social para operar</w:t>
      </w:r>
    </w:p>
    <w:p w14:paraId="411B83E6" w14:textId="0AC90430" w:rsidR="000701C1" w:rsidRPr="00804C4B" w:rsidRDefault="00804C4B" w:rsidP="00804C4B">
      <w:pPr>
        <w:spacing w:before="360" w:after="240" w:line="360" w:lineRule="auto"/>
        <w:jc w:val="both"/>
        <w:rPr>
          <w:rFonts w:cs="Arial"/>
          <w:sz w:val="22"/>
          <w:szCs w:val="22"/>
          <w:lang w:val="es-ES"/>
        </w:rPr>
      </w:pPr>
      <w:r>
        <w:rPr>
          <w:rFonts w:cs="Arial"/>
          <w:bCs/>
          <w:iCs/>
          <w:sz w:val="22"/>
          <w:szCs w:val="22"/>
          <w:lang w:val="es-ES"/>
        </w:rPr>
        <w:t>.</w:t>
      </w:r>
      <w:r w:rsidR="00D66BB3" w:rsidRPr="00804C4B">
        <w:rPr>
          <w:rFonts w:cs="Arial"/>
          <w:bCs/>
          <w:iCs/>
          <w:sz w:val="22"/>
          <w:szCs w:val="22"/>
          <w:lang w:val="es-ES"/>
        </w:rPr>
        <w:t xml:space="preserve"> </w:t>
      </w:r>
      <w:r w:rsidR="000701C1" w:rsidRPr="00804C4B">
        <w:rPr>
          <w:rFonts w:cs="Arial"/>
          <w:sz w:val="22"/>
          <w:szCs w:val="22"/>
          <w:lang w:val="es-ES"/>
        </w:rPr>
        <w:br w:type="page"/>
      </w:r>
    </w:p>
    <w:p w14:paraId="2C10A2F6" w14:textId="577DB3F0" w:rsidR="000701C1" w:rsidRPr="00804C4B" w:rsidRDefault="00883682" w:rsidP="000701C1">
      <w:pPr>
        <w:spacing w:line="360" w:lineRule="auto"/>
        <w:jc w:val="both"/>
        <w:rPr>
          <w:rFonts w:cs="Arial"/>
          <w:sz w:val="22"/>
          <w:szCs w:val="22"/>
          <w:lang w:val="es-ES"/>
        </w:rPr>
      </w:pPr>
      <w:r w:rsidRPr="00804C4B">
        <w:rPr>
          <w:rFonts w:cs="Arial"/>
          <w:b/>
          <w:bCs/>
          <w:sz w:val="22"/>
          <w:szCs w:val="22"/>
          <w:lang w:val="es-ES"/>
        </w:rPr>
        <w:lastRenderedPageBreak/>
        <w:t>Título</w:t>
      </w:r>
      <w:r w:rsidR="000701C1" w:rsidRPr="00804C4B">
        <w:rPr>
          <w:rFonts w:cs="Arial"/>
          <w:b/>
          <w:bCs/>
          <w:sz w:val="22"/>
          <w:szCs w:val="22"/>
          <w:lang w:val="es-ES"/>
        </w:rPr>
        <w:t xml:space="preserve"> de trabajo</w:t>
      </w:r>
      <w:r w:rsidR="000701C1" w:rsidRPr="00804C4B">
        <w:rPr>
          <w:rFonts w:cs="Arial"/>
          <w:sz w:val="22"/>
          <w:szCs w:val="22"/>
          <w:lang w:val="es-ES"/>
        </w:rPr>
        <w:t xml:space="preserve">: </w:t>
      </w:r>
      <w:r w:rsidR="00DC13A3" w:rsidRPr="00DC13A3">
        <w:rPr>
          <w:rFonts w:cs="Arial"/>
          <w:sz w:val="22"/>
          <w:szCs w:val="22"/>
          <w:lang w:val="es-ES"/>
        </w:rPr>
        <w:t>Roadmap para la gestión de desmontes mineros y su circularidad</w:t>
      </w:r>
    </w:p>
    <w:p w14:paraId="3C0D9929" w14:textId="77777777" w:rsidR="00804C4B" w:rsidRPr="000701C1" w:rsidRDefault="00804C4B" w:rsidP="00804C4B">
      <w:pPr>
        <w:spacing w:line="360" w:lineRule="auto"/>
        <w:jc w:val="both"/>
        <w:rPr>
          <w:rFonts w:asciiTheme="minorHAnsi" w:hAnsiTheme="minorHAnsi" w:cstheme="minorHAnsi"/>
          <w:b/>
          <w:bCs/>
          <w:sz w:val="22"/>
          <w:szCs w:val="22"/>
          <w:lang w:val="es-ES"/>
        </w:rPr>
      </w:pPr>
      <w:r w:rsidRPr="000701C1">
        <w:rPr>
          <w:rFonts w:asciiTheme="minorHAnsi" w:hAnsiTheme="minorHAnsi" w:cstheme="minorHAnsi"/>
          <w:b/>
          <w:bCs/>
          <w:sz w:val="22"/>
          <w:szCs w:val="22"/>
          <w:lang w:val="es-ES"/>
        </w:rPr>
        <w:t xml:space="preserve">Categoría: </w:t>
      </w:r>
    </w:p>
    <w:p w14:paraId="70B97F33" w14:textId="1C401849" w:rsidR="00804C4B" w:rsidRDefault="00DC13A3" w:rsidP="00804C4B">
      <w:pPr>
        <w:pStyle w:val="Prrafodelista"/>
        <w:numPr>
          <w:ilvl w:val="0"/>
          <w:numId w:val="21"/>
        </w:numPr>
        <w:spacing w:line="360" w:lineRule="auto"/>
        <w:jc w:val="both"/>
        <w:rPr>
          <w:rFonts w:asciiTheme="minorHAnsi" w:hAnsiTheme="minorHAnsi" w:cstheme="minorHAnsi"/>
          <w:sz w:val="22"/>
          <w:szCs w:val="22"/>
          <w:lang w:val="es-ES"/>
        </w:rPr>
      </w:pPr>
      <w:r>
        <w:rPr>
          <w:rFonts w:asciiTheme="minorHAnsi" w:hAnsiTheme="minorHAnsi" w:cstheme="minorHAnsi"/>
          <w:sz w:val="22"/>
          <w:szCs w:val="22"/>
          <w:u w:val="single"/>
          <w:lang w:val="es-ES"/>
        </w:rPr>
        <w:t>ESG</w:t>
      </w:r>
      <w:r w:rsidR="00804C4B">
        <w:rPr>
          <w:rFonts w:asciiTheme="minorHAnsi" w:hAnsiTheme="minorHAnsi" w:cstheme="minorHAnsi"/>
          <w:sz w:val="22"/>
          <w:szCs w:val="22"/>
          <w:u w:val="single"/>
          <w:lang w:val="es-ES"/>
        </w:rPr>
        <w:t>:</w:t>
      </w:r>
      <w:r w:rsidR="00804C4B" w:rsidRPr="000701C1">
        <w:rPr>
          <w:rFonts w:asciiTheme="minorHAnsi" w:hAnsiTheme="minorHAnsi" w:cstheme="minorHAnsi"/>
          <w:sz w:val="22"/>
          <w:szCs w:val="22"/>
          <w:lang w:val="es-ES"/>
        </w:rPr>
        <w:t xml:space="preserve"> </w:t>
      </w:r>
      <w:r>
        <w:rPr>
          <w:rFonts w:asciiTheme="minorHAnsi" w:hAnsiTheme="minorHAnsi" w:cstheme="minorHAnsi"/>
          <w:sz w:val="22"/>
          <w:szCs w:val="22"/>
          <w:lang w:val="es-ES"/>
        </w:rPr>
        <w:t>Gestión de residuos y economía circular</w:t>
      </w:r>
      <w:r w:rsidR="00E7539D">
        <w:rPr>
          <w:rFonts w:asciiTheme="minorHAnsi" w:hAnsiTheme="minorHAnsi" w:cstheme="minorHAnsi"/>
          <w:sz w:val="22"/>
          <w:szCs w:val="22"/>
          <w:lang w:val="es-ES"/>
        </w:rPr>
        <w:t xml:space="preserve"> </w:t>
      </w:r>
    </w:p>
    <w:p w14:paraId="1751C868" w14:textId="77777777" w:rsidR="00804C4B" w:rsidRPr="00036CBD" w:rsidRDefault="00804C4B" w:rsidP="00804C4B">
      <w:pPr>
        <w:spacing w:line="360" w:lineRule="auto"/>
        <w:jc w:val="both"/>
        <w:rPr>
          <w:rFonts w:asciiTheme="minorHAnsi" w:hAnsiTheme="minorHAnsi" w:cstheme="minorHAnsi"/>
          <w:b/>
          <w:bCs/>
          <w:sz w:val="22"/>
          <w:szCs w:val="22"/>
          <w:lang w:val="es-ES"/>
        </w:rPr>
      </w:pPr>
      <w:r w:rsidRPr="00036CBD">
        <w:rPr>
          <w:rFonts w:asciiTheme="minorHAnsi" w:hAnsiTheme="minorHAnsi" w:cstheme="minorHAnsi"/>
          <w:b/>
          <w:bCs/>
          <w:sz w:val="22"/>
          <w:szCs w:val="22"/>
          <w:lang w:val="es-ES"/>
        </w:rPr>
        <w:t>Autores</w:t>
      </w:r>
    </w:p>
    <w:p w14:paraId="37820171"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 xml:space="preserve">Autor: Antony Gregorio Aguedo Asencios </w:t>
      </w:r>
    </w:p>
    <w:p w14:paraId="117E26B8"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Empresa: Pontificia Universidad Católica del Perú</w:t>
      </w:r>
    </w:p>
    <w:p w14:paraId="2FA00C14"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 xml:space="preserve">Cargo: </w:t>
      </w:r>
      <w:r w:rsidRPr="00575F01">
        <w:rPr>
          <w:rFonts w:asciiTheme="minorHAnsi" w:hAnsiTheme="minorHAnsi" w:cstheme="minorHAnsi"/>
          <w:sz w:val="22"/>
          <w:szCs w:val="22"/>
          <w:lang w:val="es-ES"/>
        </w:rPr>
        <w:t>Docente Universitario TPA</w:t>
      </w:r>
    </w:p>
    <w:p w14:paraId="29FC2DB0"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Dirección: Prolongación Caraz N°1078</w:t>
      </w:r>
    </w:p>
    <w:p w14:paraId="4A718B49"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 xml:space="preserve">Correo corporativo: </w:t>
      </w:r>
      <w:hyperlink r:id="rId5" w:history="1">
        <w:r w:rsidRPr="00272615">
          <w:rPr>
            <w:rStyle w:val="Hipervnculo"/>
            <w:rFonts w:asciiTheme="minorHAnsi" w:hAnsiTheme="minorHAnsi" w:cstheme="minorHAnsi"/>
            <w:sz w:val="22"/>
            <w:szCs w:val="22"/>
            <w:lang w:val="es-ES"/>
          </w:rPr>
          <w:t>antony.aguedo@pucp.edu.pe</w:t>
        </w:r>
      </w:hyperlink>
    </w:p>
    <w:p w14:paraId="00F93AE7"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 xml:space="preserve">Correo personal: </w:t>
      </w:r>
      <w:hyperlink r:id="rId6" w:history="1">
        <w:r w:rsidRPr="00272615">
          <w:rPr>
            <w:rStyle w:val="Hipervnculo"/>
            <w:rFonts w:asciiTheme="minorHAnsi" w:hAnsiTheme="minorHAnsi" w:cstheme="minorHAnsi"/>
            <w:sz w:val="22"/>
            <w:szCs w:val="22"/>
            <w:lang w:val="es-ES"/>
          </w:rPr>
          <w:t>antony.aguedo@pucp.edu.pe</w:t>
        </w:r>
      </w:hyperlink>
      <w:r>
        <w:rPr>
          <w:rFonts w:asciiTheme="minorHAnsi" w:hAnsiTheme="minorHAnsi" w:cstheme="minorHAnsi"/>
          <w:sz w:val="22"/>
          <w:szCs w:val="22"/>
          <w:lang w:val="es-ES"/>
        </w:rPr>
        <w:t xml:space="preserve"> </w:t>
      </w:r>
    </w:p>
    <w:p w14:paraId="7455590D"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Teléfono fijo:043-220475</w:t>
      </w:r>
    </w:p>
    <w:p w14:paraId="09463D37" w14:textId="77777777" w:rsidR="00804C4B" w:rsidRDefault="00804C4B" w:rsidP="00804C4B">
      <w:pPr>
        <w:pStyle w:val="Prrafodelista"/>
        <w:spacing w:line="360" w:lineRule="auto"/>
        <w:jc w:val="both"/>
        <w:rPr>
          <w:rFonts w:asciiTheme="minorHAnsi" w:hAnsiTheme="minorHAnsi" w:cstheme="minorHAnsi"/>
          <w:sz w:val="22"/>
          <w:szCs w:val="22"/>
          <w:lang w:val="es-ES"/>
        </w:rPr>
      </w:pPr>
      <w:r>
        <w:rPr>
          <w:rFonts w:asciiTheme="minorHAnsi" w:hAnsiTheme="minorHAnsi" w:cstheme="minorHAnsi"/>
          <w:sz w:val="22"/>
          <w:szCs w:val="22"/>
          <w:lang w:val="es-ES"/>
        </w:rPr>
        <w:t>Celular: +51-959737607</w:t>
      </w:r>
    </w:p>
    <w:p w14:paraId="66A71ECD" w14:textId="77777777" w:rsidR="00804C4B" w:rsidRDefault="00804C4B" w:rsidP="00804C4B">
      <w:pPr>
        <w:spacing w:line="360" w:lineRule="auto"/>
        <w:jc w:val="both"/>
        <w:rPr>
          <w:rFonts w:asciiTheme="minorHAnsi" w:hAnsiTheme="minorHAnsi" w:cstheme="minorHAnsi"/>
          <w:b/>
          <w:bCs/>
          <w:sz w:val="22"/>
          <w:szCs w:val="22"/>
          <w:lang w:val="es-ES"/>
        </w:rPr>
      </w:pPr>
      <w:r>
        <w:rPr>
          <w:rFonts w:asciiTheme="minorHAnsi" w:hAnsiTheme="minorHAnsi" w:cstheme="minorHAnsi"/>
          <w:b/>
          <w:bCs/>
          <w:sz w:val="22"/>
          <w:szCs w:val="22"/>
          <w:lang w:val="es-ES"/>
        </w:rPr>
        <w:t>Reseña profesional</w:t>
      </w:r>
    </w:p>
    <w:p w14:paraId="345584AD" w14:textId="77777777" w:rsidR="00804C4B" w:rsidRPr="00386322" w:rsidRDefault="00804C4B" w:rsidP="00804C4B">
      <w:pPr>
        <w:spacing w:line="360" w:lineRule="auto"/>
        <w:jc w:val="both"/>
        <w:rPr>
          <w:rFonts w:asciiTheme="minorHAnsi" w:hAnsiTheme="minorHAnsi" w:cstheme="minorHAnsi"/>
          <w:sz w:val="22"/>
          <w:szCs w:val="22"/>
          <w:lang w:val="es-ES"/>
        </w:rPr>
      </w:pPr>
      <w:r w:rsidRPr="00386322">
        <w:rPr>
          <w:rFonts w:asciiTheme="minorHAnsi" w:hAnsiTheme="minorHAnsi" w:cstheme="minorHAnsi"/>
          <w:sz w:val="22"/>
          <w:szCs w:val="22"/>
          <w:lang w:val="es-ES"/>
        </w:rPr>
        <w:t>Ingeniero de Minas con Maestría en Regulación, Gestión y Economía Minera y especialización en Ingeniería Geotécnica. Cuento con sólida experiencia en la gestión de relaves y desmonteras, implementación de estándares internacionales como el GISTM, y liderazgo de proyectos en el sector minero. He trabajado tanto en consultoría geotécnica como en operaciones mineras, colaborando en el diseño, monitoreo y supervisión de componentes críticos. Capacitado por la Canadian Dam Association (CDA) y con publicaciones técnicas sobre relaves.</w:t>
      </w:r>
    </w:p>
    <w:p w14:paraId="3F7FDA3D" w14:textId="4DEA9972" w:rsidR="00B91DDB" w:rsidRPr="00804C4B" w:rsidRDefault="00B91DDB" w:rsidP="00804C4B">
      <w:pPr>
        <w:spacing w:line="360" w:lineRule="auto"/>
        <w:jc w:val="both"/>
        <w:rPr>
          <w:rFonts w:cs="Arial"/>
          <w:sz w:val="22"/>
          <w:szCs w:val="22"/>
          <w:lang w:val="es-ES"/>
        </w:rPr>
      </w:pPr>
    </w:p>
    <w:sectPr w:rsidR="00B91DDB" w:rsidRPr="00804C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1A7"/>
    <w:multiLevelType w:val="hybridMultilevel"/>
    <w:tmpl w:val="58F638A8"/>
    <w:lvl w:ilvl="0" w:tplc="47945D00">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9976DF"/>
    <w:multiLevelType w:val="multilevel"/>
    <w:tmpl w:val="30C2CF38"/>
    <w:lvl w:ilvl="0">
      <w:start w:val="1"/>
      <w:numFmt w:val="decimal"/>
      <w:pStyle w:val="Ttulo1"/>
      <w:lvlText w:val="%1"/>
      <w:lvlJc w:val="left"/>
      <w:pPr>
        <w:tabs>
          <w:tab w:val="num" w:pos="720"/>
        </w:tabs>
        <w:ind w:left="720" w:hanging="720"/>
      </w:pPr>
      <w:rPr>
        <w:rFonts w:hint="default"/>
      </w:rPr>
    </w:lvl>
    <w:lvl w:ilvl="1">
      <w:start w:val="1"/>
      <w:numFmt w:val="decimal"/>
      <w:pStyle w:val="Ttulo2"/>
      <w:lvlText w:val="%1.%2"/>
      <w:lvlJc w:val="left"/>
      <w:pPr>
        <w:tabs>
          <w:tab w:val="num" w:pos="720"/>
        </w:tabs>
        <w:ind w:left="720" w:hanging="720"/>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10334E8"/>
    <w:multiLevelType w:val="hybridMultilevel"/>
    <w:tmpl w:val="CB74DB74"/>
    <w:lvl w:ilvl="0" w:tplc="8D06AEEC">
      <w:start w:val="1"/>
      <w:numFmt w:val="decimal"/>
      <w:pStyle w:val="Number1"/>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403C6FBF"/>
    <w:multiLevelType w:val="hybridMultilevel"/>
    <w:tmpl w:val="FC726CBC"/>
    <w:lvl w:ilvl="0" w:tplc="008EA590">
      <w:start w:val="1"/>
      <w:numFmt w:val="bullet"/>
      <w:pStyle w:val="Bullet1"/>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97940D4"/>
    <w:multiLevelType w:val="hybridMultilevel"/>
    <w:tmpl w:val="24D2E532"/>
    <w:lvl w:ilvl="0" w:tplc="74F6933A">
      <w:start w:val="1"/>
      <w:numFmt w:val="bullet"/>
      <w:pStyle w:val="Bullet2"/>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 w15:restartNumberingAfterBreak="0">
    <w:nsid w:val="5E3B3A2C"/>
    <w:multiLevelType w:val="hybridMultilevel"/>
    <w:tmpl w:val="B44ECB3E"/>
    <w:lvl w:ilvl="0" w:tplc="62D4F3CE">
      <w:start w:val="1"/>
      <w:numFmt w:val="lowerLetter"/>
      <w:pStyle w:val="Number2"/>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5F3661CA"/>
    <w:multiLevelType w:val="multilevel"/>
    <w:tmpl w:val="DD9C6E88"/>
    <w:lvl w:ilvl="0">
      <w:start w:val="1"/>
      <w:numFmt w:val="decimal"/>
      <w:pStyle w:val="Appendixtitle1"/>
      <w:lvlText w:val="%1"/>
      <w:lvlJc w:val="left"/>
      <w:pPr>
        <w:tabs>
          <w:tab w:val="num" w:pos="720"/>
        </w:tabs>
        <w:ind w:left="720" w:hanging="720"/>
      </w:pPr>
      <w:rPr>
        <w:rFonts w:hint="default"/>
      </w:rPr>
    </w:lvl>
    <w:lvl w:ilvl="1">
      <w:start w:val="1"/>
      <w:numFmt w:val="decimal"/>
      <w:pStyle w:val="Appendixtitle2"/>
      <w:lvlText w:val="%1.%2"/>
      <w:lvlJc w:val="left"/>
      <w:pPr>
        <w:tabs>
          <w:tab w:val="num" w:pos="720"/>
        </w:tabs>
        <w:ind w:left="720" w:hanging="720"/>
      </w:pPr>
      <w:rPr>
        <w:rFonts w:hint="default"/>
      </w:rPr>
    </w:lvl>
    <w:lvl w:ilvl="2">
      <w:start w:val="1"/>
      <w:numFmt w:val="decimal"/>
      <w:pStyle w:val="Appendixtitle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39097188">
    <w:abstractNumId w:val="1"/>
  </w:num>
  <w:num w:numId="2" w16cid:durableId="1796290676">
    <w:abstractNumId w:val="6"/>
  </w:num>
  <w:num w:numId="3" w16cid:durableId="1466698895">
    <w:abstractNumId w:val="6"/>
  </w:num>
  <w:num w:numId="4" w16cid:durableId="1404639303">
    <w:abstractNumId w:val="1"/>
  </w:num>
  <w:num w:numId="5" w16cid:durableId="2135824773">
    <w:abstractNumId w:val="6"/>
  </w:num>
  <w:num w:numId="6" w16cid:durableId="1265920744">
    <w:abstractNumId w:val="3"/>
  </w:num>
  <w:num w:numId="7" w16cid:durableId="857277265">
    <w:abstractNumId w:val="4"/>
  </w:num>
  <w:num w:numId="8" w16cid:durableId="915287308">
    <w:abstractNumId w:val="2"/>
  </w:num>
  <w:num w:numId="9" w16cid:durableId="1347946634">
    <w:abstractNumId w:val="5"/>
  </w:num>
  <w:num w:numId="10" w16cid:durableId="1063603795">
    <w:abstractNumId w:val="1"/>
  </w:num>
  <w:num w:numId="11" w16cid:durableId="1926526127">
    <w:abstractNumId w:val="1"/>
  </w:num>
  <w:num w:numId="12" w16cid:durableId="1723168469">
    <w:abstractNumId w:val="6"/>
  </w:num>
  <w:num w:numId="13" w16cid:durableId="1506936024">
    <w:abstractNumId w:val="6"/>
  </w:num>
  <w:num w:numId="14" w16cid:durableId="2076273911">
    <w:abstractNumId w:val="1"/>
  </w:num>
  <w:num w:numId="15" w16cid:durableId="1330408011">
    <w:abstractNumId w:val="6"/>
  </w:num>
  <w:num w:numId="16" w16cid:durableId="1732583383">
    <w:abstractNumId w:val="3"/>
  </w:num>
  <w:num w:numId="17" w16cid:durableId="2097552513">
    <w:abstractNumId w:val="4"/>
  </w:num>
  <w:num w:numId="18" w16cid:durableId="646476697">
    <w:abstractNumId w:val="2"/>
  </w:num>
  <w:num w:numId="19" w16cid:durableId="1555309328">
    <w:abstractNumId w:val="5"/>
  </w:num>
  <w:num w:numId="20" w16cid:durableId="780690946">
    <w:abstractNumId w:val="1"/>
  </w:num>
  <w:num w:numId="21" w16cid:durableId="18166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73"/>
    <w:rsid w:val="00012D69"/>
    <w:rsid w:val="00036CBD"/>
    <w:rsid w:val="000701C1"/>
    <w:rsid w:val="00081C71"/>
    <w:rsid w:val="0019149C"/>
    <w:rsid w:val="001E1F73"/>
    <w:rsid w:val="0023086A"/>
    <w:rsid w:val="003575B1"/>
    <w:rsid w:val="00394FB0"/>
    <w:rsid w:val="004059F6"/>
    <w:rsid w:val="004214BB"/>
    <w:rsid w:val="00421BF3"/>
    <w:rsid w:val="004309B7"/>
    <w:rsid w:val="0055747C"/>
    <w:rsid w:val="00613FD9"/>
    <w:rsid w:val="007453DD"/>
    <w:rsid w:val="00756B44"/>
    <w:rsid w:val="00804C4B"/>
    <w:rsid w:val="00883682"/>
    <w:rsid w:val="008B0200"/>
    <w:rsid w:val="00B801D1"/>
    <w:rsid w:val="00B91DDB"/>
    <w:rsid w:val="00BB1248"/>
    <w:rsid w:val="00C27817"/>
    <w:rsid w:val="00C96201"/>
    <w:rsid w:val="00D051E7"/>
    <w:rsid w:val="00D35898"/>
    <w:rsid w:val="00D66BB3"/>
    <w:rsid w:val="00DC13A3"/>
    <w:rsid w:val="00DE0223"/>
    <w:rsid w:val="00E753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E536"/>
  <w15:chartTrackingRefBased/>
  <w15:docId w15:val="{14A28E6D-276A-4FD6-8D0B-C1D69BFB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6201"/>
    <w:pPr>
      <w:spacing w:after="0" w:line="240" w:lineRule="auto"/>
    </w:pPr>
    <w:rPr>
      <w:rFonts w:ascii="Arial" w:hAnsi="Arial" w:cs="Times New Roman"/>
      <w:sz w:val="20"/>
      <w:szCs w:val="20"/>
      <w:lang w:val="en-US"/>
    </w:rPr>
  </w:style>
  <w:style w:type="paragraph" w:styleId="Ttulo1">
    <w:name w:val="heading 1"/>
    <w:basedOn w:val="Textoindentado"/>
    <w:next w:val="Ttulo2"/>
    <w:link w:val="Ttulo1Car"/>
    <w:qFormat/>
    <w:rsid w:val="00C96201"/>
    <w:pPr>
      <w:keepNext/>
      <w:numPr>
        <w:numId w:val="20"/>
      </w:numPr>
      <w:spacing w:before="240"/>
      <w:outlineLvl w:val="0"/>
    </w:pPr>
    <w:rPr>
      <w:rFonts w:cs="Arial"/>
      <w:b/>
      <w:sz w:val="36"/>
    </w:rPr>
  </w:style>
  <w:style w:type="paragraph" w:styleId="Ttulo2">
    <w:name w:val="heading 2"/>
    <w:basedOn w:val="Textoindentado"/>
    <w:next w:val="Textoindentado"/>
    <w:link w:val="Ttulo2Car"/>
    <w:qFormat/>
    <w:rsid w:val="00C96201"/>
    <w:pPr>
      <w:keepNext/>
      <w:numPr>
        <w:ilvl w:val="1"/>
        <w:numId w:val="20"/>
      </w:numPr>
      <w:spacing w:after="60"/>
      <w:outlineLvl w:val="1"/>
    </w:pPr>
    <w:rPr>
      <w:b/>
      <w:sz w:val="28"/>
    </w:rPr>
  </w:style>
  <w:style w:type="paragraph" w:styleId="Ttulo3">
    <w:name w:val="heading 3"/>
    <w:basedOn w:val="Textoindependiente"/>
    <w:next w:val="Textoindentado"/>
    <w:link w:val="Ttulo3Car"/>
    <w:qFormat/>
    <w:rsid w:val="00C96201"/>
    <w:pPr>
      <w:keepNext/>
      <w:numPr>
        <w:ilvl w:val="2"/>
        <w:numId w:val="20"/>
      </w:numPr>
      <w:spacing w:after="60"/>
      <w:outlineLvl w:val="2"/>
    </w:pPr>
    <w:rPr>
      <w:rFonts w:cs="Arial"/>
      <w:sz w:val="24"/>
      <w:lang w:eastAsia="es-AR"/>
    </w:rPr>
  </w:style>
  <w:style w:type="paragraph" w:styleId="Ttulo4">
    <w:name w:val="heading 4"/>
    <w:basedOn w:val="Textoindentado"/>
    <w:next w:val="Textoindentado"/>
    <w:link w:val="Ttulo4Car"/>
    <w:qFormat/>
    <w:rsid w:val="00C96201"/>
    <w:pPr>
      <w:keepNext/>
      <w:outlineLvl w:val="3"/>
    </w:pPr>
    <w:rPr>
      <w:b/>
      <w:bCs/>
      <w:i/>
      <w:sz w:val="22"/>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ddressblock">
    <w:name w:val="Addressblock"/>
    <w:basedOn w:val="Normal"/>
    <w:qFormat/>
    <w:rsid w:val="00C96201"/>
    <w:pPr>
      <w:spacing w:line="288" w:lineRule="auto"/>
    </w:pPr>
    <w:rPr>
      <w:rFonts w:cs="Arial"/>
      <w:color w:val="7F7F7F"/>
      <w:sz w:val="13"/>
    </w:rPr>
  </w:style>
  <w:style w:type="paragraph" w:customStyle="1" w:styleId="Addressblockbold">
    <w:name w:val="Addressblock bold"/>
    <w:basedOn w:val="Normal"/>
    <w:qFormat/>
    <w:rsid w:val="00C96201"/>
    <w:pPr>
      <w:spacing w:line="288" w:lineRule="auto"/>
    </w:pPr>
    <w:rPr>
      <w:rFonts w:cs="Arial"/>
      <w:b/>
      <w:bCs/>
      <w:color w:val="808080"/>
      <w:sz w:val="14"/>
      <w:szCs w:val="12"/>
    </w:rPr>
  </w:style>
  <w:style w:type="paragraph" w:customStyle="1" w:styleId="Appendices">
    <w:name w:val="Appendices"/>
    <w:qFormat/>
    <w:rsid w:val="00C96201"/>
    <w:pPr>
      <w:spacing w:before="3600" w:after="0" w:line="240" w:lineRule="auto"/>
      <w:jc w:val="center"/>
    </w:pPr>
    <w:rPr>
      <w:rFonts w:ascii="Arial" w:hAnsi="Arial" w:cs="Times New Roman"/>
      <w:b/>
      <w:sz w:val="44"/>
      <w:szCs w:val="36"/>
      <w:lang w:val="en-CA"/>
    </w:rPr>
  </w:style>
  <w:style w:type="paragraph" w:styleId="Textoindependiente">
    <w:name w:val="Body Text"/>
    <w:basedOn w:val="Normal"/>
    <w:link w:val="TextoindependienteCar"/>
    <w:qFormat/>
    <w:rsid w:val="00C96201"/>
    <w:pPr>
      <w:spacing w:before="120" w:after="120"/>
    </w:pPr>
  </w:style>
  <w:style w:type="character" w:customStyle="1" w:styleId="TextoindependienteCar">
    <w:name w:val="Texto independiente Car"/>
    <w:link w:val="Textoindependiente"/>
    <w:rsid w:val="00C96201"/>
    <w:rPr>
      <w:rFonts w:ascii="Arial" w:hAnsi="Arial" w:cs="Times New Roman"/>
      <w:noProof/>
      <w:sz w:val="20"/>
      <w:szCs w:val="20"/>
      <w:lang w:val="es-ES_tradnl"/>
    </w:rPr>
  </w:style>
  <w:style w:type="paragraph" w:customStyle="1" w:styleId="AppendixHeading">
    <w:name w:val="Appendix Heading"/>
    <w:basedOn w:val="Textoindependiente"/>
    <w:next w:val="Textoindependiente"/>
    <w:qFormat/>
    <w:rsid w:val="00C96201"/>
    <w:pPr>
      <w:spacing w:before="3600"/>
      <w:jc w:val="center"/>
    </w:pPr>
    <w:rPr>
      <w:b/>
      <w:sz w:val="36"/>
      <w:szCs w:val="32"/>
    </w:rPr>
  </w:style>
  <w:style w:type="paragraph" w:customStyle="1" w:styleId="Textoindentado">
    <w:name w:val="Texto indentado"/>
    <w:basedOn w:val="Textoindependiente"/>
    <w:qFormat/>
    <w:rsid w:val="00C96201"/>
    <w:pPr>
      <w:ind w:left="720"/>
    </w:pPr>
  </w:style>
  <w:style w:type="character" w:customStyle="1" w:styleId="Ttulo1Car">
    <w:name w:val="Título 1 Car"/>
    <w:link w:val="Ttulo1"/>
    <w:rsid w:val="00C96201"/>
    <w:rPr>
      <w:rFonts w:ascii="Arial" w:hAnsi="Arial" w:cs="Arial"/>
      <w:b/>
      <w:noProof/>
      <w:sz w:val="36"/>
      <w:szCs w:val="20"/>
      <w:lang w:val="es-ES_tradnl"/>
    </w:rPr>
  </w:style>
  <w:style w:type="character" w:customStyle="1" w:styleId="Ttulo2Car">
    <w:name w:val="Título 2 Car"/>
    <w:link w:val="Ttulo2"/>
    <w:rsid w:val="00C96201"/>
    <w:rPr>
      <w:rFonts w:ascii="Arial" w:hAnsi="Arial" w:cs="Times New Roman"/>
      <w:b/>
      <w:noProof/>
      <w:sz w:val="28"/>
      <w:szCs w:val="20"/>
      <w:lang w:val="es-ES_tradnl"/>
    </w:rPr>
  </w:style>
  <w:style w:type="paragraph" w:customStyle="1" w:styleId="Appendixtitle1">
    <w:name w:val="Appendix title 1"/>
    <w:basedOn w:val="Ttulo1"/>
    <w:next w:val="Textoindentado"/>
    <w:rsid w:val="00C96201"/>
    <w:pPr>
      <w:numPr>
        <w:numId w:val="15"/>
      </w:numPr>
    </w:pPr>
  </w:style>
  <w:style w:type="paragraph" w:customStyle="1" w:styleId="Appendixtitle2">
    <w:name w:val="Appendix title 2"/>
    <w:basedOn w:val="Appendixtitle1"/>
    <w:next w:val="Textoindentado"/>
    <w:qFormat/>
    <w:rsid w:val="00C96201"/>
    <w:pPr>
      <w:numPr>
        <w:ilvl w:val="1"/>
      </w:numPr>
    </w:pPr>
    <w:rPr>
      <w:sz w:val="32"/>
    </w:rPr>
  </w:style>
  <w:style w:type="character" w:customStyle="1" w:styleId="Ttulo3Car">
    <w:name w:val="Título 3 Car"/>
    <w:link w:val="Ttulo3"/>
    <w:rsid w:val="00C96201"/>
    <w:rPr>
      <w:rFonts w:ascii="Arial" w:hAnsi="Arial" w:cs="Arial"/>
      <w:noProof/>
      <w:sz w:val="24"/>
      <w:szCs w:val="20"/>
      <w:lang w:val="es-ES_tradnl" w:eastAsia="es-AR"/>
    </w:rPr>
  </w:style>
  <w:style w:type="paragraph" w:customStyle="1" w:styleId="Appendixtitle3">
    <w:name w:val="Appendix title 3"/>
    <w:basedOn w:val="Ttulo3"/>
    <w:next w:val="Textoindentado"/>
    <w:rsid w:val="00C96201"/>
    <w:pPr>
      <w:numPr>
        <w:numId w:val="15"/>
      </w:numPr>
    </w:pPr>
  </w:style>
  <w:style w:type="paragraph" w:customStyle="1" w:styleId="BodyTextBox">
    <w:name w:val="Body Text Box"/>
    <w:basedOn w:val="Textoindependiente"/>
    <w:next w:val="Textoindependiente"/>
    <w:qFormat/>
    <w:rsid w:val="00C96201"/>
    <w:pPr>
      <w:pBdr>
        <w:top w:val="single" w:sz="4" w:space="6" w:color="auto"/>
        <w:left w:val="single" w:sz="4" w:space="6" w:color="auto"/>
        <w:bottom w:val="single" w:sz="4" w:space="6" w:color="auto"/>
        <w:right w:val="single" w:sz="4" w:space="6" w:color="auto"/>
      </w:pBdr>
      <w:ind w:left="720"/>
    </w:pPr>
    <w:rPr>
      <w:rFonts w:cs="Arial"/>
      <w:b/>
      <w:bCs/>
    </w:rPr>
  </w:style>
  <w:style w:type="paragraph" w:customStyle="1" w:styleId="Bullet1">
    <w:name w:val="Bullet 1"/>
    <w:basedOn w:val="Textoindependiente"/>
    <w:qFormat/>
    <w:rsid w:val="00C96201"/>
    <w:pPr>
      <w:numPr>
        <w:numId w:val="16"/>
      </w:numPr>
      <w:contextualSpacing/>
    </w:pPr>
  </w:style>
  <w:style w:type="paragraph" w:customStyle="1" w:styleId="Bullet2">
    <w:name w:val="Bullet 2"/>
    <w:basedOn w:val="Normal"/>
    <w:qFormat/>
    <w:rsid w:val="00C96201"/>
    <w:pPr>
      <w:numPr>
        <w:numId w:val="17"/>
      </w:numPr>
      <w:tabs>
        <w:tab w:val="left" w:pos="1440"/>
      </w:tabs>
      <w:contextualSpacing/>
    </w:pPr>
  </w:style>
  <w:style w:type="paragraph" w:customStyle="1" w:styleId="CaptionAppendix">
    <w:name w:val="Caption Appendix"/>
    <w:rsid w:val="00C96201"/>
    <w:pPr>
      <w:spacing w:after="360" w:line="240" w:lineRule="auto"/>
      <w:jc w:val="center"/>
    </w:pPr>
    <w:rPr>
      <w:rFonts w:ascii="Arial" w:hAnsi="Arial" w:cs="Arial"/>
      <w:sz w:val="32"/>
      <w:lang w:val="en-AU"/>
    </w:rPr>
  </w:style>
  <w:style w:type="paragraph" w:customStyle="1" w:styleId="PrelimHead2">
    <w:name w:val="Prelim Head 2"/>
    <w:basedOn w:val="Textoindependiente"/>
    <w:next w:val="Textoindependiente"/>
    <w:qFormat/>
    <w:rsid w:val="00C96201"/>
    <w:pPr>
      <w:spacing w:before="240"/>
      <w:ind w:left="709"/>
    </w:pPr>
    <w:rPr>
      <w:b/>
      <w:bCs/>
      <w:sz w:val="36"/>
    </w:rPr>
  </w:style>
  <w:style w:type="paragraph" w:customStyle="1" w:styleId="Contents">
    <w:name w:val="Contents"/>
    <w:basedOn w:val="PrelimHead2"/>
    <w:next w:val="Textoindentado"/>
    <w:qFormat/>
    <w:rsid w:val="00C96201"/>
  </w:style>
  <w:style w:type="paragraph" w:customStyle="1" w:styleId="Cover1">
    <w:name w:val="Cover 1"/>
    <w:basedOn w:val="Textoindependiente"/>
    <w:next w:val="Textoindependiente"/>
    <w:qFormat/>
    <w:rsid w:val="00C96201"/>
    <w:pPr>
      <w:spacing w:before="240"/>
    </w:pPr>
    <w:rPr>
      <w:b/>
      <w:bCs/>
      <w:sz w:val="48"/>
    </w:rPr>
  </w:style>
  <w:style w:type="paragraph" w:customStyle="1" w:styleId="Cover2">
    <w:name w:val="Cover 2"/>
    <w:basedOn w:val="Cover1"/>
    <w:next w:val="Textoindependiente"/>
    <w:qFormat/>
    <w:rsid w:val="00C96201"/>
    <w:rPr>
      <w:sz w:val="36"/>
    </w:rPr>
  </w:style>
  <w:style w:type="paragraph" w:customStyle="1" w:styleId="Cover3">
    <w:name w:val="Cover 3"/>
    <w:basedOn w:val="Cover1"/>
    <w:next w:val="Textoindependiente"/>
    <w:qFormat/>
    <w:rsid w:val="00C96201"/>
    <w:pPr>
      <w:spacing w:before="120"/>
    </w:pPr>
    <w:rPr>
      <w:bCs w:val="0"/>
      <w:sz w:val="24"/>
    </w:rPr>
  </w:style>
  <w:style w:type="paragraph" w:customStyle="1" w:styleId="Cover4">
    <w:name w:val="Cover 4"/>
    <w:basedOn w:val="Cover3"/>
    <w:rsid w:val="00C96201"/>
    <w:pPr>
      <w:spacing w:before="240" w:after="0" w:line="264" w:lineRule="auto"/>
      <w:contextualSpacing/>
    </w:pPr>
    <w:rPr>
      <w:b w:val="0"/>
      <w:sz w:val="20"/>
      <w:lang w:val="en-CA"/>
    </w:rPr>
  </w:style>
  <w:style w:type="paragraph" w:styleId="Descripcin">
    <w:name w:val="caption"/>
    <w:aliases w:val="Figure &amp; Table"/>
    <w:basedOn w:val="Textoindentado"/>
    <w:next w:val="Textoindentado"/>
    <w:qFormat/>
    <w:rsid w:val="00C96201"/>
    <w:pPr>
      <w:ind w:left="1872" w:hanging="1152"/>
    </w:pPr>
    <w:rPr>
      <w:b/>
      <w:bCs/>
    </w:rPr>
  </w:style>
  <w:style w:type="paragraph" w:customStyle="1" w:styleId="Sourcecaption">
    <w:name w:val="Source caption"/>
    <w:basedOn w:val="Textoindependiente"/>
    <w:link w:val="SourcecaptionChar"/>
    <w:rsid w:val="00C96201"/>
    <w:pPr>
      <w:spacing w:before="40"/>
      <w:ind w:left="720"/>
    </w:pPr>
    <w:rPr>
      <w:b/>
      <w:sz w:val="18"/>
      <w:szCs w:val="16"/>
    </w:rPr>
  </w:style>
  <w:style w:type="character" w:customStyle="1" w:styleId="SourcecaptionChar">
    <w:name w:val="Source caption Char"/>
    <w:link w:val="Sourcecaption"/>
    <w:rsid w:val="00C96201"/>
    <w:rPr>
      <w:rFonts w:ascii="Arial" w:hAnsi="Arial" w:cs="Times New Roman"/>
      <w:b/>
      <w:noProof/>
      <w:sz w:val="18"/>
      <w:szCs w:val="16"/>
      <w:lang w:val="es-ES_tradnl"/>
    </w:rPr>
  </w:style>
  <w:style w:type="paragraph" w:customStyle="1" w:styleId="Descripcin1">
    <w:name w:val="Descripción1"/>
    <w:basedOn w:val="Sourcecaption"/>
    <w:qFormat/>
    <w:rsid w:val="00C96201"/>
    <w:rPr>
      <w:sz w:val="20"/>
    </w:rPr>
  </w:style>
  <w:style w:type="paragraph" w:styleId="Encabezado">
    <w:name w:val="header"/>
    <w:basedOn w:val="Textoindentado"/>
    <w:link w:val="EncabezadoCar"/>
    <w:qFormat/>
    <w:rsid w:val="00C96201"/>
    <w:pPr>
      <w:pBdr>
        <w:bottom w:val="single" w:sz="6" w:space="1" w:color="auto"/>
      </w:pBdr>
      <w:tabs>
        <w:tab w:val="center" w:pos="4824"/>
        <w:tab w:val="right" w:pos="9648"/>
      </w:tabs>
    </w:pPr>
    <w:rPr>
      <w:rFonts w:cs="Arial"/>
      <w:sz w:val="16"/>
    </w:rPr>
  </w:style>
  <w:style w:type="character" w:customStyle="1" w:styleId="EncabezadoCar">
    <w:name w:val="Encabezado Car"/>
    <w:link w:val="Encabezado"/>
    <w:rsid w:val="00C96201"/>
    <w:rPr>
      <w:rFonts w:ascii="Arial" w:hAnsi="Arial" w:cs="Arial"/>
      <w:noProof/>
      <w:sz w:val="16"/>
      <w:szCs w:val="20"/>
      <w:lang w:val="es-ES_tradnl"/>
    </w:rPr>
  </w:style>
  <w:style w:type="paragraph" w:customStyle="1" w:styleId="FlyHead1">
    <w:name w:val="Fly Head 1"/>
    <w:basedOn w:val="Textoindependiente"/>
    <w:next w:val="Textoindependiente"/>
    <w:qFormat/>
    <w:rsid w:val="00C96201"/>
    <w:pPr>
      <w:spacing w:before="240"/>
      <w:ind w:left="709"/>
    </w:pPr>
    <w:rPr>
      <w:rFonts w:cs="Arial"/>
      <w:b/>
      <w:bCs/>
      <w:sz w:val="40"/>
    </w:rPr>
  </w:style>
  <w:style w:type="paragraph" w:customStyle="1" w:styleId="FlyHead2">
    <w:name w:val="Fly Head 2"/>
    <w:basedOn w:val="FlyHead1"/>
    <w:next w:val="Textoindependiente"/>
    <w:qFormat/>
    <w:rsid w:val="00C96201"/>
    <w:rPr>
      <w:sz w:val="28"/>
    </w:rPr>
  </w:style>
  <w:style w:type="paragraph" w:customStyle="1" w:styleId="FlyHead3">
    <w:name w:val="Fly Head 3"/>
    <w:basedOn w:val="FlyHead1"/>
    <w:next w:val="Textoindependiente"/>
    <w:qFormat/>
    <w:rsid w:val="00C96201"/>
    <w:pPr>
      <w:keepNext/>
      <w:tabs>
        <w:tab w:val="left" w:pos="-720"/>
      </w:tabs>
      <w:spacing w:before="0" w:after="0"/>
      <w:ind w:left="1440" w:hanging="720"/>
      <w:outlineLvl w:val="1"/>
    </w:pPr>
    <w:rPr>
      <w:bCs w:val="0"/>
      <w:sz w:val="24"/>
    </w:rPr>
  </w:style>
  <w:style w:type="paragraph" w:customStyle="1" w:styleId="FlyHead4">
    <w:name w:val="Fly Head 4"/>
    <w:basedOn w:val="FlyHead3"/>
    <w:rsid w:val="00C96201"/>
    <w:rPr>
      <w:b w:val="0"/>
    </w:rPr>
  </w:style>
  <w:style w:type="character" w:styleId="Hipervnculo">
    <w:name w:val="Hyperlink"/>
    <w:unhideWhenUsed/>
    <w:rsid w:val="00C96201"/>
    <w:rPr>
      <w:color w:val="0000FF"/>
      <w:u w:val="single"/>
    </w:rPr>
  </w:style>
  <w:style w:type="character" w:styleId="Mencionar">
    <w:name w:val="Mention"/>
    <w:basedOn w:val="Fuentedeprrafopredeter"/>
    <w:uiPriority w:val="99"/>
    <w:semiHidden/>
    <w:unhideWhenUsed/>
    <w:rsid w:val="00C96201"/>
    <w:rPr>
      <w:color w:val="2B579A"/>
      <w:shd w:val="clear" w:color="auto" w:fill="E6E6E6"/>
    </w:rPr>
  </w:style>
  <w:style w:type="paragraph" w:customStyle="1" w:styleId="Number1">
    <w:name w:val="Number 1"/>
    <w:basedOn w:val="Normal"/>
    <w:qFormat/>
    <w:rsid w:val="00C96201"/>
    <w:pPr>
      <w:numPr>
        <w:numId w:val="18"/>
      </w:numPr>
      <w:spacing w:before="120"/>
      <w:contextualSpacing/>
    </w:pPr>
  </w:style>
  <w:style w:type="paragraph" w:customStyle="1" w:styleId="Number2">
    <w:name w:val="Number 2"/>
    <w:basedOn w:val="Normal"/>
    <w:qFormat/>
    <w:rsid w:val="00C96201"/>
    <w:pPr>
      <w:numPr>
        <w:numId w:val="19"/>
      </w:numPr>
    </w:pPr>
  </w:style>
  <w:style w:type="paragraph" w:customStyle="1" w:styleId="Paragraphhead">
    <w:name w:val="Paragraph head"/>
    <w:basedOn w:val="Textoindependiente"/>
    <w:next w:val="Textoindependiente"/>
    <w:rsid w:val="00C96201"/>
    <w:pPr>
      <w:ind w:left="720"/>
    </w:pPr>
    <w:rPr>
      <w:b/>
    </w:rPr>
  </w:style>
  <w:style w:type="paragraph" w:styleId="Piedepgina">
    <w:name w:val="footer"/>
    <w:basedOn w:val="Textoindependiente"/>
    <w:link w:val="PiedepginaCar"/>
    <w:qFormat/>
    <w:rsid w:val="00C96201"/>
    <w:pPr>
      <w:pBdr>
        <w:top w:val="single" w:sz="6" w:space="1" w:color="auto"/>
      </w:pBdr>
      <w:tabs>
        <w:tab w:val="center" w:pos="4824"/>
        <w:tab w:val="right" w:pos="9648"/>
      </w:tabs>
    </w:pPr>
    <w:rPr>
      <w:sz w:val="12"/>
    </w:rPr>
  </w:style>
  <w:style w:type="character" w:customStyle="1" w:styleId="PiedepginaCar">
    <w:name w:val="Pie de página Car"/>
    <w:link w:val="Piedepgina"/>
    <w:rsid w:val="00C96201"/>
    <w:rPr>
      <w:rFonts w:ascii="Arial" w:hAnsi="Arial" w:cs="Times New Roman"/>
      <w:noProof/>
      <w:sz w:val="12"/>
      <w:szCs w:val="20"/>
      <w:lang w:val="es-ES_tradnl"/>
    </w:rPr>
  </w:style>
  <w:style w:type="paragraph" w:customStyle="1" w:styleId="PrelimHead3">
    <w:name w:val="Prelim Head 3"/>
    <w:basedOn w:val="PrelimHead2"/>
    <w:next w:val="Textoindependiente"/>
    <w:qFormat/>
    <w:rsid w:val="00C96201"/>
    <w:rPr>
      <w:rFonts w:cs="Arial"/>
      <w:bCs w:val="0"/>
      <w:sz w:val="28"/>
    </w:rPr>
  </w:style>
  <w:style w:type="character" w:customStyle="1" w:styleId="Ttulo4Car">
    <w:name w:val="Título 4 Car"/>
    <w:link w:val="Ttulo4"/>
    <w:rsid w:val="00C96201"/>
    <w:rPr>
      <w:rFonts w:ascii="Arial" w:hAnsi="Arial" w:cs="Times New Roman"/>
      <w:b/>
      <w:bCs/>
      <w:i/>
      <w:noProof/>
      <w:szCs w:val="28"/>
      <w:lang w:val="es-ES_tradnl"/>
    </w:rPr>
  </w:style>
  <w:style w:type="paragraph" w:customStyle="1" w:styleId="PreparedandReviewed">
    <w:name w:val="Prepared and Reviewed"/>
    <w:basedOn w:val="Ttulo4"/>
    <w:qFormat/>
    <w:rsid w:val="00C96201"/>
    <w:rPr>
      <w:bCs w:val="0"/>
    </w:rPr>
  </w:style>
  <w:style w:type="table" w:styleId="Tablaconcuadrcula">
    <w:name w:val="Table Grid"/>
    <w:basedOn w:val="Tablanormal"/>
    <w:rsid w:val="00C96201"/>
    <w:pPr>
      <w:spacing w:after="0" w:line="240" w:lineRule="auto"/>
    </w:pPr>
    <w:rPr>
      <w:rFonts w:ascii="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Textoindependiente"/>
    <w:next w:val="Textoindependiente"/>
    <w:autoRedefine/>
    <w:uiPriority w:val="99"/>
    <w:rsid w:val="00C96201"/>
    <w:pPr>
      <w:tabs>
        <w:tab w:val="right" w:pos="1418"/>
        <w:tab w:val="right" w:leader="dot" w:pos="9648"/>
      </w:tabs>
      <w:spacing w:before="0"/>
      <w:ind w:left="1985" w:hanging="1247"/>
    </w:pPr>
  </w:style>
  <w:style w:type="paragraph" w:customStyle="1" w:styleId="TableHeading">
    <w:name w:val="TableHeading"/>
    <w:basedOn w:val="Textoindependiente"/>
    <w:next w:val="Normal"/>
    <w:qFormat/>
    <w:rsid w:val="00C96201"/>
    <w:pPr>
      <w:spacing w:before="60" w:after="60"/>
    </w:pPr>
    <w:rPr>
      <w:b/>
    </w:rPr>
  </w:style>
  <w:style w:type="paragraph" w:customStyle="1" w:styleId="TableText">
    <w:name w:val="TableText"/>
    <w:basedOn w:val="Textoindependiente"/>
    <w:qFormat/>
    <w:rsid w:val="00C96201"/>
    <w:pPr>
      <w:spacing w:before="60" w:after="60"/>
      <w:ind w:left="144" w:right="144"/>
    </w:pPr>
    <w:rPr>
      <w:szCs w:val="22"/>
    </w:rPr>
  </w:style>
  <w:style w:type="paragraph" w:styleId="TDC1">
    <w:name w:val="toc 1"/>
    <w:basedOn w:val="Textoindependiente"/>
    <w:next w:val="TDC2"/>
    <w:uiPriority w:val="39"/>
    <w:rsid w:val="00C96201"/>
    <w:pPr>
      <w:tabs>
        <w:tab w:val="left" w:pos="1147"/>
        <w:tab w:val="right" w:leader="dot" w:pos="9648"/>
      </w:tabs>
      <w:spacing w:after="60"/>
      <w:ind w:left="1134" w:hanging="357"/>
    </w:pPr>
    <w:rPr>
      <w:b/>
      <w:sz w:val="24"/>
    </w:rPr>
  </w:style>
  <w:style w:type="paragraph" w:styleId="TDC2">
    <w:name w:val="toc 2"/>
    <w:basedOn w:val="Textoindependiente"/>
    <w:next w:val="Textoindependiente"/>
    <w:uiPriority w:val="39"/>
    <w:rsid w:val="00C96201"/>
    <w:pPr>
      <w:tabs>
        <w:tab w:val="left" w:pos="1290"/>
        <w:tab w:val="left" w:pos="1317"/>
        <w:tab w:val="right" w:leader="dot" w:pos="9648"/>
      </w:tabs>
      <w:spacing w:before="0" w:after="60"/>
      <w:ind w:left="1276" w:hanging="505"/>
    </w:pPr>
    <w:rPr>
      <w:sz w:val="22"/>
    </w:rPr>
  </w:style>
  <w:style w:type="paragraph" w:styleId="TDC3">
    <w:name w:val="toc 3"/>
    <w:basedOn w:val="Textoindependiente"/>
    <w:next w:val="Textoindependiente"/>
    <w:uiPriority w:val="39"/>
    <w:rsid w:val="00C96201"/>
    <w:pPr>
      <w:tabs>
        <w:tab w:val="left" w:pos="1843"/>
        <w:tab w:val="left" w:pos="1880"/>
        <w:tab w:val="right" w:leader="dot" w:pos="9648"/>
      </w:tabs>
      <w:spacing w:before="0" w:after="0"/>
      <w:ind w:left="1842" w:hanging="646"/>
    </w:pPr>
  </w:style>
  <w:style w:type="paragraph" w:styleId="TDC4">
    <w:name w:val="toc 4"/>
    <w:basedOn w:val="Normal"/>
    <w:next w:val="Normal"/>
    <w:autoRedefine/>
    <w:uiPriority w:val="39"/>
    <w:rsid w:val="00C96201"/>
    <w:pPr>
      <w:spacing w:after="100"/>
      <w:ind w:left="600"/>
    </w:pPr>
  </w:style>
  <w:style w:type="paragraph" w:styleId="TDC5">
    <w:name w:val="toc 5"/>
    <w:basedOn w:val="Normal"/>
    <w:next w:val="Normal"/>
    <w:autoRedefine/>
    <w:rsid w:val="00C96201"/>
    <w:pPr>
      <w:ind w:left="800"/>
    </w:pPr>
  </w:style>
  <w:style w:type="paragraph" w:styleId="TDC6">
    <w:name w:val="toc 6"/>
    <w:basedOn w:val="Normal"/>
    <w:next w:val="Normal"/>
    <w:autoRedefine/>
    <w:rsid w:val="00C96201"/>
    <w:pPr>
      <w:ind w:left="1000"/>
    </w:pPr>
  </w:style>
  <w:style w:type="paragraph" w:styleId="TDC7">
    <w:name w:val="toc 7"/>
    <w:basedOn w:val="Normal"/>
    <w:next w:val="Normal"/>
    <w:autoRedefine/>
    <w:rsid w:val="00C96201"/>
    <w:pPr>
      <w:ind w:left="1200"/>
    </w:pPr>
  </w:style>
  <w:style w:type="paragraph" w:styleId="TDC8">
    <w:name w:val="toc 8"/>
    <w:basedOn w:val="Normal"/>
    <w:next w:val="Normal"/>
    <w:autoRedefine/>
    <w:rsid w:val="00C96201"/>
    <w:pPr>
      <w:ind w:left="1400"/>
    </w:pPr>
  </w:style>
  <w:style w:type="paragraph" w:styleId="TDC9">
    <w:name w:val="toc 9"/>
    <w:basedOn w:val="Normal"/>
    <w:next w:val="Normal"/>
    <w:autoRedefine/>
    <w:rsid w:val="00C96201"/>
    <w:pPr>
      <w:spacing w:after="100"/>
      <w:ind w:left="1600"/>
    </w:pPr>
  </w:style>
  <w:style w:type="paragraph" w:styleId="Textodeglobo">
    <w:name w:val="Balloon Text"/>
    <w:basedOn w:val="Normal"/>
    <w:link w:val="TextodegloboCar"/>
    <w:qFormat/>
    <w:rsid w:val="00C96201"/>
    <w:rPr>
      <w:rFonts w:ascii="Lucida Grande" w:hAnsi="Lucida Grande" w:cs="Lucida Grande"/>
      <w:sz w:val="18"/>
      <w:szCs w:val="18"/>
    </w:rPr>
  </w:style>
  <w:style w:type="character" w:customStyle="1" w:styleId="TextodegloboCar">
    <w:name w:val="Texto de globo Car"/>
    <w:link w:val="Textodeglobo"/>
    <w:rsid w:val="00C96201"/>
    <w:rPr>
      <w:rFonts w:ascii="Lucida Grande" w:hAnsi="Lucida Grande" w:cs="Lucida Grande"/>
      <w:noProof/>
      <w:sz w:val="18"/>
      <w:szCs w:val="18"/>
      <w:lang w:val="es-ES_tradnl"/>
    </w:rPr>
  </w:style>
  <w:style w:type="paragraph" w:styleId="Ttulo">
    <w:name w:val="Title"/>
    <w:basedOn w:val="Textoindependiente"/>
    <w:next w:val="Textoindependiente"/>
    <w:link w:val="TtuloCar"/>
    <w:qFormat/>
    <w:rsid w:val="00C96201"/>
    <w:pPr>
      <w:spacing w:before="0" w:after="240"/>
      <w:jc w:val="center"/>
    </w:pPr>
    <w:rPr>
      <w:rFonts w:cs="Arial"/>
      <w:b/>
      <w:iCs/>
      <w:sz w:val="36"/>
      <w:szCs w:val="30"/>
    </w:rPr>
  </w:style>
  <w:style w:type="character" w:customStyle="1" w:styleId="TtuloCar">
    <w:name w:val="Título Car"/>
    <w:link w:val="Ttulo"/>
    <w:rsid w:val="00C96201"/>
    <w:rPr>
      <w:rFonts w:ascii="Arial" w:hAnsi="Arial" w:cs="Arial"/>
      <w:b/>
      <w:iCs/>
      <w:noProof/>
      <w:sz w:val="36"/>
      <w:szCs w:val="30"/>
      <w:lang w:val="es-ES_tradnl"/>
    </w:rPr>
  </w:style>
  <w:style w:type="paragraph" w:styleId="Prrafodelista">
    <w:name w:val="List Paragraph"/>
    <w:basedOn w:val="Normal"/>
    <w:uiPriority w:val="34"/>
    <w:qFormat/>
    <w:rsid w:val="000701C1"/>
    <w:pPr>
      <w:ind w:left="720"/>
      <w:contextualSpacing/>
    </w:pPr>
  </w:style>
  <w:style w:type="character" w:styleId="Mencinsinresolver">
    <w:name w:val="Unresolved Mention"/>
    <w:basedOn w:val="Fuentedeprrafopredeter"/>
    <w:uiPriority w:val="99"/>
    <w:semiHidden/>
    <w:unhideWhenUsed/>
    <w:rsid w:val="00BB1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37473">
      <w:bodyDiv w:val="1"/>
      <w:marLeft w:val="0"/>
      <w:marRight w:val="0"/>
      <w:marTop w:val="0"/>
      <w:marBottom w:val="0"/>
      <w:divBdr>
        <w:top w:val="none" w:sz="0" w:space="0" w:color="auto"/>
        <w:left w:val="none" w:sz="0" w:space="0" w:color="auto"/>
        <w:bottom w:val="none" w:sz="0" w:space="0" w:color="auto"/>
        <w:right w:val="none" w:sz="0" w:space="0" w:color="auto"/>
      </w:divBdr>
    </w:div>
    <w:div w:id="98508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tony.aguedo@pucp.edu.pe" TargetMode="External"/><Relationship Id="rId5" Type="http://schemas.openxmlformats.org/officeDocument/2006/relationships/hyperlink" Target="mailto:antony.aguedo@pucp.edu.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3</Pages>
  <Words>932</Words>
  <Characters>5132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Aguedo</dc:creator>
  <cp:keywords/>
  <dc:description/>
  <cp:lastModifiedBy>Aguedo A. Antony G.</cp:lastModifiedBy>
  <cp:revision>9</cp:revision>
  <dcterms:created xsi:type="dcterms:W3CDTF">2022-03-22T15:26:00Z</dcterms:created>
  <dcterms:modified xsi:type="dcterms:W3CDTF">2025-05-13T02:57:00Z</dcterms:modified>
</cp:coreProperties>
</file>