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B93E" w14:textId="0310CEAB" w:rsidR="005152C7" w:rsidRPr="005152C7" w:rsidRDefault="005152C7" w:rsidP="005152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52C7">
        <w:rPr>
          <w:rFonts w:ascii="Times New Roman" w:hAnsi="Times New Roman" w:cs="Times New Roman"/>
          <w:b/>
          <w:bCs/>
          <w:sz w:val="28"/>
          <w:szCs w:val="28"/>
        </w:rPr>
        <w:t xml:space="preserve">Gestión del Riesgo </w:t>
      </w:r>
      <w:r w:rsidRPr="005152C7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5152C7">
        <w:rPr>
          <w:rFonts w:ascii="Times New Roman" w:hAnsi="Times New Roman" w:cs="Times New Roman"/>
          <w:b/>
          <w:bCs/>
          <w:sz w:val="28"/>
          <w:szCs w:val="28"/>
        </w:rPr>
        <w:t xml:space="preserve">ísmico en </w:t>
      </w:r>
      <w:r w:rsidRPr="005152C7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5152C7">
        <w:rPr>
          <w:rFonts w:ascii="Times New Roman" w:hAnsi="Times New Roman" w:cs="Times New Roman"/>
          <w:b/>
          <w:bCs/>
          <w:sz w:val="28"/>
          <w:szCs w:val="28"/>
        </w:rPr>
        <w:t xml:space="preserve">peraciones </w:t>
      </w:r>
      <w:r w:rsidRPr="005152C7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5152C7">
        <w:rPr>
          <w:rFonts w:ascii="Times New Roman" w:hAnsi="Times New Roman" w:cs="Times New Roman"/>
          <w:b/>
          <w:bCs/>
          <w:sz w:val="28"/>
          <w:szCs w:val="28"/>
        </w:rPr>
        <w:t>ineras de altos esfuerzos</w:t>
      </w:r>
    </w:p>
    <w:p w14:paraId="7C5B96F9" w14:textId="77777777" w:rsidR="005152C7" w:rsidRPr="005152C7" w:rsidRDefault="005152C7">
      <w:pPr>
        <w:rPr>
          <w:rFonts w:ascii="Times New Roman" w:hAnsi="Times New Roman" w:cs="Times New Roman"/>
        </w:rPr>
      </w:pPr>
    </w:p>
    <w:p w14:paraId="10227736" w14:textId="486D7FF0" w:rsidR="005064D8" w:rsidRPr="005152C7" w:rsidRDefault="005152C7">
      <w:pPr>
        <w:rPr>
          <w:rFonts w:ascii="Times New Roman" w:hAnsi="Times New Roman" w:cs="Times New Roman"/>
        </w:rPr>
      </w:pPr>
      <w:r w:rsidRPr="005152C7">
        <w:rPr>
          <w:rFonts w:ascii="Times New Roman" w:hAnsi="Times New Roman" w:cs="Times New Roman"/>
        </w:rPr>
        <w:t>Cody </w:t>
      </w:r>
      <w:r w:rsidRPr="005152C7">
        <w:rPr>
          <w:rFonts w:ascii="Times New Roman" w:hAnsi="Times New Roman" w:cs="Times New Roman"/>
        </w:rPr>
        <w:t xml:space="preserve">Alfredo </w:t>
      </w:r>
      <w:r w:rsidRPr="005152C7">
        <w:rPr>
          <w:rFonts w:ascii="Times New Roman" w:hAnsi="Times New Roman" w:cs="Times New Roman"/>
        </w:rPr>
        <w:t>Gomez</w:t>
      </w:r>
      <w:r w:rsidRPr="005152C7">
        <w:rPr>
          <w:rFonts w:ascii="Times New Roman" w:hAnsi="Times New Roman" w:cs="Times New Roman"/>
        </w:rPr>
        <w:t xml:space="preserve"> Rozas</w:t>
      </w:r>
    </w:p>
    <w:p w14:paraId="31C1F440" w14:textId="36D5173E" w:rsidR="005152C7" w:rsidRPr="005152C7" w:rsidRDefault="005152C7">
      <w:pPr>
        <w:rPr>
          <w:rFonts w:ascii="Times New Roman" w:hAnsi="Times New Roman" w:cs="Times New Roman"/>
          <w:i/>
          <w:iCs/>
        </w:rPr>
      </w:pPr>
      <w:r w:rsidRPr="005152C7">
        <w:rPr>
          <w:rFonts w:ascii="Times New Roman" w:hAnsi="Times New Roman" w:cs="Times New Roman"/>
          <w:i/>
          <w:iCs/>
        </w:rPr>
        <w:t xml:space="preserve">Superintendente de Geomecánica </w:t>
      </w:r>
    </w:p>
    <w:p w14:paraId="6F7DFA0A" w14:textId="6285953F" w:rsidR="005152C7" w:rsidRPr="005152C7" w:rsidRDefault="005152C7">
      <w:pPr>
        <w:rPr>
          <w:rFonts w:ascii="Times New Roman" w:hAnsi="Times New Roman" w:cs="Times New Roman"/>
          <w:i/>
          <w:iCs/>
        </w:rPr>
      </w:pPr>
      <w:r w:rsidRPr="005152C7">
        <w:rPr>
          <w:rFonts w:ascii="Times New Roman" w:hAnsi="Times New Roman" w:cs="Times New Roman"/>
          <w:i/>
          <w:iCs/>
        </w:rPr>
        <w:t>Cía. Minera Raura</w:t>
      </w:r>
    </w:p>
    <w:p w14:paraId="5ED43A9B" w14:textId="77777777" w:rsidR="005152C7" w:rsidRDefault="005152C7">
      <w:pPr>
        <w:rPr>
          <w:rFonts w:ascii="Times New Roman" w:hAnsi="Times New Roman" w:cs="Times New Roman"/>
        </w:rPr>
      </w:pPr>
    </w:p>
    <w:p w14:paraId="3CB8C48B" w14:textId="77777777" w:rsidR="005152C7" w:rsidRDefault="005152C7">
      <w:pPr>
        <w:rPr>
          <w:rFonts w:ascii="Times New Roman" w:hAnsi="Times New Roman" w:cs="Times New Roman"/>
        </w:rPr>
      </w:pPr>
    </w:p>
    <w:p w14:paraId="6A9E5C82" w14:textId="0ED92DA5" w:rsidR="005152C7" w:rsidRDefault="005152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2C7">
        <w:rPr>
          <w:rFonts w:ascii="Times New Roman" w:hAnsi="Times New Roman" w:cs="Times New Roman"/>
          <w:b/>
          <w:bCs/>
          <w:sz w:val="24"/>
          <w:szCs w:val="24"/>
        </w:rPr>
        <w:t>Resumen</w:t>
      </w:r>
    </w:p>
    <w:p w14:paraId="121A07FC" w14:textId="37423ACB" w:rsidR="005D5A52" w:rsidRPr="005D5A52" w:rsidRDefault="005D5A52" w:rsidP="005D5A52">
      <w:pPr>
        <w:jc w:val="both"/>
        <w:rPr>
          <w:rFonts w:ascii="Times New Roman" w:hAnsi="Times New Roman" w:cs="Times New Roman"/>
          <w:szCs w:val="26"/>
        </w:rPr>
      </w:pPr>
      <w:r w:rsidRPr="005D5A52">
        <w:rPr>
          <w:rFonts w:ascii="Times New Roman" w:hAnsi="Times New Roman" w:cs="Times New Roman"/>
          <w:szCs w:val="26"/>
        </w:rPr>
        <w:t xml:space="preserve">La sismicidad inducida por minería en contextos de altos esfuerzos </w:t>
      </w:r>
      <w:r>
        <w:rPr>
          <w:rFonts w:ascii="Times New Roman" w:hAnsi="Times New Roman" w:cs="Times New Roman"/>
          <w:szCs w:val="26"/>
        </w:rPr>
        <w:t xml:space="preserve">no es un fenómeno extraño, desde hace más de 40 años se define como </w:t>
      </w:r>
      <w:r w:rsidRPr="005D5A52">
        <w:rPr>
          <w:rFonts w:ascii="Times New Roman" w:hAnsi="Times New Roman" w:cs="Times New Roman"/>
          <w:szCs w:val="26"/>
        </w:rPr>
        <w:t xml:space="preserve">un riesgo operativo relevante. En </w:t>
      </w:r>
      <w:r>
        <w:rPr>
          <w:rFonts w:ascii="Times New Roman" w:hAnsi="Times New Roman" w:cs="Times New Roman"/>
          <w:szCs w:val="26"/>
        </w:rPr>
        <w:t>Cía. Minera</w:t>
      </w:r>
      <w:r w:rsidRPr="005D5A52">
        <w:rPr>
          <w:rFonts w:ascii="Times New Roman" w:hAnsi="Times New Roman" w:cs="Times New Roman"/>
          <w:szCs w:val="26"/>
        </w:rPr>
        <w:t xml:space="preserve"> Raura, se ha identificado que los daños asociados a eventos sísmicos </w:t>
      </w:r>
      <w:r>
        <w:rPr>
          <w:rFonts w:ascii="Times New Roman" w:hAnsi="Times New Roman" w:cs="Times New Roman"/>
          <w:szCs w:val="26"/>
        </w:rPr>
        <w:t>se presentan co</w:t>
      </w:r>
      <w:r w:rsidRPr="005D5A52">
        <w:rPr>
          <w:rFonts w:ascii="Times New Roman" w:hAnsi="Times New Roman" w:cs="Times New Roman"/>
          <w:szCs w:val="26"/>
        </w:rPr>
        <w:t xml:space="preserve">mo </w:t>
      </w:r>
      <w:proofErr w:type="spellStart"/>
      <w:r w:rsidRPr="005D5A52">
        <w:rPr>
          <w:rFonts w:ascii="Times New Roman" w:hAnsi="Times New Roman" w:cs="Times New Roman"/>
          <w:i/>
          <w:iCs/>
          <w:szCs w:val="26"/>
        </w:rPr>
        <w:t>spalling</w:t>
      </w:r>
      <w:proofErr w:type="spellEnd"/>
      <w:r>
        <w:rPr>
          <w:rFonts w:ascii="Times New Roman" w:hAnsi="Times New Roman" w:cs="Times New Roman"/>
          <w:szCs w:val="26"/>
        </w:rPr>
        <w:t xml:space="preserve"> </w:t>
      </w:r>
      <w:r w:rsidRPr="005D5A52">
        <w:rPr>
          <w:rFonts w:ascii="Times New Roman" w:hAnsi="Times New Roman" w:cs="Times New Roman"/>
          <w:i/>
          <w:iCs/>
          <w:szCs w:val="26"/>
        </w:rPr>
        <w:t xml:space="preserve">y </w:t>
      </w:r>
      <w:r>
        <w:rPr>
          <w:rFonts w:ascii="Times New Roman" w:hAnsi="Times New Roman" w:cs="Times New Roman"/>
          <w:i/>
          <w:iCs/>
          <w:szCs w:val="26"/>
        </w:rPr>
        <w:t>deformación de excavaciones</w:t>
      </w:r>
      <w:r w:rsidRPr="005D5A52">
        <w:rPr>
          <w:rFonts w:ascii="Times New Roman" w:hAnsi="Times New Roman" w:cs="Times New Roman"/>
          <w:i/>
          <w:iCs/>
          <w:szCs w:val="26"/>
        </w:rPr>
        <w:t xml:space="preserve"> en zonas </w:t>
      </w:r>
      <w:r>
        <w:rPr>
          <w:rFonts w:ascii="Times New Roman" w:hAnsi="Times New Roman" w:cs="Times New Roman"/>
          <w:i/>
          <w:iCs/>
          <w:szCs w:val="26"/>
        </w:rPr>
        <w:t>previamente perturbadas</w:t>
      </w:r>
      <w:r>
        <w:rPr>
          <w:rFonts w:ascii="Times New Roman" w:hAnsi="Times New Roman" w:cs="Times New Roman"/>
          <w:szCs w:val="26"/>
        </w:rPr>
        <w:t xml:space="preserve"> y estos mecanismos </w:t>
      </w:r>
      <w:r w:rsidRPr="005D5A52">
        <w:rPr>
          <w:rFonts w:ascii="Times New Roman" w:hAnsi="Times New Roman" w:cs="Times New Roman"/>
          <w:szCs w:val="26"/>
        </w:rPr>
        <w:t xml:space="preserve">obedecen a una combinación de factores </w:t>
      </w:r>
      <w:r w:rsidR="003B6CD6">
        <w:rPr>
          <w:rFonts w:ascii="Times New Roman" w:hAnsi="Times New Roman" w:cs="Times New Roman"/>
          <w:szCs w:val="26"/>
        </w:rPr>
        <w:t xml:space="preserve">como el operativo, </w:t>
      </w:r>
      <w:r w:rsidRPr="005D5A52">
        <w:rPr>
          <w:rFonts w:ascii="Times New Roman" w:hAnsi="Times New Roman" w:cs="Times New Roman"/>
          <w:szCs w:val="26"/>
        </w:rPr>
        <w:t>geomecánicos y de diseño, los cuales deben ser controlados mediante una gestión integral del riesgo.</w:t>
      </w:r>
    </w:p>
    <w:p w14:paraId="0BB10FD0" w14:textId="619C988C" w:rsidR="005D5A52" w:rsidRPr="005D5A52" w:rsidRDefault="005D5A52" w:rsidP="005D5A52">
      <w:pPr>
        <w:jc w:val="both"/>
        <w:rPr>
          <w:rFonts w:ascii="Times New Roman" w:hAnsi="Times New Roman" w:cs="Times New Roman"/>
          <w:szCs w:val="26"/>
        </w:rPr>
      </w:pPr>
      <w:r w:rsidRPr="005D5A52">
        <w:rPr>
          <w:rFonts w:ascii="Times New Roman" w:hAnsi="Times New Roman" w:cs="Times New Roman"/>
          <w:szCs w:val="26"/>
        </w:rPr>
        <w:t xml:space="preserve">Durante el análisis de eventos con daño registrados en </w:t>
      </w:r>
      <w:r w:rsidR="003B6CD6">
        <w:rPr>
          <w:rFonts w:ascii="Times New Roman" w:hAnsi="Times New Roman" w:cs="Times New Roman"/>
          <w:szCs w:val="26"/>
        </w:rPr>
        <w:t>los últimos años (2021-2024)</w:t>
      </w:r>
      <w:r w:rsidRPr="005D5A52">
        <w:rPr>
          <w:rFonts w:ascii="Times New Roman" w:hAnsi="Times New Roman" w:cs="Times New Roman"/>
          <w:szCs w:val="26"/>
        </w:rPr>
        <w:t>, se ha evaluado su distribución espacial</w:t>
      </w:r>
      <w:r w:rsidR="003B6CD6">
        <w:rPr>
          <w:rFonts w:ascii="Times New Roman" w:hAnsi="Times New Roman" w:cs="Times New Roman"/>
          <w:szCs w:val="26"/>
        </w:rPr>
        <w:t xml:space="preserve"> de los eventos</w:t>
      </w:r>
      <w:r w:rsidRPr="005D5A52">
        <w:rPr>
          <w:rFonts w:ascii="Times New Roman" w:hAnsi="Times New Roman" w:cs="Times New Roman"/>
          <w:szCs w:val="26"/>
        </w:rPr>
        <w:t>, mecanismos de activación y correlación con la evolución de</w:t>
      </w:r>
      <w:r w:rsidR="003B6CD6">
        <w:rPr>
          <w:rFonts w:ascii="Times New Roman" w:hAnsi="Times New Roman" w:cs="Times New Roman"/>
          <w:szCs w:val="26"/>
        </w:rPr>
        <w:t xml:space="preserve"> </w:t>
      </w:r>
      <w:r w:rsidRPr="005D5A52">
        <w:rPr>
          <w:rFonts w:ascii="Times New Roman" w:hAnsi="Times New Roman" w:cs="Times New Roman"/>
          <w:szCs w:val="26"/>
        </w:rPr>
        <w:t>l</w:t>
      </w:r>
      <w:r w:rsidR="003B6CD6">
        <w:rPr>
          <w:rFonts w:ascii="Times New Roman" w:hAnsi="Times New Roman" w:cs="Times New Roman"/>
          <w:szCs w:val="26"/>
        </w:rPr>
        <w:t>os planes de</w:t>
      </w:r>
      <w:r w:rsidRPr="005D5A52">
        <w:rPr>
          <w:rFonts w:ascii="Times New Roman" w:hAnsi="Times New Roman" w:cs="Times New Roman"/>
          <w:szCs w:val="26"/>
        </w:rPr>
        <w:t xml:space="preserve"> minado. Esta información permitió establecer una zonificación preliminar de </w:t>
      </w:r>
      <w:r w:rsidR="003B6CD6">
        <w:rPr>
          <w:rFonts w:ascii="Times New Roman" w:hAnsi="Times New Roman" w:cs="Times New Roman"/>
          <w:szCs w:val="26"/>
        </w:rPr>
        <w:t>peligro sísmico</w:t>
      </w:r>
      <w:r w:rsidRPr="005D5A52">
        <w:rPr>
          <w:rFonts w:ascii="Times New Roman" w:hAnsi="Times New Roman" w:cs="Times New Roman"/>
          <w:szCs w:val="26"/>
        </w:rPr>
        <w:t xml:space="preserve">, útil para </w:t>
      </w:r>
      <w:r w:rsidR="003B6CD6">
        <w:rPr>
          <w:rFonts w:ascii="Times New Roman" w:hAnsi="Times New Roman" w:cs="Times New Roman"/>
          <w:szCs w:val="26"/>
        </w:rPr>
        <w:t xml:space="preserve">establecer secuencias de minado, ratios de producción, así como, </w:t>
      </w:r>
      <w:r w:rsidRPr="005D5A52">
        <w:rPr>
          <w:rFonts w:ascii="Times New Roman" w:hAnsi="Times New Roman" w:cs="Times New Roman"/>
          <w:szCs w:val="26"/>
        </w:rPr>
        <w:t>estrategias de sostenimiento</w:t>
      </w:r>
      <w:r w:rsidR="0039744C">
        <w:rPr>
          <w:rFonts w:ascii="Times New Roman" w:hAnsi="Times New Roman" w:cs="Times New Roman"/>
          <w:szCs w:val="26"/>
        </w:rPr>
        <w:t xml:space="preserve"> que permitan en una primera instancia </w:t>
      </w:r>
      <w:r w:rsidR="00D41B14">
        <w:rPr>
          <w:rFonts w:ascii="Times New Roman" w:hAnsi="Times New Roman" w:cs="Times New Roman"/>
          <w:szCs w:val="26"/>
        </w:rPr>
        <w:t>generar un ambiente seguro de trabajo y consecuentemente una continuidad operacional sostenida.</w:t>
      </w:r>
    </w:p>
    <w:p w14:paraId="1563AD78" w14:textId="571CD218" w:rsidR="005D5A52" w:rsidRPr="005D5A52" w:rsidRDefault="00AA3884" w:rsidP="005D5A52">
      <w:pPr>
        <w:jc w:val="both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>Para establecer esta zonificación</w:t>
      </w:r>
      <w:r w:rsidR="005D5A52" w:rsidRPr="005D5A52">
        <w:rPr>
          <w:rFonts w:ascii="Times New Roman" w:hAnsi="Times New Roman" w:cs="Times New Roman"/>
          <w:szCs w:val="26"/>
        </w:rPr>
        <w:t xml:space="preserve">, se ha modelado el comportamiento sísmico esperado para el </w:t>
      </w:r>
      <w:r>
        <w:rPr>
          <w:rFonts w:ascii="Times New Roman" w:hAnsi="Times New Roman" w:cs="Times New Roman"/>
          <w:szCs w:val="26"/>
        </w:rPr>
        <w:t>plan de producción del año</w:t>
      </w:r>
      <w:r w:rsidR="005D5A52" w:rsidRPr="005D5A52">
        <w:rPr>
          <w:rFonts w:ascii="Times New Roman" w:hAnsi="Times New Roman" w:cs="Times New Roman"/>
          <w:szCs w:val="26"/>
        </w:rPr>
        <w:t xml:space="preserve"> 2025 utilizando indicadores determinísticos y probabilísticos</w:t>
      </w:r>
      <w:r>
        <w:rPr>
          <w:rFonts w:ascii="Times New Roman" w:hAnsi="Times New Roman" w:cs="Times New Roman"/>
          <w:szCs w:val="26"/>
        </w:rPr>
        <w:t>, los cuales nos muestran que durante el año s</w:t>
      </w:r>
      <w:r w:rsidR="005D5A52" w:rsidRPr="005D5A52">
        <w:rPr>
          <w:rFonts w:ascii="Times New Roman" w:hAnsi="Times New Roman" w:cs="Times New Roman"/>
          <w:szCs w:val="26"/>
        </w:rPr>
        <w:t>e proyecta un incremento leve en la energía liberada mensualmente, con magnitudes</w:t>
      </w:r>
      <w:r w:rsidR="000F2C19">
        <w:rPr>
          <w:rFonts w:ascii="Times New Roman" w:hAnsi="Times New Roman" w:cs="Times New Roman"/>
          <w:szCs w:val="26"/>
        </w:rPr>
        <w:t xml:space="preserve"> momento</w:t>
      </w:r>
      <w:r w:rsidR="005D5A52" w:rsidRPr="005D5A52">
        <w:rPr>
          <w:rFonts w:ascii="Times New Roman" w:hAnsi="Times New Roman" w:cs="Times New Roman"/>
          <w:szCs w:val="26"/>
        </w:rPr>
        <w:t xml:space="preserve"> máximas probables del orden de 2.4</w:t>
      </w:r>
      <w:r w:rsidR="000F2C19">
        <w:rPr>
          <w:rFonts w:ascii="Times New Roman" w:hAnsi="Times New Roman" w:cs="Times New Roman"/>
          <w:szCs w:val="26"/>
        </w:rPr>
        <w:t xml:space="preserve">, a </w:t>
      </w:r>
      <w:r w:rsidR="005D5A52" w:rsidRPr="005D5A52">
        <w:rPr>
          <w:rFonts w:ascii="Times New Roman" w:hAnsi="Times New Roman" w:cs="Times New Roman"/>
          <w:szCs w:val="26"/>
        </w:rPr>
        <w:t xml:space="preserve">pesar de este pronóstico, el análisis de riesgo geomecánico mediante el índice FAR (Fatal </w:t>
      </w:r>
      <w:proofErr w:type="spellStart"/>
      <w:r w:rsidR="005D5A52" w:rsidRPr="005D5A52">
        <w:rPr>
          <w:rFonts w:ascii="Times New Roman" w:hAnsi="Times New Roman" w:cs="Times New Roman"/>
          <w:szCs w:val="26"/>
        </w:rPr>
        <w:t>Accident</w:t>
      </w:r>
      <w:proofErr w:type="spellEnd"/>
      <w:r w:rsidR="005D5A52" w:rsidRPr="005D5A52">
        <w:rPr>
          <w:rFonts w:ascii="Times New Roman" w:hAnsi="Times New Roman" w:cs="Times New Roman"/>
          <w:szCs w:val="26"/>
        </w:rPr>
        <w:t xml:space="preserve"> </w:t>
      </w:r>
      <w:proofErr w:type="spellStart"/>
      <w:r w:rsidR="005D5A52" w:rsidRPr="005D5A52">
        <w:rPr>
          <w:rFonts w:ascii="Times New Roman" w:hAnsi="Times New Roman" w:cs="Times New Roman"/>
          <w:szCs w:val="26"/>
        </w:rPr>
        <w:t>Risk</w:t>
      </w:r>
      <w:proofErr w:type="spellEnd"/>
      <w:r w:rsidR="005D5A52" w:rsidRPr="005D5A52">
        <w:rPr>
          <w:rFonts w:ascii="Times New Roman" w:hAnsi="Times New Roman" w:cs="Times New Roman"/>
          <w:szCs w:val="26"/>
        </w:rPr>
        <w:t xml:space="preserve">) indica que, </w:t>
      </w:r>
      <w:r w:rsidR="000F2C19">
        <w:rPr>
          <w:rFonts w:ascii="Times New Roman" w:hAnsi="Times New Roman" w:cs="Times New Roman"/>
          <w:szCs w:val="26"/>
        </w:rPr>
        <w:t>realizando ajustes al sistema de fortificación principal cómo</w:t>
      </w:r>
      <w:r w:rsidR="005D5A52" w:rsidRPr="005D5A52">
        <w:rPr>
          <w:rFonts w:ascii="Times New Roman" w:hAnsi="Times New Roman" w:cs="Times New Roman"/>
          <w:szCs w:val="26"/>
        </w:rPr>
        <w:t xml:space="preserve"> </w:t>
      </w:r>
      <w:r w:rsidR="000F2C19">
        <w:rPr>
          <w:rFonts w:ascii="Times New Roman" w:hAnsi="Times New Roman" w:cs="Times New Roman"/>
          <w:szCs w:val="26"/>
        </w:rPr>
        <w:t>anclajes y malla de sostenimiento</w:t>
      </w:r>
      <w:r w:rsidR="00C71954">
        <w:rPr>
          <w:rFonts w:ascii="Times New Roman" w:hAnsi="Times New Roman" w:cs="Times New Roman"/>
          <w:szCs w:val="26"/>
        </w:rPr>
        <w:t>, además de generar zonas de exclusión sísmica</w:t>
      </w:r>
      <w:r w:rsidR="005D5A52" w:rsidRPr="005D5A52">
        <w:rPr>
          <w:rFonts w:ascii="Times New Roman" w:hAnsi="Times New Roman" w:cs="Times New Roman"/>
          <w:szCs w:val="26"/>
        </w:rPr>
        <w:t xml:space="preserve"> </w:t>
      </w:r>
      <w:r w:rsidR="002F4B75">
        <w:rPr>
          <w:rFonts w:ascii="Times New Roman" w:hAnsi="Times New Roman" w:cs="Times New Roman"/>
          <w:szCs w:val="26"/>
        </w:rPr>
        <w:t>(</w:t>
      </w:r>
      <w:r w:rsidR="005D5A52" w:rsidRPr="005D5A52">
        <w:rPr>
          <w:rFonts w:ascii="Times New Roman" w:hAnsi="Times New Roman" w:cs="Times New Roman"/>
          <w:szCs w:val="26"/>
        </w:rPr>
        <w:t>zonas críticas</w:t>
      </w:r>
      <w:r w:rsidR="002F4B75">
        <w:rPr>
          <w:rFonts w:ascii="Times New Roman" w:hAnsi="Times New Roman" w:cs="Times New Roman"/>
          <w:szCs w:val="26"/>
        </w:rPr>
        <w:t>) para el personal</w:t>
      </w:r>
      <w:r w:rsidR="005D5A52" w:rsidRPr="005D5A52">
        <w:rPr>
          <w:rFonts w:ascii="Times New Roman" w:hAnsi="Times New Roman" w:cs="Times New Roman"/>
          <w:szCs w:val="26"/>
        </w:rPr>
        <w:t>, es posible mantener el riesgo dentro de los límites aceptables de la industria.</w:t>
      </w:r>
    </w:p>
    <w:p w14:paraId="44CCF0A7" w14:textId="77777777" w:rsidR="00FA50DE" w:rsidRDefault="005D5A52" w:rsidP="005D5A52">
      <w:pPr>
        <w:jc w:val="both"/>
        <w:rPr>
          <w:rFonts w:ascii="Times New Roman" w:hAnsi="Times New Roman" w:cs="Times New Roman"/>
          <w:szCs w:val="26"/>
        </w:rPr>
      </w:pPr>
      <w:r w:rsidRPr="005D5A52">
        <w:rPr>
          <w:rFonts w:ascii="Times New Roman" w:hAnsi="Times New Roman" w:cs="Times New Roman"/>
          <w:szCs w:val="26"/>
        </w:rPr>
        <w:t>Finalmente, se recomienda revisar la secuencia de minado</w:t>
      </w:r>
      <w:r w:rsidR="002F4B75">
        <w:rPr>
          <w:rFonts w:ascii="Times New Roman" w:hAnsi="Times New Roman" w:cs="Times New Roman"/>
          <w:szCs w:val="26"/>
        </w:rPr>
        <w:t xml:space="preserve"> de manera continua</w:t>
      </w:r>
      <w:r w:rsidRPr="005D5A52">
        <w:rPr>
          <w:rFonts w:ascii="Times New Roman" w:hAnsi="Times New Roman" w:cs="Times New Roman"/>
          <w:szCs w:val="26"/>
        </w:rPr>
        <w:t xml:space="preserve"> como medida clave para reducir el nivel de esfuerzo acumulado y, por </w:t>
      </w:r>
      <w:r w:rsidR="002F4B75">
        <w:rPr>
          <w:rFonts w:ascii="Times New Roman" w:hAnsi="Times New Roman" w:cs="Times New Roman"/>
          <w:szCs w:val="26"/>
        </w:rPr>
        <w:t>consiguiente</w:t>
      </w:r>
      <w:r w:rsidRPr="005D5A52">
        <w:rPr>
          <w:rFonts w:ascii="Times New Roman" w:hAnsi="Times New Roman" w:cs="Times New Roman"/>
          <w:szCs w:val="26"/>
        </w:rPr>
        <w:t>, el potencial de activación sísmica.</w:t>
      </w:r>
    </w:p>
    <w:p w14:paraId="2C029B07" w14:textId="13E49FA3" w:rsidR="005D5A52" w:rsidRPr="005D5A52" w:rsidRDefault="005D5A52" w:rsidP="005D5A52">
      <w:pPr>
        <w:jc w:val="both"/>
        <w:rPr>
          <w:rFonts w:ascii="Times New Roman" w:hAnsi="Times New Roman" w:cs="Times New Roman"/>
          <w:szCs w:val="26"/>
        </w:rPr>
      </w:pPr>
      <w:r w:rsidRPr="005D5A52">
        <w:rPr>
          <w:rFonts w:ascii="Times New Roman" w:hAnsi="Times New Roman" w:cs="Times New Roman"/>
          <w:szCs w:val="26"/>
        </w:rPr>
        <w:t xml:space="preserve"> Estas acciones permitirán mitigar riesgos, reducir la accidentabilidad y asegurar la continuidad operativa sin comprometer las metas de producción.</w:t>
      </w:r>
    </w:p>
    <w:p w14:paraId="40EB93AD" w14:textId="77777777" w:rsidR="005152C7" w:rsidRDefault="005152C7" w:rsidP="005152C7">
      <w:pPr>
        <w:jc w:val="both"/>
        <w:rPr>
          <w:rFonts w:ascii="Times New Roman" w:hAnsi="Times New Roman" w:cs="Times New Roman"/>
          <w:szCs w:val="26"/>
        </w:rPr>
      </w:pPr>
    </w:p>
    <w:p w14:paraId="33536609" w14:textId="77777777" w:rsidR="005152C7" w:rsidRPr="005152C7" w:rsidRDefault="005152C7" w:rsidP="005152C7">
      <w:pPr>
        <w:jc w:val="both"/>
        <w:rPr>
          <w:rFonts w:ascii="Times New Roman" w:hAnsi="Times New Roman" w:cs="Times New Roman"/>
          <w:szCs w:val="26"/>
        </w:rPr>
      </w:pPr>
    </w:p>
    <w:p w14:paraId="3FABEACB" w14:textId="77777777" w:rsidR="005152C7" w:rsidRPr="005152C7" w:rsidRDefault="005152C7">
      <w:pPr>
        <w:rPr>
          <w:rFonts w:ascii="Times New Roman" w:hAnsi="Times New Roman" w:cs="Times New Roman"/>
        </w:rPr>
      </w:pPr>
    </w:p>
    <w:p w14:paraId="1E6F1A96" w14:textId="77777777" w:rsidR="005152C7" w:rsidRPr="005152C7" w:rsidRDefault="005152C7">
      <w:pPr>
        <w:rPr>
          <w:rFonts w:ascii="Times New Roman" w:hAnsi="Times New Roman" w:cs="Times New Roman"/>
        </w:rPr>
      </w:pPr>
    </w:p>
    <w:sectPr w:rsidR="005152C7" w:rsidRPr="005152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umbh Sans">
    <w:altName w:val="Calibri"/>
    <w:charset w:val="00"/>
    <w:family w:val="auto"/>
    <w:pitch w:val="variable"/>
    <w:sig w:usb0="80000027" w:usb1="40000000" w:usb2="00000000" w:usb3="00000000" w:csb0="00000093" w:csb1="00000000"/>
  </w:font>
  <w:font w:name="Bai Jamjuree">
    <w:altName w:val="Browallia New"/>
    <w:charset w:val="00"/>
    <w:family w:val="auto"/>
    <w:pitch w:val="variable"/>
    <w:sig w:usb0="21000007" w:usb1="00000001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C7"/>
    <w:rsid w:val="000F2C19"/>
    <w:rsid w:val="001A7D10"/>
    <w:rsid w:val="002F4B75"/>
    <w:rsid w:val="0039744C"/>
    <w:rsid w:val="003B6CD6"/>
    <w:rsid w:val="005064D8"/>
    <w:rsid w:val="005152C7"/>
    <w:rsid w:val="005D5A52"/>
    <w:rsid w:val="008C231E"/>
    <w:rsid w:val="00957F14"/>
    <w:rsid w:val="00A95B45"/>
    <w:rsid w:val="00AA3884"/>
    <w:rsid w:val="00C71954"/>
    <w:rsid w:val="00D41B14"/>
    <w:rsid w:val="00F76638"/>
    <w:rsid w:val="00FA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D341C2"/>
  <w15:chartTrackingRefBased/>
  <w15:docId w15:val="{684274D3-B056-4F93-95DC-963899BD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5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2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2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2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2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2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2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2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2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2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2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2C7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5152C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152C7"/>
    <w:pPr>
      <w:spacing w:after="0" w:line="240" w:lineRule="auto"/>
      <w:jc w:val="both"/>
    </w:pPr>
    <w:rPr>
      <w:rFonts w:ascii="Kumbh Sans" w:hAnsi="Kumbh Sans" w:cs="Bai Jamjuree"/>
      <w:kern w:val="0"/>
      <w:sz w:val="20"/>
      <w:szCs w:val="20"/>
      <w:lang w:val="es-CL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152C7"/>
    <w:rPr>
      <w:rFonts w:ascii="Kumbh Sans" w:hAnsi="Kumbh Sans" w:cs="Bai Jamjuree"/>
      <w:kern w:val="0"/>
      <w:sz w:val="20"/>
      <w:szCs w:val="20"/>
      <w:lang w:val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353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8</cp:revision>
  <dcterms:created xsi:type="dcterms:W3CDTF">2025-04-08T02:03:00Z</dcterms:created>
  <dcterms:modified xsi:type="dcterms:W3CDTF">2025-04-08T03:31:00Z</dcterms:modified>
</cp:coreProperties>
</file>