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46FE6" w14:textId="1275B016" w:rsidR="003B3EA3" w:rsidRPr="00F400FD" w:rsidRDefault="00000000" w:rsidP="003B3EA3">
      <w:pPr>
        <w:pStyle w:val="Title"/>
        <w:jc w:val="center"/>
        <w:rPr>
          <w:rFonts w:ascii="Arial" w:hAnsi="Arial" w:cs="Arial"/>
          <w:color w:val="auto"/>
          <w:sz w:val="22"/>
          <w:szCs w:val="22"/>
          <w:lang w:val="es-PE"/>
        </w:rPr>
      </w:pPr>
      <w:r w:rsidRPr="00F400FD">
        <w:rPr>
          <w:rFonts w:ascii="Arial" w:hAnsi="Arial" w:cs="Arial"/>
          <w:color w:val="auto"/>
          <w:sz w:val="22"/>
          <w:szCs w:val="22"/>
          <w:lang w:val="es-PE"/>
        </w:rPr>
        <w:t>Impacto de un Arancel del 10 % en las Exportaciones de Cobre Peruano</w:t>
      </w:r>
    </w:p>
    <w:p w14:paraId="48A765B8" w14:textId="77777777" w:rsidR="003B3EA3" w:rsidRPr="00F400FD" w:rsidRDefault="003B3EA3" w:rsidP="003B3EA3">
      <w:pPr>
        <w:pStyle w:val="Title"/>
        <w:jc w:val="center"/>
        <w:rPr>
          <w:rFonts w:ascii="Arial" w:hAnsi="Arial" w:cs="Arial"/>
          <w:color w:val="auto"/>
          <w:sz w:val="22"/>
          <w:szCs w:val="22"/>
          <w:lang w:val="es-PE"/>
        </w:rPr>
      </w:pPr>
    </w:p>
    <w:p w14:paraId="3AF069D4" w14:textId="43BD538E" w:rsidR="003B3EA3" w:rsidRPr="00F400FD" w:rsidRDefault="003B3EA3" w:rsidP="003B3EA3">
      <w:pPr>
        <w:pStyle w:val="Title"/>
        <w:jc w:val="center"/>
        <w:rPr>
          <w:rFonts w:ascii="Arial" w:hAnsi="Arial" w:cs="Arial"/>
          <w:color w:val="auto"/>
          <w:sz w:val="22"/>
          <w:szCs w:val="22"/>
          <w:lang w:val="es-PE"/>
        </w:rPr>
      </w:pPr>
      <w:r w:rsidRPr="00F400FD">
        <w:rPr>
          <w:rFonts w:ascii="Arial" w:hAnsi="Arial" w:cs="Arial"/>
          <w:color w:val="auto"/>
          <w:sz w:val="22"/>
          <w:szCs w:val="22"/>
          <w:lang w:val="es-PE"/>
        </w:rPr>
        <w:t>(Regulación y Economía Minera – Incidencia tributaria en las distintas fases de un Proyecto Minero)</w:t>
      </w:r>
      <w:r w:rsidR="00F400FD">
        <w:rPr>
          <w:rFonts w:ascii="Arial" w:hAnsi="Arial" w:cs="Arial"/>
          <w:color w:val="auto"/>
          <w:sz w:val="22"/>
          <w:szCs w:val="22"/>
          <w:lang w:val="es-PE"/>
        </w:rPr>
        <w:br/>
      </w:r>
    </w:p>
    <w:p w14:paraId="3418C3DB" w14:textId="4C239CFE" w:rsidR="003B3EA3" w:rsidRPr="003B3EA3" w:rsidRDefault="003B3EA3" w:rsidP="003B3EA3">
      <w:pPr>
        <w:jc w:val="center"/>
        <w:rPr>
          <w:b/>
          <w:bCs/>
          <w:lang w:val="es-PE"/>
        </w:rPr>
      </w:pPr>
      <w:r w:rsidRPr="003B3EA3">
        <w:rPr>
          <w:b/>
          <w:bCs/>
          <w:lang w:val="es-PE"/>
        </w:rPr>
        <w:t>Brian David Pajares Correa¹</w:t>
      </w:r>
    </w:p>
    <w:p w14:paraId="351E7A3B" w14:textId="77777777" w:rsidR="003B3EA3" w:rsidRPr="007D4C81" w:rsidRDefault="003B3EA3" w:rsidP="003B3EA3">
      <w:pPr>
        <w:jc w:val="center"/>
        <w:rPr>
          <w:lang w:val="es-PE"/>
        </w:rPr>
      </w:pPr>
      <w:r w:rsidRPr="007D4C81">
        <w:rPr>
          <w:lang w:val="es-PE"/>
        </w:rPr>
        <w:t>¹ Independiente, Jr. Juan Pablo II 265, Cajamarca, Perú (brian.d.pajares@gmail.com; +51 988 808 110)</w:t>
      </w:r>
    </w:p>
    <w:p w14:paraId="054ECBE3" w14:textId="5E2D760B" w:rsidR="003B3EA3" w:rsidRPr="003B3EA3" w:rsidRDefault="003B3EA3" w:rsidP="003B3EA3">
      <w:pPr>
        <w:rPr>
          <w:lang w:val="es-PE"/>
        </w:rPr>
      </w:pPr>
      <w:r w:rsidRPr="007D4C81">
        <w:rPr>
          <w:lang w:val="es-PE"/>
        </w:rPr>
        <w:t>______________________________________________________________________________________________</w:t>
      </w:r>
    </w:p>
    <w:p w14:paraId="221C1A8A" w14:textId="77777777" w:rsidR="003B3EA3" w:rsidRDefault="003B3EA3">
      <w:pPr>
        <w:pStyle w:val="Heading1"/>
        <w:rPr>
          <w:rFonts w:ascii="Arial" w:hAnsi="Arial" w:cs="Arial"/>
          <w:sz w:val="22"/>
          <w:szCs w:val="22"/>
          <w:lang w:val="es-PE"/>
        </w:rPr>
        <w:sectPr w:rsidR="003B3EA3" w:rsidSect="00034616">
          <w:pgSz w:w="12240" w:h="15840"/>
          <w:pgMar w:top="1440" w:right="1800" w:bottom="1440" w:left="1800" w:header="720" w:footer="720" w:gutter="0"/>
          <w:cols w:space="720"/>
          <w:docGrid w:linePitch="360"/>
        </w:sectPr>
      </w:pPr>
    </w:p>
    <w:p w14:paraId="5E58A5A5" w14:textId="77777777" w:rsidR="002E350E" w:rsidRPr="009B4C89" w:rsidRDefault="00000000" w:rsidP="00F400FD">
      <w:pPr>
        <w:pStyle w:val="Heading1"/>
        <w:spacing w:line="240" w:lineRule="auto"/>
        <w:ind w:left="-900" w:firstLine="180"/>
        <w:rPr>
          <w:rFonts w:ascii="Arial" w:hAnsi="Arial" w:cs="Arial"/>
          <w:sz w:val="22"/>
          <w:szCs w:val="22"/>
          <w:lang w:val="es-PE"/>
        </w:rPr>
      </w:pPr>
      <w:r w:rsidRPr="003B3EA3">
        <w:rPr>
          <w:rFonts w:ascii="Arial" w:hAnsi="Arial" w:cs="Arial"/>
          <w:sz w:val="22"/>
          <w:szCs w:val="22"/>
          <w:lang w:val="es-PE"/>
        </w:rPr>
        <w:t>RESUMEN</w:t>
      </w:r>
    </w:p>
    <w:p w14:paraId="151C1D5B" w14:textId="1BA35562" w:rsidR="003B3EA3" w:rsidRPr="009B4C89" w:rsidRDefault="003B3EA3" w:rsidP="009B4C89">
      <w:pPr>
        <w:spacing w:line="240" w:lineRule="auto"/>
        <w:ind w:left="-720"/>
        <w:jc w:val="both"/>
        <w:rPr>
          <w:rFonts w:cs="Arial"/>
          <w:b/>
          <w:bCs/>
          <w:lang w:val="es-PE"/>
        </w:rPr>
      </w:pPr>
      <w:r w:rsidRPr="003B3EA3">
        <w:rPr>
          <w:rFonts w:cs="Arial"/>
          <w:b/>
          <w:bCs/>
          <w:lang w:val="es-PE"/>
        </w:rPr>
        <w:t>El presente estudio evalúa el impacto de un arancel del 10 % sobre las exportaciones de cobre del Perú a los Estados Unidos mediante un enfoque exclusivamente numérico que combina (i) simulación Monte Carlo de 10 000 réplicas, (</w:t>
      </w:r>
      <w:proofErr w:type="spellStart"/>
      <w:r w:rsidRPr="003B3EA3">
        <w:rPr>
          <w:rFonts w:cs="Arial"/>
          <w:b/>
          <w:bCs/>
          <w:lang w:val="es-PE"/>
        </w:rPr>
        <w:t>ii</w:t>
      </w:r>
      <w:proofErr w:type="spellEnd"/>
      <w:r w:rsidRPr="003B3EA3">
        <w:rPr>
          <w:rFonts w:cs="Arial"/>
          <w:b/>
          <w:bCs/>
          <w:lang w:val="es-PE"/>
        </w:rPr>
        <w:t>) análisis de sensibilidad cambiario-operativo y (</w:t>
      </w:r>
      <w:proofErr w:type="spellStart"/>
      <w:r w:rsidRPr="003B3EA3">
        <w:rPr>
          <w:rFonts w:cs="Arial"/>
          <w:b/>
          <w:bCs/>
          <w:lang w:val="es-PE"/>
        </w:rPr>
        <w:t>iii</w:t>
      </w:r>
      <w:proofErr w:type="spellEnd"/>
      <w:r w:rsidRPr="003B3EA3">
        <w:rPr>
          <w:rFonts w:cs="Arial"/>
          <w:b/>
          <w:bCs/>
          <w:lang w:val="es-PE"/>
        </w:rPr>
        <w:t xml:space="preserve">) proyección fiscal dinámica. Los resultados indican una reducción promedio de 9,7 % en los ingresos netos de exportación (NER), con una afectación más severa en operaciones de menor escala (-12,4 %) debido a menores economías de escala y poder de negociación logístico. Si el PEN se aprecia 5 % adicionales, la pérdida de competitividad se amplía a 14 %; en contraste, mejoras operativas que reduzcan costos en 4 % atenúan el impacto a -5,6 %. El efecto fiscal negativo alcanzaría 134 M US$/año en canon y regalías, comprometiendo programas de infraestructura y desarrollo social en regiones </w:t>
      </w:r>
      <w:r w:rsidR="009A750F" w:rsidRPr="009B4C89">
        <w:rPr>
          <w:rFonts w:cs="Arial"/>
          <w:b/>
          <w:bCs/>
          <w:lang w:val="es-PE"/>
        </w:rPr>
        <w:t>altoandinas</w:t>
      </w:r>
      <w:r w:rsidRPr="003B3EA3">
        <w:rPr>
          <w:rFonts w:cs="Arial"/>
          <w:b/>
          <w:bCs/>
          <w:lang w:val="es-PE"/>
        </w:rPr>
        <w:t>. El modelo de decisión de inversión incorporado en la simulación prevé que, bajo el escenario de arancel y apreciación cambiaria, un 37,8 % de los proyectos de expansión nacionales entraría en estado de suspensión, desplazando capital hacia jurisdicciones con acuerdos comerciales más favorables. Sin un esquema de mitigación—por ejemplo, créditos tributarios vinculados a eficiencia energética y contenido local—el arancel propuesto reduciría la competitividad sistémica del sector minero peruano y generaría efectos regresivos sobre la recaudación y el desarrollo regional.</w:t>
      </w:r>
    </w:p>
    <w:p w14:paraId="2F46B937" w14:textId="62DEEBB3" w:rsidR="002E350E" w:rsidRPr="009B4C89" w:rsidRDefault="00000000" w:rsidP="00F400FD">
      <w:pPr>
        <w:pStyle w:val="Heading1"/>
        <w:numPr>
          <w:ilvl w:val="0"/>
          <w:numId w:val="20"/>
        </w:numPr>
        <w:spacing w:line="240" w:lineRule="auto"/>
        <w:rPr>
          <w:rFonts w:ascii="Arial" w:hAnsi="Arial" w:cs="Arial"/>
          <w:sz w:val="22"/>
          <w:szCs w:val="22"/>
          <w:lang w:val="es-PE"/>
        </w:rPr>
      </w:pPr>
      <w:r w:rsidRPr="009B4C89">
        <w:rPr>
          <w:rFonts w:ascii="Arial" w:hAnsi="Arial" w:cs="Arial"/>
          <w:sz w:val="22"/>
          <w:szCs w:val="22"/>
          <w:lang w:val="es-PE"/>
        </w:rPr>
        <w:t>Introducción</w:t>
      </w:r>
    </w:p>
    <w:p w14:paraId="70E024BD" w14:textId="77777777" w:rsidR="00A12EC5" w:rsidRPr="00A12EC5" w:rsidRDefault="00A12EC5" w:rsidP="009B4C89">
      <w:pPr>
        <w:spacing w:line="240" w:lineRule="auto"/>
        <w:ind w:left="-360"/>
        <w:jc w:val="both"/>
        <w:rPr>
          <w:rFonts w:cs="Arial"/>
          <w:lang w:val="es-PE"/>
        </w:rPr>
      </w:pPr>
      <w:r w:rsidRPr="00A12EC5">
        <w:rPr>
          <w:rFonts w:cs="Arial"/>
          <w:lang w:val="es-PE"/>
        </w:rPr>
        <w:t xml:space="preserve">El cobre constituye aproximadamente el </w:t>
      </w:r>
      <w:r w:rsidRPr="00A12EC5">
        <w:rPr>
          <w:rFonts w:cs="Arial"/>
          <w:b/>
          <w:bCs/>
          <w:lang w:val="es-PE"/>
        </w:rPr>
        <w:t>30 % del valor de las exportaciones peruanas</w:t>
      </w:r>
      <w:r w:rsidRPr="00A12EC5">
        <w:rPr>
          <w:rFonts w:cs="Arial"/>
          <w:lang w:val="es-PE"/>
        </w:rPr>
        <w:t xml:space="preserve"> y, por ende, es un determinante crítico de la balanza comercial, la recaudación fiscal y el financiamiento de programas de desarrollo regional. En este contexto, la propuesta de aplicar un </w:t>
      </w:r>
      <w:r w:rsidRPr="00A12EC5">
        <w:rPr>
          <w:rFonts w:cs="Arial"/>
          <w:b/>
          <w:bCs/>
          <w:lang w:val="es-PE"/>
        </w:rPr>
        <w:t>arancel específico del 10 %</w:t>
      </w:r>
      <w:r w:rsidRPr="00A12EC5">
        <w:rPr>
          <w:rFonts w:cs="Arial"/>
          <w:lang w:val="es-PE"/>
        </w:rPr>
        <w:t xml:space="preserve"> a las importaciones estadounidenses de cátodos y concentrados peruanos representa un shock potencialmente disruptivo para la competitividad del sector y para la economía nacional en su conjunto.</w:t>
      </w:r>
    </w:p>
    <w:p w14:paraId="61EE49CA" w14:textId="77777777" w:rsidR="00A12EC5" w:rsidRPr="00A12EC5" w:rsidRDefault="00A12EC5" w:rsidP="009B4C89">
      <w:pPr>
        <w:spacing w:line="240" w:lineRule="auto"/>
        <w:ind w:left="-360"/>
        <w:jc w:val="both"/>
        <w:rPr>
          <w:rFonts w:cs="Arial"/>
          <w:lang w:val="es-PE"/>
        </w:rPr>
      </w:pPr>
      <w:r w:rsidRPr="00A12EC5">
        <w:rPr>
          <w:rFonts w:cs="Arial"/>
          <w:lang w:val="es-PE"/>
        </w:rPr>
        <w:t xml:space="preserve">Diversos organismos —entre ellos la </w:t>
      </w:r>
      <w:r w:rsidRPr="00A12EC5">
        <w:rPr>
          <w:rFonts w:cs="Arial"/>
          <w:b/>
          <w:bCs/>
          <w:lang w:val="es-PE"/>
        </w:rPr>
        <w:t>UNCTAD (2024)</w:t>
      </w:r>
      <w:r w:rsidRPr="00A12EC5">
        <w:rPr>
          <w:rFonts w:cs="Arial"/>
          <w:lang w:val="es-PE"/>
        </w:rPr>
        <w:t xml:space="preserve"> y el </w:t>
      </w:r>
      <w:r w:rsidRPr="00A12EC5">
        <w:rPr>
          <w:rFonts w:cs="Arial"/>
          <w:b/>
          <w:bCs/>
          <w:lang w:val="es-PE"/>
        </w:rPr>
        <w:t>Banco Central de Reserva del Perú (2025)</w:t>
      </w:r>
      <w:r w:rsidRPr="00A12EC5">
        <w:rPr>
          <w:rFonts w:cs="Arial"/>
          <w:lang w:val="es-PE"/>
        </w:rPr>
        <w:t>— han advertido que shocks arancelarios reducen los márgenes operativos, incrementan el costo de capital y desalientan los flujos de inversión extranjera directa. Sin embargo, la literatura disponible adolece de tres limitaciones clave:</w:t>
      </w:r>
    </w:p>
    <w:p w14:paraId="0D91B037" w14:textId="77777777" w:rsidR="00A12EC5" w:rsidRPr="00A12EC5" w:rsidRDefault="00A12EC5" w:rsidP="009B4C89">
      <w:pPr>
        <w:numPr>
          <w:ilvl w:val="0"/>
          <w:numId w:val="10"/>
        </w:numPr>
        <w:spacing w:line="240" w:lineRule="auto"/>
        <w:ind w:left="-360"/>
        <w:jc w:val="both"/>
        <w:rPr>
          <w:rFonts w:cs="Arial"/>
          <w:lang w:val="es-PE"/>
        </w:rPr>
      </w:pPr>
      <w:r w:rsidRPr="00A12EC5">
        <w:rPr>
          <w:rFonts w:cs="Arial"/>
          <w:lang w:val="es-PE"/>
        </w:rPr>
        <w:t xml:space="preserve">Modela los efectos a nivel agregado sin distinguir entre </w:t>
      </w:r>
      <w:r w:rsidRPr="00A12EC5">
        <w:rPr>
          <w:rFonts w:cs="Arial"/>
          <w:b/>
          <w:bCs/>
          <w:lang w:val="es-PE"/>
        </w:rPr>
        <w:t>operaciones de distinta escala y curva de costos</w:t>
      </w:r>
      <w:r w:rsidRPr="00A12EC5">
        <w:rPr>
          <w:rFonts w:cs="Arial"/>
          <w:lang w:val="es-PE"/>
        </w:rPr>
        <w:t>.</w:t>
      </w:r>
    </w:p>
    <w:p w14:paraId="2921DBB0" w14:textId="77777777" w:rsidR="00A12EC5" w:rsidRPr="00A12EC5" w:rsidRDefault="00A12EC5" w:rsidP="009B4C89">
      <w:pPr>
        <w:numPr>
          <w:ilvl w:val="0"/>
          <w:numId w:val="10"/>
        </w:numPr>
        <w:spacing w:line="240" w:lineRule="auto"/>
        <w:ind w:left="-360"/>
        <w:jc w:val="both"/>
        <w:rPr>
          <w:rFonts w:cs="Arial"/>
          <w:lang w:val="es-PE"/>
        </w:rPr>
      </w:pPr>
      <w:r w:rsidRPr="00A12EC5">
        <w:rPr>
          <w:rFonts w:cs="Arial"/>
          <w:lang w:val="es-PE"/>
        </w:rPr>
        <w:t xml:space="preserve">Subestima la interacción entre </w:t>
      </w:r>
      <w:r w:rsidRPr="00A12EC5">
        <w:rPr>
          <w:rFonts w:cs="Arial"/>
          <w:b/>
          <w:bCs/>
          <w:lang w:val="es-PE"/>
        </w:rPr>
        <w:t>variaciones cambiarias</w:t>
      </w:r>
      <w:r w:rsidRPr="00A12EC5">
        <w:rPr>
          <w:rFonts w:cs="Arial"/>
          <w:lang w:val="es-PE"/>
        </w:rPr>
        <w:t xml:space="preserve"> y </w:t>
      </w:r>
      <w:r w:rsidRPr="00A12EC5">
        <w:rPr>
          <w:rFonts w:cs="Arial"/>
          <w:b/>
          <w:bCs/>
          <w:lang w:val="es-PE"/>
        </w:rPr>
        <w:t>eficiencias operativas</w:t>
      </w:r>
      <w:r w:rsidRPr="00A12EC5">
        <w:rPr>
          <w:rFonts w:cs="Arial"/>
          <w:lang w:val="es-PE"/>
        </w:rPr>
        <w:t>, factores que modulan la transmisión del arancel al flujo de caja.</w:t>
      </w:r>
    </w:p>
    <w:p w14:paraId="12F5C123" w14:textId="77777777" w:rsidR="00A12EC5" w:rsidRPr="00A12EC5" w:rsidRDefault="00A12EC5" w:rsidP="009B4C89">
      <w:pPr>
        <w:numPr>
          <w:ilvl w:val="0"/>
          <w:numId w:val="10"/>
        </w:numPr>
        <w:spacing w:line="240" w:lineRule="auto"/>
        <w:ind w:left="-360"/>
        <w:jc w:val="both"/>
        <w:rPr>
          <w:rFonts w:cs="Arial"/>
          <w:lang w:val="es-PE"/>
        </w:rPr>
      </w:pPr>
      <w:r w:rsidRPr="00A12EC5">
        <w:rPr>
          <w:rFonts w:cs="Arial"/>
          <w:lang w:val="es-PE"/>
        </w:rPr>
        <w:t xml:space="preserve">No incorpora un </w:t>
      </w:r>
      <w:r w:rsidRPr="00A12EC5">
        <w:rPr>
          <w:rFonts w:cs="Arial"/>
          <w:b/>
          <w:bCs/>
          <w:lang w:val="es-PE"/>
        </w:rPr>
        <w:t>marco de simulación estocástico</w:t>
      </w:r>
      <w:r w:rsidRPr="00A12EC5">
        <w:rPr>
          <w:rFonts w:cs="Arial"/>
          <w:lang w:val="es-PE"/>
        </w:rPr>
        <w:t xml:space="preserve"> capaz de evaluar la dispersión de resultados ni de identificar colas de riesgo que condicionan la resiliencia fiscal.</w:t>
      </w:r>
    </w:p>
    <w:p w14:paraId="78FF1927" w14:textId="77777777" w:rsidR="00A12EC5" w:rsidRPr="00A12EC5" w:rsidRDefault="00A12EC5" w:rsidP="009B4C89">
      <w:pPr>
        <w:spacing w:line="240" w:lineRule="auto"/>
        <w:ind w:left="-360"/>
        <w:jc w:val="both"/>
        <w:rPr>
          <w:rFonts w:cs="Arial"/>
          <w:lang w:val="es-PE"/>
        </w:rPr>
      </w:pPr>
      <w:r w:rsidRPr="00A12EC5">
        <w:rPr>
          <w:rFonts w:cs="Arial"/>
          <w:lang w:val="es-PE"/>
        </w:rPr>
        <w:lastRenderedPageBreak/>
        <w:t xml:space="preserve">El presente trabajo aborda esas brechas mediante un </w:t>
      </w:r>
      <w:r w:rsidRPr="00A12EC5">
        <w:rPr>
          <w:rFonts w:cs="Arial"/>
          <w:b/>
          <w:bCs/>
          <w:lang w:val="es-PE"/>
        </w:rPr>
        <w:t>enfoque exclusivamente cuantitativo</w:t>
      </w:r>
      <w:r w:rsidRPr="00A12EC5">
        <w:rPr>
          <w:rFonts w:cs="Arial"/>
          <w:lang w:val="es-PE"/>
        </w:rPr>
        <w:t xml:space="preserve"> que combina:</w:t>
      </w:r>
    </w:p>
    <w:p w14:paraId="6D74EB45" w14:textId="77777777" w:rsidR="00A12EC5" w:rsidRPr="00A12EC5" w:rsidRDefault="00A12EC5" w:rsidP="009B4C89">
      <w:pPr>
        <w:numPr>
          <w:ilvl w:val="0"/>
          <w:numId w:val="11"/>
        </w:numPr>
        <w:spacing w:line="240" w:lineRule="auto"/>
        <w:ind w:left="-360"/>
        <w:jc w:val="both"/>
        <w:rPr>
          <w:rFonts w:cs="Arial"/>
          <w:lang w:val="es-PE"/>
        </w:rPr>
      </w:pPr>
      <w:r w:rsidRPr="00A12EC5">
        <w:rPr>
          <w:rFonts w:cs="Arial"/>
          <w:b/>
          <w:bCs/>
          <w:lang w:val="es-PE"/>
        </w:rPr>
        <w:t>Simulación Monte Carlo</w:t>
      </w:r>
      <w:r w:rsidRPr="00A12EC5">
        <w:rPr>
          <w:rFonts w:cs="Arial"/>
          <w:lang w:val="es-PE"/>
        </w:rPr>
        <w:t xml:space="preserve"> (10 000 réplicas) de ingresos netos de exportación a nivel de mina, basada en distribuciones probabilísticas de precios, volúmenes, costos y tipo de cambio.</w:t>
      </w:r>
    </w:p>
    <w:p w14:paraId="3972AAE1" w14:textId="77777777" w:rsidR="00A12EC5" w:rsidRPr="00A12EC5" w:rsidRDefault="00A12EC5" w:rsidP="009B4C89">
      <w:pPr>
        <w:numPr>
          <w:ilvl w:val="0"/>
          <w:numId w:val="11"/>
        </w:numPr>
        <w:spacing w:line="240" w:lineRule="auto"/>
        <w:ind w:left="-360"/>
        <w:jc w:val="both"/>
        <w:rPr>
          <w:rFonts w:cs="Arial"/>
          <w:lang w:val="es-PE"/>
        </w:rPr>
      </w:pPr>
      <w:r w:rsidRPr="00A12EC5">
        <w:rPr>
          <w:rFonts w:cs="Arial"/>
          <w:b/>
          <w:bCs/>
          <w:lang w:val="es-PE"/>
        </w:rPr>
        <w:t xml:space="preserve">Análisis de sensibilidad </w:t>
      </w:r>
      <w:proofErr w:type="spellStart"/>
      <w:r w:rsidRPr="00A12EC5">
        <w:rPr>
          <w:rFonts w:cs="Arial"/>
          <w:b/>
          <w:bCs/>
          <w:lang w:val="es-PE"/>
        </w:rPr>
        <w:t>macro-micro</w:t>
      </w:r>
      <w:proofErr w:type="spellEnd"/>
      <w:r w:rsidRPr="00A12EC5">
        <w:rPr>
          <w:rFonts w:cs="Arial"/>
          <w:lang w:val="es-PE"/>
        </w:rPr>
        <w:t xml:space="preserve"> que examina los efectos de apreciaciones del PEN (±5 % y ±10 %) y mejoras operativas en OPEX (-4 % y -8 %).</w:t>
      </w:r>
    </w:p>
    <w:p w14:paraId="7F125A78" w14:textId="77777777" w:rsidR="00A12EC5" w:rsidRPr="00A12EC5" w:rsidRDefault="00A12EC5" w:rsidP="009B4C89">
      <w:pPr>
        <w:numPr>
          <w:ilvl w:val="0"/>
          <w:numId w:val="11"/>
        </w:numPr>
        <w:spacing w:line="240" w:lineRule="auto"/>
        <w:ind w:left="-360"/>
        <w:jc w:val="both"/>
        <w:rPr>
          <w:rFonts w:cs="Arial"/>
          <w:lang w:val="es-PE"/>
        </w:rPr>
      </w:pPr>
      <w:r w:rsidRPr="00A12EC5">
        <w:rPr>
          <w:rFonts w:cs="Arial"/>
          <w:b/>
          <w:bCs/>
          <w:lang w:val="es-PE"/>
        </w:rPr>
        <w:t>Modelización econométrica explicativa</w:t>
      </w:r>
      <w:r w:rsidRPr="00A12EC5">
        <w:rPr>
          <w:rFonts w:cs="Arial"/>
          <w:lang w:val="es-PE"/>
        </w:rPr>
        <w:t xml:space="preserve"> para aislar la elasticidad de la pérdida de ingresos respecto a escala operativa, participación de costos y tasa arancelaria.</w:t>
      </w:r>
    </w:p>
    <w:p w14:paraId="7E259A89" w14:textId="77777777" w:rsidR="00A12EC5" w:rsidRPr="00A12EC5" w:rsidRDefault="00A12EC5" w:rsidP="009B4C89">
      <w:pPr>
        <w:numPr>
          <w:ilvl w:val="0"/>
          <w:numId w:val="11"/>
        </w:numPr>
        <w:spacing w:line="240" w:lineRule="auto"/>
        <w:ind w:left="-360"/>
        <w:jc w:val="both"/>
        <w:rPr>
          <w:rFonts w:cs="Arial"/>
          <w:lang w:val="es-PE"/>
        </w:rPr>
      </w:pPr>
      <w:r w:rsidRPr="00A12EC5">
        <w:rPr>
          <w:rFonts w:cs="Arial"/>
          <w:b/>
          <w:bCs/>
          <w:lang w:val="es-PE"/>
        </w:rPr>
        <w:t>Proyección fiscal dinámica</w:t>
      </w:r>
      <w:r w:rsidRPr="00A12EC5">
        <w:rPr>
          <w:rFonts w:cs="Arial"/>
          <w:lang w:val="es-PE"/>
        </w:rPr>
        <w:t xml:space="preserve"> que transforma las variaciones de flujo de caja en impactos sobre canon y regalías, estableciendo el vínculo directo con la inversión pública regional.</w:t>
      </w:r>
    </w:p>
    <w:p w14:paraId="2B1F6576" w14:textId="0DE26D97" w:rsidR="00A12EC5" w:rsidRPr="009B4C89" w:rsidRDefault="00A12EC5" w:rsidP="009B4C89">
      <w:pPr>
        <w:spacing w:line="240" w:lineRule="auto"/>
        <w:ind w:left="-360"/>
        <w:jc w:val="both"/>
        <w:rPr>
          <w:rFonts w:cs="Arial"/>
          <w:lang w:val="es-PE"/>
        </w:rPr>
      </w:pPr>
      <w:r w:rsidRPr="00A12EC5">
        <w:rPr>
          <w:rFonts w:cs="Arial"/>
          <w:lang w:val="es-PE"/>
        </w:rPr>
        <w:t xml:space="preserve">Al proveer una evaluación integral, replicable y granular, el estudio no sólo </w:t>
      </w:r>
      <w:r w:rsidRPr="00A12EC5">
        <w:rPr>
          <w:rFonts w:cs="Arial"/>
          <w:b/>
          <w:bCs/>
          <w:lang w:val="es-PE"/>
        </w:rPr>
        <w:t>cuantifica los costos económicos del arancel</w:t>
      </w:r>
      <w:r w:rsidRPr="00A12EC5">
        <w:rPr>
          <w:rFonts w:cs="Arial"/>
          <w:lang w:val="es-PE"/>
        </w:rPr>
        <w:t xml:space="preserve">, sino que también </w:t>
      </w:r>
      <w:r w:rsidRPr="00A12EC5">
        <w:rPr>
          <w:rFonts w:cs="Arial"/>
          <w:b/>
          <w:bCs/>
          <w:lang w:val="es-PE"/>
        </w:rPr>
        <w:t>identifica márgenes de acción</w:t>
      </w:r>
      <w:r w:rsidRPr="00A12EC5">
        <w:rPr>
          <w:rFonts w:cs="Arial"/>
          <w:lang w:val="es-PE"/>
        </w:rPr>
        <w:t xml:space="preserve"> —optimización de costos, créditos tributarios vinculados a eficiencia y mecanismos de estabilidad fiscal— que permitirían salvaguardar la posición del Perú como proveedor estratégico de cobre en la transición energética global.</w:t>
      </w:r>
    </w:p>
    <w:p w14:paraId="6A84FDB3" w14:textId="77777777" w:rsidR="002E350E" w:rsidRPr="009B4C89" w:rsidRDefault="00000000" w:rsidP="009B4C89">
      <w:pPr>
        <w:pStyle w:val="Heading1"/>
        <w:spacing w:line="240" w:lineRule="auto"/>
        <w:ind w:left="-360"/>
        <w:rPr>
          <w:rFonts w:ascii="Arial" w:hAnsi="Arial" w:cs="Arial"/>
          <w:sz w:val="22"/>
          <w:szCs w:val="22"/>
        </w:rPr>
      </w:pPr>
      <w:r w:rsidRPr="009B4C89">
        <w:rPr>
          <w:rFonts w:ascii="Arial" w:hAnsi="Arial" w:cs="Arial"/>
          <w:sz w:val="22"/>
          <w:szCs w:val="22"/>
        </w:rPr>
        <w:t>2. Objetivos</w:t>
      </w:r>
    </w:p>
    <w:p w14:paraId="59EA3B8B" w14:textId="77777777" w:rsidR="00A12EC5" w:rsidRPr="009B4C89" w:rsidRDefault="00A12EC5" w:rsidP="009B4C89">
      <w:pPr>
        <w:pStyle w:val="ListBullet"/>
        <w:numPr>
          <w:ilvl w:val="0"/>
          <w:numId w:val="0"/>
        </w:numPr>
        <w:spacing w:line="240" w:lineRule="auto"/>
        <w:ind w:left="-360" w:hanging="360"/>
        <w:rPr>
          <w:rFonts w:cs="Arial"/>
          <w:lang w:val="es-PE"/>
        </w:rPr>
      </w:pPr>
    </w:p>
    <w:p w14:paraId="6F6FDC05" w14:textId="3EE657DB" w:rsidR="00A12EC5" w:rsidRPr="00A12EC5" w:rsidRDefault="00A12EC5" w:rsidP="009B4C89">
      <w:pPr>
        <w:pStyle w:val="ListBullet"/>
        <w:spacing w:line="240" w:lineRule="auto"/>
        <w:ind w:left="-360"/>
        <w:jc w:val="both"/>
        <w:rPr>
          <w:rFonts w:cs="Arial"/>
          <w:lang w:val="es-PE"/>
        </w:rPr>
      </w:pPr>
      <w:r w:rsidRPr="00A12EC5">
        <w:rPr>
          <w:rFonts w:cs="Arial"/>
          <w:b/>
          <w:bCs/>
          <w:lang w:val="es-PE"/>
        </w:rPr>
        <w:t>Cuantificar con precisión estadística la merma de ingresos netos de exportación (NER)</w:t>
      </w:r>
      <w:r w:rsidRPr="00A12EC5">
        <w:rPr>
          <w:rFonts w:cs="Arial"/>
          <w:lang w:val="es-PE"/>
        </w:rPr>
        <w:t xml:space="preserve"> provocada por un arancel del 10 %, desagregando los resultados para los dos segmentos operativos clave—</w:t>
      </w:r>
      <w:r w:rsidRPr="00A12EC5">
        <w:rPr>
          <w:rFonts w:cs="Arial"/>
          <w:b/>
          <w:bCs/>
          <w:lang w:val="es-PE"/>
        </w:rPr>
        <w:t xml:space="preserve">pequeña minería (20–50 </w:t>
      </w:r>
      <w:proofErr w:type="spellStart"/>
      <w:r w:rsidRPr="00A12EC5">
        <w:rPr>
          <w:rFonts w:cs="Arial"/>
          <w:b/>
          <w:bCs/>
          <w:lang w:val="es-PE"/>
        </w:rPr>
        <w:t>kt</w:t>
      </w:r>
      <w:proofErr w:type="spellEnd"/>
      <w:r w:rsidRPr="00A12EC5">
        <w:rPr>
          <w:rFonts w:cs="Arial"/>
          <w:b/>
          <w:bCs/>
          <w:lang w:val="es-PE"/>
        </w:rPr>
        <w:t xml:space="preserve"> Cu/a)</w:t>
      </w:r>
      <w:r w:rsidRPr="00A12EC5">
        <w:rPr>
          <w:rFonts w:cs="Arial"/>
          <w:lang w:val="es-PE"/>
        </w:rPr>
        <w:t xml:space="preserve"> y </w:t>
      </w:r>
      <w:r w:rsidRPr="00A12EC5">
        <w:rPr>
          <w:rFonts w:cs="Arial"/>
          <w:b/>
          <w:bCs/>
          <w:lang w:val="es-PE"/>
        </w:rPr>
        <w:t xml:space="preserve">gran minería (80–200 </w:t>
      </w:r>
      <w:proofErr w:type="spellStart"/>
      <w:r w:rsidRPr="00A12EC5">
        <w:rPr>
          <w:rFonts w:cs="Arial"/>
          <w:b/>
          <w:bCs/>
          <w:lang w:val="es-PE"/>
        </w:rPr>
        <w:t>kt</w:t>
      </w:r>
      <w:proofErr w:type="spellEnd"/>
      <w:r w:rsidRPr="00A12EC5">
        <w:rPr>
          <w:rFonts w:cs="Arial"/>
          <w:b/>
          <w:bCs/>
          <w:lang w:val="es-PE"/>
        </w:rPr>
        <w:t xml:space="preserve"> Cu/a)</w:t>
      </w:r>
      <w:r w:rsidRPr="00A12EC5">
        <w:rPr>
          <w:rFonts w:cs="Arial"/>
          <w:lang w:val="es-PE"/>
        </w:rPr>
        <w:t>—con un nivel de confianza del 95 %.</w:t>
      </w:r>
    </w:p>
    <w:p w14:paraId="3158940B" w14:textId="3CB0D685" w:rsidR="00A12EC5" w:rsidRPr="00A12EC5" w:rsidRDefault="00A12EC5" w:rsidP="009B4C89">
      <w:pPr>
        <w:pStyle w:val="ListBullet"/>
        <w:spacing w:line="240" w:lineRule="auto"/>
        <w:ind w:left="-360"/>
        <w:jc w:val="both"/>
        <w:rPr>
          <w:rFonts w:cs="Arial"/>
          <w:lang w:val="es-PE"/>
        </w:rPr>
      </w:pPr>
      <w:r w:rsidRPr="00A12EC5">
        <w:rPr>
          <w:rFonts w:cs="Arial"/>
          <w:b/>
          <w:bCs/>
          <w:lang w:val="es-PE"/>
        </w:rPr>
        <w:t>Determinar la elasticidad de la competitividad del cobre peruano</w:t>
      </w:r>
      <w:r w:rsidRPr="00A12EC5">
        <w:rPr>
          <w:rFonts w:cs="Arial"/>
          <w:lang w:val="es-PE"/>
        </w:rPr>
        <w:t xml:space="preserve"> frente a dos palancas </w:t>
      </w:r>
      <w:proofErr w:type="spellStart"/>
      <w:r w:rsidRPr="00A12EC5">
        <w:rPr>
          <w:rFonts w:cs="Arial"/>
          <w:lang w:val="es-PE"/>
        </w:rPr>
        <w:t>macro-</w:t>
      </w:r>
      <w:proofErr w:type="gramStart"/>
      <w:r w:rsidRPr="00A12EC5">
        <w:rPr>
          <w:rFonts w:cs="Arial"/>
          <w:lang w:val="es-PE"/>
        </w:rPr>
        <w:t>micro</w:t>
      </w:r>
      <w:proofErr w:type="spellEnd"/>
      <w:r w:rsidRPr="00A12EC5">
        <w:rPr>
          <w:rFonts w:cs="Arial"/>
          <w:lang w:val="es-PE"/>
        </w:rPr>
        <w:t xml:space="preserve"> económicas</w:t>
      </w:r>
      <w:proofErr w:type="gramEnd"/>
      <w:r w:rsidRPr="00A12EC5">
        <w:rPr>
          <w:rFonts w:cs="Arial"/>
          <w:lang w:val="es-PE"/>
        </w:rPr>
        <w:t>:</w:t>
      </w:r>
    </w:p>
    <w:p w14:paraId="2E3436F3" w14:textId="77777777" w:rsidR="00A12EC5" w:rsidRPr="00A12EC5" w:rsidRDefault="00A12EC5" w:rsidP="009B4C89">
      <w:pPr>
        <w:pStyle w:val="ListBullet"/>
        <w:numPr>
          <w:ilvl w:val="0"/>
          <w:numId w:val="12"/>
        </w:numPr>
        <w:spacing w:line="240" w:lineRule="auto"/>
        <w:ind w:left="-360"/>
        <w:jc w:val="both"/>
        <w:rPr>
          <w:rFonts w:cs="Arial"/>
          <w:lang w:val="es-PE"/>
        </w:rPr>
      </w:pPr>
      <w:r w:rsidRPr="00A12EC5">
        <w:rPr>
          <w:rFonts w:cs="Arial"/>
          <w:b/>
          <w:bCs/>
          <w:lang w:val="es-PE"/>
        </w:rPr>
        <w:t>Fluctuaciones cambiarias</w:t>
      </w:r>
      <w:r w:rsidRPr="00A12EC5">
        <w:rPr>
          <w:rFonts w:cs="Arial"/>
          <w:lang w:val="es-PE"/>
        </w:rPr>
        <w:t xml:space="preserve"> de ±5 % y ±10 % en la paridad PEN/USD, y</w:t>
      </w:r>
    </w:p>
    <w:p w14:paraId="242CD0A9" w14:textId="77777777" w:rsidR="00A12EC5" w:rsidRPr="00A12EC5" w:rsidRDefault="00A12EC5" w:rsidP="009B4C89">
      <w:pPr>
        <w:pStyle w:val="ListBullet"/>
        <w:numPr>
          <w:ilvl w:val="0"/>
          <w:numId w:val="12"/>
        </w:numPr>
        <w:tabs>
          <w:tab w:val="clear" w:pos="720"/>
        </w:tabs>
        <w:spacing w:line="240" w:lineRule="auto"/>
        <w:ind w:left="0"/>
        <w:jc w:val="both"/>
        <w:rPr>
          <w:rFonts w:cs="Arial"/>
          <w:lang w:val="es-PE"/>
        </w:rPr>
      </w:pPr>
      <w:r w:rsidRPr="00A12EC5">
        <w:rPr>
          <w:rFonts w:cs="Arial"/>
          <w:b/>
          <w:bCs/>
          <w:lang w:val="es-PE"/>
        </w:rPr>
        <w:t>Ganancias de eficiencia operativa</w:t>
      </w:r>
      <w:r w:rsidRPr="00A12EC5">
        <w:rPr>
          <w:rFonts w:cs="Arial"/>
          <w:lang w:val="es-PE"/>
        </w:rPr>
        <w:t xml:space="preserve"> de –4 % y –8 % en costos OPEX,</w:t>
      </w:r>
      <w:r w:rsidRPr="00A12EC5">
        <w:rPr>
          <w:rFonts w:cs="Arial"/>
          <w:lang w:val="es-PE"/>
        </w:rPr>
        <w:br/>
        <w:t>empleando análisis de sensibilidad Monte Carlo sobre 10 000 réplicas.</w:t>
      </w:r>
    </w:p>
    <w:p w14:paraId="664DA8B4" w14:textId="627CA109" w:rsidR="00A12EC5" w:rsidRPr="009B4C89" w:rsidRDefault="00A12EC5" w:rsidP="009B4C89">
      <w:pPr>
        <w:pStyle w:val="ListBullet"/>
        <w:numPr>
          <w:ilvl w:val="0"/>
          <w:numId w:val="12"/>
        </w:numPr>
        <w:tabs>
          <w:tab w:val="clear" w:pos="720"/>
        </w:tabs>
        <w:spacing w:line="240" w:lineRule="auto"/>
        <w:ind w:left="0"/>
        <w:jc w:val="both"/>
        <w:rPr>
          <w:rFonts w:cs="Arial"/>
          <w:lang w:val="es-PE"/>
        </w:rPr>
      </w:pPr>
      <w:r w:rsidRPr="00A12EC5">
        <w:rPr>
          <w:rFonts w:cs="Arial"/>
          <w:b/>
          <w:bCs/>
          <w:lang w:val="es-PE"/>
        </w:rPr>
        <w:t>Proyectar la pérdida potencial de recaudación fiscal</w:t>
      </w:r>
      <w:r w:rsidRPr="00A12EC5">
        <w:rPr>
          <w:rFonts w:cs="Arial"/>
          <w:lang w:val="es-PE"/>
        </w:rPr>
        <w:t xml:space="preserve"> —canon minero y regalías ad-</w:t>
      </w:r>
      <w:proofErr w:type="spellStart"/>
      <w:r w:rsidRPr="00A12EC5">
        <w:rPr>
          <w:rFonts w:cs="Arial"/>
          <w:lang w:val="es-PE"/>
        </w:rPr>
        <w:t>valorem</w:t>
      </w:r>
      <w:proofErr w:type="spellEnd"/>
      <w:r w:rsidRPr="00A12EC5">
        <w:rPr>
          <w:rFonts w:cs="Arial"/>
          <w:lang w:val="es-PE"/>
        </w:rPr>
        <w:t xml:space="preserve">— derivada del choque arancelario, y </w:t>
      </w:r>
      <w:r w:rsidRPr="00A12EC5">
        <w:rPr>
          <w:rFonts w:cs="Arial"/>
          <w:b/>
          <w:bCs/>
          <w:lang w:val="es-PE"/>
        </w:rPr>
        <w:t>traducirla en impactos cuantificables</w:t>
      </w:r>
      <w:r w:rsidRPr="00A12EC5">
        <w:rPr>
          <w:rFonts w:cs="Arial"/>
          <w:lang w:val="es-PE"/>
        </w:rPr>
        <w:t xml:space="preserve"> sobre la cartera de programas de infraestructura y desarrollo social en las regiones </w:t>
      </w:r>
      <w:proofErr w:type="gramStart"/>
      <w:r w:rsidRPr="00A12EC5">
        <w:rPr>
          <w:rFonts w:cs="Arial"/>
          <w:lang w:val="es-PE"/>
        </w:rPr>
        <w:t>alto-andinas</w:t>
      </w:r>
      <w:proofErr w:type="gramEnd"/>
      <w:r w:rsidRPr="00A12EC5">
        <w:rPr>
          <w:rFonts w:cs="Arial"/>
          <w:lang w:val="es-PE"/>
        </w:rPr>
        <w:t xml:space="preserve"> prioritarias.</w:t>
      </w:r>
    </w:p>
    <w:p w14:paraId="4C4DDBE7" w14:textId="28F8CBA5" w:rsidR="00A12EC5" w:rsidRPr="009B4C89" w:rsidRDefault="00A12EC5" w:rsidP="009B4C89">
      <w:pPr>
        <w:pStyle w:val="ListBullet"/>
        <w:tabs>
          <w:tab w:val="num" w:pos="817"/>
        </w:tabs>
        <w:spacing w:line="240" w:lineRule="auto"/>
        <w:ind w:left="0"/>
        <w:jc w:val="both"/>
        <w:rPr>
          <w:rFonts w:cs="Arial"/>
          <w:lang w:val="es-PE"/>
        </w:rPr>
      </w:pPr>
      <w:r w:rsidRPr="009B4C89">
        <w:rPr>
          <w:rFonts w:cs="Arial"/>
          <w:b/>
          <w:bCs/>
          <w:lang w:val="es-PE"/>
        </w:rPr>
        <w:t>Aislar y jerarquizar las variables críticas que explican la erosión de ingresos</w:t>
      </w:r>
      <w:r w:rsidRPr="009B4C89">
        <w:rPr>
          <w:rFonts w:cs="Arial"/>
          <w:lang w:val="es-PE"/>
        </w:rPr>
        <w:t>, aplicando regresión multivariable (OLS) para medir la contribución marginal de escala operativa, estructura de costos y tasa arancelaria al deterioro del NER, con un coeficiente de determinación (R²) objetivo ≥ 0,90.</w:t>
      </w:r>
    </w:p>
    <w:p w14:paraId="61FA16F1" w14:textId="62240B03" w:rsidR="00A12EC5" w:rsidRPr="00A12EC5" w:rsidRDefault="00A12EC5" w:rsidP="009B4C89">
      <w:pPr>
        <w:pStyle w:val="ListBullet"/>
        <w:tabs>
          <w:tab w:val="clear" w:pos="360"/>
        </w:tabs>
        <w:ind w:left="0"/>
        <w:jc w:val="both"/>
        <w:rPr>
          <w:lang w:val="es-PE"/>
        </w:rPr>
      </w:pPr>
      <w:r w:rsidRPr="009B4C89">
        <w:rPr>
          <w:b/>
          <w:bCs/>
          <w:lang w:val="es-PE"/>
        </w:rPr>
        <w:t>Diseñar un portafolio de medidas de mitigación fiscal y operativa,</w:t>
      </w:r>
      <w:r w:rsidRPr="00A12EC5">
        <w:rPr>
          <w:lang w:val="es-PE"/>
        </w:rPr>
        <w:t xml:space="preserve"> sustentado en evidencia numérica, que incluya:</w:t>
      </w:r>
    </w:p>
    <w:p w14:paraId="07A09931" w14:textId="2F3E5C9A" w:rsidR="00A12EC5" w:rsidRPr="00A12EC5" w:rsidRDefault="009B4C89" w:rsidP="009B4C89">
      <w:pPr>
        <w:pStyle w:val="ListBullet"/>
        <w:numPr>
          <w:ilvl w:val="0"/>
          <w:numId w:val="0"/>
        </w:numPr>
        <w:spacing w:line="240" w:lineRule="auto"/>
        <w:ind w:left="720" w:right="90"/>
        <w:jc w:val="both"/>
        <w:rPr>
          <w:rFonts w:cs="Arial"/>
          <w:lang w:val="es-PE"/>
        </w:rPr>
      </w:pPr>
      <w:r>
        <w:rPr>
          <w:rFonts w:cs="Arial"/>
          <w:lang w:val="es-PE"/>
        </w:rPr>
        <w:t>C</w:t>
      </w:r>
      <w:r w:rsidR="00A12EC5" w:rsidRPr="00A12EC5">
        <w:rPr>
          <w:rFonts w:cs="Arial"/>
          <w:lang w:val="es-PE"/>
        </w:rPr>
        <w:t>réditos tributarios vinculados a eficiencia energética y reducción de OPEX,</w:t>
      </w:r>
      <w:r>
        <w:rPr>
          <w:rFonts w:cs="Arial"/>
          <w:lang w:val="es-PE"/>
        </w:rPr>
        <w:t xml:space="preserve"> </w:t>
      </w:r>
      <w:r w:rsidR="00A12EC5" w:rsidRPr="00A12EC5">
        <w:rPr>
          <w:rFonts w:cs="Arial"/>
          <w:lang w:val="es-PE"/>
        </w:rPr>
        <w:t>cláusulas de estabilidad arancelaria en tratados</w:t>
      </w:r>
      <w:r>
        <w:rPr>
          <w:rFonts w:cs="Arial"/>
          <w:lang w:val="es-PE"/>
        </w:rPr>
        <w:t xml:space="preserve"> </w:t>
      </w:r>
      <w:r w:rsidR="00A12EC5" w:rsidRPr="00A12EC5">
        <w:rPr>
          <w:rFonts w:cs="Arial"/>
          <w:lang w:val="es-PE"/>
        </w:rPr>
        <w:t>comerciales, y</w:t>
      </w:r>
      <w:r>
        <w:rPr>
          <w:rFonts w:cs="Arial"/>
          <w:lang w:val="es-PE"/>
        </w:rPr>
        <w:t xml:space="preserve"> </w:t>
      </w:r>
      <w:r w:rsidR="00A12EC5" w:rsidRPr="00A12EC5">
        <w:rPr>
          <w:rFonts w:cs="Arial"/>
          <w:lang w:val="es-PE"/>
        </w:rPr>
        <w:t>mecanismos de amortiguación de tipo de cambio,</w:t>
      </w:r>
      <w:r w:rsidRPr="009B4C89">
        <w:rPr>
          <w:rFonts w:cs="Arial"/>
          <w:lang w:val="es-PE"/>
        </w:rPr>
        <w:t xml:space="preserve"> </w:t>
      </w:r>
      <w:r w:rsidR="00A12EC5" w:rsidRPr="00A12EC5">
        <w:rPr>
          <w:rFonts w:cs="Arial"/>
          <w:lang w:val="es-PE"/>
        </w:rPr>
        <w:t xml:space="preserve">con el fin último de </w:t>
      </w:r>
      <w:r w:rsidR="00A12EC5" w:rsidRPr="00A12EC5">
        <w:rPr>
          <w:rFonts w:cs="Arial"/>
          <w:b/>
          <w:bCs/>
          <w:lang w:val="es-PE"/>
        </w:rPr>
        <w:t>preservar la competitividad sistémica del sector cuprífero peruano</w:t>
      </w:r>
      <w:r w:rsidR="00A12EC5" w:rsidRPr="00A12EC5">
        <w:rPr>
          <w:rFonts w:cs="Arial"/>
          <w:lang w:val="es-PE"/>
        </w:rPr>
        <w:t xml:space="preserve"> y proteger la sostenibilidad de la renta minera para el desarrollo regional.</w:t>
      </w:r>
    </w:p>
    <w:p w14:paraId="1D2668DA" w14:textId="02BB1936" w:rsidR="00F920DF" w:rsidRDefault="00000000" w:rsidP="00F400FD">
      <w:pPr>
        <w:pStyle w:val="Heading1"/>
        <w:spacing w:line="240" w:lineRule="auto"/>
        <w:ind w:left="-360"/>
        <w:rPr>
          <w:rFonts w:ascii="Arial" w:hAnsi="Arial" w:cs="Arial"/>
          <w:sz w:val="22"/>
          <w:szCs w:val="22"/>
          <w:lang w:val="es-PE"/>
        </w:rPr>
      </w:pPr>
      <w:r w:rsidRPr="009B4C89">
        <w:rPr>
          <w:rFonts w:ascii="Arial" w:hAnsi="Arial" w:cs="Arial"/>
          <w:sz w:val="22"/>
          <w:szCs w:val="22"/>
          <w:lang w:val="es-PE"/>
        </w:rPr>
        <w:t>3. Compilación de Datos y Desarrollo del Trabajo</w:t>
      </w:r>
    </w:p>
    <w:p w14:paraId="3707D41B" w14:textId="77777777" w:rsidR="00F400FD" w:rsidRPr="00F400FD" w:rsidRDefault="00F400FD" w:rsidP="00F400FD">
      <w:pPr>
        <w:rPr>
          <w:lang w:val="es-PE"/>
        </w:rPr>
      </w:pPr>
    </w:p>
    <w:p w14:paraId="22F200DA" w14:textId="77777777" w:rsidR="00F400FD" w:rsidRPr="00F400FD" w:rsidRDefault="00F400FD" w:rsidP="00F400FD">
      <w:pPr>
        <w:rPr>
          <w:b/>
          <w:bCs/>
          <w:lang w:val="es-PE"/>
        </w:rPr>
      </w:pPr>
      <w:r w:rsidRPr="00F400FD">
        <w:rPr>
          <w:b/>
          <w:bCs/>
          <w:lang w:val="es-PE"/>
        </w:rPr>
        <w:t>3.1 Diseño de la muestra y lógica de estratificación</w:t>
      </w:r>
    </w:p>
    <w:p w14:paraId="47E8AA2D" w14:textId="77777777" w:rsidR="00F400FD" w:rsidRPr="00F400FD" w:rsidRDefault="00F400FD" w:rsidP="00F400FD">
      <w:pPr>
        <w:spacing w:line="240" w:lineRule="auto"/>
        <w:jc w:val="both"/>
        <w:rPr>
          <w:lang w:val="es-PE"/>
        </w:rPr>
      </w:pPr>
      <w:r w:rsidRPr="00F400FD">
        <w:rPr>
          <w:lang w:val="es-PE"/>
        </w:rPr>
        <w:t xml:space="preserve">Para garantizar que los resultados sean representativos de la realidad cuprífera peruana, seleccionamos treinta operaciones que, en conjunto, cubren 89 % de la producción nacional de cobre fino al cierre de 2024. La muestra se estratificó deliberadamente en dos grupos: nueve minas “pequeñas” con rendimientos entre 20 </w:t>
      </w:r>
      <w:proofErr w:type="spellStart"/>
      <w:r w:rsidRPr="00F400FD">
        <w:rPr>
          <w:lang w:val="es-PE"/>
        </w:rPr>
        <w:t>kt</w:t>
      </w:r>
      <w:proofErr w:type="spellEnd"/>
      <w:r w:rsidRPr="00F400FD">
        <w:rPr>
          <w:lang w:val="es-PE"/>
        </w:rPr>
        <w:t xml:space="preserve"> y 50 </w:t>
      </w:r>
      <w:proofErr w:type="spellStart"/>
      <w:r w:rsidRPr="00F400FD">
        <w:rPr>
          <w:lang w:val="es-PE"/>
        </w:rPr>
        <w:t>kt</w:t>
      </w:r>
      <w:proofErr w:type="spellEnd"/>
      <w:r w:rsidRPr="00F400FD">
        <w:rPr>
          <w:lang w:val="es-PE"/>
        </w:rPr>
        <w:t xml:space="preserve"> de Cu al año y veintiuna minas “medianas-grandes” cuyo rango va de 80 </w:t>
      </w:r>
      <w:proofErr w:type="spellStart"/>
      <w:r w:rsidRPr="00F400FD">
        <w:rPr>
          <w:lang w:val="es-PE"/>
        </w:rPr>
        <w:t>kt</w:t>
      </w:r>
      <w:proofErr w:type="spellEnd"/>
      <w:r w:rsidRPr="00F400FD">
        <w:rPr>
          <w:lang w:val="es-PE"/>
        </w:rPr>
        <w:t xml:space="preserve"> a 200 </w:t>
      </w:r>
      <w:proofErr w:type="spellStart"/>
      <w:r w:rsidRPr="00F400FD">
        <w:rPr>
          <w:lang w:val="es-PE"/>
        </w:rPr>
        <w:t>kt</w:t>
      </w:r>
      <w:proofErr w:type="spellEnd"/>
      <w:r w:rsidRPr="00F400FD">
        <w:rPr>
          <w:lang w:val="es-PE"/>
        </w:rPr>
        <w:t xml:space="preserve"> Cu/a. Esta segmentación permite capturar la diferencia estructural de costos y de poder de negociación que existe entre ambas escalas y, por ende, medir de forma fidedigna las asimetrías de impacto del arancel.</w:t>
      </w:r>
    </w:p>
    <w:p w14:paraId="43D55F6F" w14:textId="77777777" w:rsidR="00F400FD" w:rsidRDefault="00F400FD" w:rsidP="00F400FD">
      <w:pPr>
        <w:spacing w:line="240" w:lineRule="auto"/>
        <w:jc w:val="both"/>
        <w:rPr>
          <w:lang w:val="es-PE"/>
        </w:rPr>
      </w:pPr>
      <w:r w:rsidRPr="00F400FD">
        <w:rPr>
          <w:lang w:val="es-PE"/>
        </w:rPr>
        <w:t xml:space="preserve">En la fase de preselección se descartaron los yacimientos con producción menor a 15 </w:t>
      </w:r>
      <w:proofErr w:type="spellStart"/>
      <w:r w:rsidRPr="00F400FD">
        <w:rPr>
          <w:lang w:val="es-PE"/>
        </w:rPr>
        <w:t>kt</w:t>
      </w:r>
      <w:proofErr w:type="spellEnd"/>
      <w:r w:rsidRPr="00F400FD">
        <w:rPr>
          <w:lang w:val="es-PE"/>
        </w:rPr>
        <w:t xml:space="preserve"> Cu/a porque carecen de series históricas auditadas y presentan alta intermitencia operacional. El resultado es un panel suficientemente amplio para reflejar toda la curva de costos —del primer al cuarto cuartil global— y, al mismo tiempo, manejable para un análisis probabilístico profundo sin sacrificar granularidad.</w:t>
      </w:r>
    </w:p>
    <w:p w14:paraId="6D5C1929" w14:textId="4AE5E73A" w:rsidR="00672446" w:rsidRPr="00F400FD" w:rsidRDefault="00672446" w:rsidP="00672446">
      <w:pPr>
        <w:rPr>
          <w:lang w:val="es-PE"/>
        </w:rPr>
      </w:pPr>
      <w:r w:rsidRPr="00672446">
        <w:rPr>
          <w:b/>
          <w:bCs/>
          <w:lang w:val="es-PE"/>
        </w:rPr>
        <w:t>Tabla 3-1. Segmentación de la muestra de mina</w:t>
      </w:r>
    </w:p>
    <w:tbl>
      <w:tblPr>
        <w:tblStyle w:val="PlainTable5"/>
        <w:tblW w:w="0" w:type="auto"/>
        <w:tblInd w:w="-702" w:type="dxa"/>
        <w:tblLook w:val="04A0" w:firstRow="1" w:lastRow="0" w:firstColumn="1" w:lastColumn="0" w:noHBand="0" w:noVBand="1"/>
      </w:tblPr>
      <w:tblGrid>
        <w:gridCol w:w="1071"/>
        <w:gridCol w:w="1178"/>
        <w:gridCol w:w="718"/>
        <w:gridCol w:w="1327"/>
        <w:gridCol w:w="728"/>
      </w:tblGrid>
      <w:tr w:rsidR="00F400FD" w:rsidRPr="00F400FD" w14:paraId="77326B29" w14:textId="77777777" w:rsidTr="00F400F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D07B875" w14:textId="77777777" w:rsidR="00F400FD" w:rsidRPr="00F400FD" w:rsidRDefault="00F400FD" w:rsidP="00F400FD">
            <w:pPr>
              <w:spacing w:after="200" w:line="276" w:lineRule="auto"/>
              <w:jc w:val="left"/>
              <w:rPr>
                <w:b/>
                <w:bCs/>
                <w:sz w:val="18"/>
                <w:szCs w:val="18"/>
              </w:rPr>
            </w:pPr>
            <w:proofErr w:type="spellStart"/>
            <w:r w:rsidRPr="00F400FD">
              <w:rPr>
                <w:b/>
                <w:bCs/>
                <w:sz w:val="18"/>
                <w:szCs w:val="18"/>
              </w:rPr>
              <w:t>Segmento</w:t>
            </w:r>
            <w:proofErr w:type="spellEnd"/>
          </w:p>
        </w:tc>
        <w:tc>
          <w:tcPr>
            <w:tcW w:w="0" w:type="auto"/>
            <w:hideMark/>
          </w:tcPr>
          <w:p w14:paraId="7C3C10AE" w14:textId="77777777" w:rsidR="00F400FD" w:rsidRPr="00F400FD" w:rsidRDefault="00F400FD" w:rsidP="00F400FD">
            <w:pPr>
              <w:spacing w:after="200" w:line="276" w:lineRule="auto"/>
              <w:cnfStyle w:val="100000000000" w:firstRow="1" w:lastRow="0" w:firstColumn="0" w:lastColumn="0" w:oddVBand="0" w:evenVBand="0" w:oddHBand="0" w:evenHBand="0" w:firstRowFirstColumn="0" w:firstRowLastColumn="0" w:lastRowFirstColumn="0" w:lastRowLastColumn="0"/>
              <w:rPr>
                <w:b/>
                <w:bCs/>
                <w:sz w:val="18"/>
                <w:szCs w:val="18"/>
                <w:lang w:val="es-PE"/>
              </w:rPr>
            </w:pPr>
            <w:r w:rsidRPr="00F400FD">
              <w:rPr>
                <w:b/>
                <w:bCs/>
                <w:sz w:val="18"/>
                <w:szCs w:val="18"/>
                <w:lang w:val="es-PE"/>
              </w:rPr>
              <w:t>Rango de producción (</w:t>
            </w:r>
            <w:proofErr w:type="spellStart"/>
            <w:r w:rsidRPr="00F400FD">
              <w:rPr>
                <w:b/>
                <w:bCs/>
                <w:sz w:val="18"/>
                <w:szCs w:val="18"/>
                <w:lang w:val="es-PE"/>
              </w:rPr>
              <w:t>kt</w:t>
            </w:r>
            <w:proofErr w:type="spellEnd"/>
            <w:r w:rsidRPr="00F400FD">
              <w:rPr>
                <w:b/>
                <w:bCs/>
                <w:sz w:val="18"/>
                <w:szCs w:val="18"/>
                <w:lang w:val="es-PE"/>
              </w:rPr>
              <w:t xml:space="preserve"> Cu/a)</w:t>
            </w:r>
          </w:p>
        </w:tc>
        <w:tc>
          <w:tcPr>
            <w:tcW w:w="0" w:type="auto"/>
            <w:hideMark/>
          </w:tcPr>
          <w:p w14:paraId="2758DB8C" w14:textId="77777777" w:rsidR="00F400FD" w:rsidRPr="00F400FD" w:rsidRDefault="00F400FD" w:rsidP="00F400FD">
            <w:pPr>
              <w:spacing w:after="200" w:line="276" w:lineRule="auto"/>
              <w:cnfStyle w:val="100000000000" w:firstRow="1" w:lastRow="0" w:firstColumn="0" w:lastColumn="0" w:oddVBand="0" w:evenVBand="0" w:oddHBand="0" w:evenHBand="0" w:firstRowFirstColumn="0" w:firstRowLastColumn="0" w:lastRowFirstColumn="0" w:lastRowLastColumn="0"/>
              <w:rPr>
                <w:b/>
                <w:bCs/>
                <w:sz w:val="18"/>
                <w:szCs w:val="18"/>
              </w:rPr>
            </w:pPr>
            <w:r w:rsidRPr="00F400FD">
              <w:rPr>
                <w:b/>
                <w:bCs/>
                <w:sz w:val="18"/>
                <w:szCs w:val="18"/>
              </w:rPr>
              <w:t>Minas (n)</w:t>
            </w:r>
          </w:p>
        </w:tc>
        <w:tc>
          <w:tcPr>
            <w:tcW w:w="0" w:type="auto"/>
            <w:hideMark/>
          </w:tcPr>
          <w:p w14:paraId="16EB58E9" w14:textId="77777777" w:rsidR="00F400FD" w:rsidRPr="00F400FD" w:rsidRDefault="00F400FD" w:rsidP="00F400FD">
            <w:pPr>
              <w:spacing w:after="200" w:line="276" w:lineRule="auto"/>
              <w:cnfStyle w:val="100000000000" w:firstRow="1" w:lastRow="0" w:firstColumn="0" w:lastColumn="0" w:oddVBand="0" w:evenVBand="0" w:oddHBand="0" w:evenHBand="0" w:firstRowFirstColumn="0" w:firstRowLastColumn="0" w:lastRowFirstColumn="0" w:lastRowLastColumn="0"/>
              <w:rPr>
                <w:b/>
                <w:bCs/>
                <w:sz w:val="18"/>
                <w:szCs w:val="18"/>
                <w:lang w:val="es-PE"/>
              </w:rPr>
            </w:pPr>
            <w:r w:rsidRPr="00F400FD">
              <w:rPr>
                <w:b/>
                <w:bCs/>
                <w:sz w:val="18"/>
                <w:szCs w:val="18"/>
                <w:lang w:val="es-PE"/>
              </w:rPr>
              <w:t>Participación en el Cu fino 2024</w:t>
            </w:r>
          </w:p>
        </w:tc>
        <w:tc>
          <w:tcPr>
            <w:tcW w:w="0" w:type="auto"/>
            <w:hideMark/>
          </w:tcPr>
          <w:p w14:paraId="5DBEAE52" w14:textId="77777777" w:rsidR="00F400FD" w:rsidRPr="00F400FD" w:rsidRDefault="00F400FD" w:rsidP="00F400FD">
            <w:pPr>
              <w:spacing w:after="200" w:line="276" w:lineRule="auto"/>
              <w:cnfStyle w:val="100000000000" w:firstRow="1" w:lastRow="0" w:firstColumn="0" w:lastColumn="0" w:oddVBand="0" w:evenVBand="0" w:oddHBand="0" w:evenHBand="0" w:firstRowFirstColumn="0" w:firstRowLastColumn="0" w:lastRowFirstColumn="0" w:lastRowLastColumn="0"/>
              <w:rPr>
                <w:b/>
                <w:bCs/>
                <w:sz w:val="18"/>
                <w:szCs w:val="18"/>
              </w:rPr>
            </w:pPr>
            <w:r w:rsidRPr="00F400FD">
              <w:rPr>
                <w:b/>
                <w:bCs/>
                <w:sz w:val="18"/>
                <w:szCs w:val="18"/>
              </w:rPr>
              <w:t>Ley media (%)</w:t>
            </w:r>
          </w:p>
        </w:tc>
      </w:tr>
      <w:tr w:rsidR="00F400FD" w:rsidRPr="00F400FD" w14:paraId="16301CFC" w14:textId="77777777" w:rsidTr="00F40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45E8E5" w14:textId="77777777" w:rsidR="00F400FD" w:rsidRPr="00F400FD" w:rsidRDefault="00F400FD" w:rsidP="00F400FD">
            <w:pPr>
              <w:spacing w:after="200" w:line="276" w:lineRule="auto"/>
              <w:rPr>
                <w:sz w:val="18"/>
                <w:szCs w:val="18"/>
              </w:rPr>
            </w:pPr>
            <w:proofErr w:type="spellStart"/>
            <w:r w:rsidRPr="00F400FD">
              <w:rPr>
                <w:sz w:val="18"/>
                <w:szCs w:val="18"/>
              </w:rPr>
              <w:t>Pequeña</w:t>
            </w:r>
            <w:proofErr w:type="spellEnd"/>
          </w:p>
        </w:tc>
        <w:tc>
          <w:tcPr>
            <w:tcW w:w="0" w:type="auto"/>
            <w:hideMark/>
          </w:tcPr>
          <w:p w14:paraId="690493B2" w14:textId="77777777" w:rsidR="00F400FD" w:rsidRPr="00F400FD" w:rsidRDefault="00F400FD" w:rsidP="00F400FD">
            <w:pPr>
              <w:spacing w:after="200"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F400FD">
              <w:rPr>
                <w:sz w:val="18"/>
                <w:szCs w:val="18"/>
              </w:rPr>
              <w:t>20 – 50</w:t>
            </w:r>
          </w:p>
        </w:tc>
        <w:tc>
          <w:tcPr>
            <w:tcW w:w="0" w:type="auto"/>
            <w:hideMark/>
          </w:tcPr>
          <w:p w14:paraId="6FA31330" w14:textId="77777777" w:rsidR="00F400FD" w:rsidRPr="00F400FD" w:rsidRDefault="00F400FD" w:rsidP="00F400FD">
            <w:pPr>
              <w:spacing w:after="200"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F400FD">
              <w:rPr>
                <w:sz w:val="18"/>
                <w:szCs w:val="18"/>
              </w:rPr>
              <w:t>9</w:t>
            </w:r>
          </w:p>
        </w:tc>
        <w:tc>
          <w:tcPr>
            <w:tcW w:w="0" w:type="auto"/>
            <w:hideMark/>
          </w:tcPr>
          <w:p w14:paraId="5E241E7C" w14:textId="77777777" w:rsidR="00F400FD" w:rsidRPr="00F400FD" w:rsidRDefault="00F400FD" w:rsidP="00F400FD">
            <w:pPr>
              <w:spacing w:after="200"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F400FD">
              <w:rPr>
                <w:sz w:val="18"/>
                <w:szCs w:val="18"/>
              </w:rPr>
              <w:t>14 %</w:t>
            </w:r>
          </w:p>
        </w:tc>
        <w:tc>
          <w:tcPr>
            <w:tcW w:w="0" w:type="auto"/>
            <w:hideMark/>
          </w:tcPr>
          <w:p w14:paraId="2AB2533D" w14:textId="77777777" w:rsidR="00F400FD" w:rsidRPr="00F400FD" w:rsidRDefault="00F400FD" w:rsidP="00F400FD">
            <w:pPr>
              <w:spacing w:after="200"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F400FD">
              <w:rPr>
                <w:sz w:val="18"/>
                <w:szCs w:val="18"/>
              </w:rPr>
              <w:t>0,63</w:t>
            </w:r>
          </w:p>
        </w:tc>
      </w:tr>
      <w:tr w:rsidR="00F400FD" w:rsidRPr="00F400FD" w14:paraId="3BEA632E" w14:textId="77777777" w:rsidTr="00F400FD">
        <w:tc>
          <w:tcPr>
            <w:cnfStyle w:val="001000000000" w:firstRow="0" w:lastRow="0" w:firstColumn="1" w:lastColumn="0" w:oddVBand="0" w:evenVBand="0" w:oddHBand="0" w:evenHBand="0" w:firstRowFirstColumn="0" w:firstRowLastColumn="0" w:lastRowFirstColumn="0" w:lastRowLastColumn="0"/>
            <w:tcW w:w="0" w:type="auto"/>
            <w:hideMark/>
          </w:tcPr>
          <w:p w14:paraId="4ED4B082" w14:textId="77777777" w:rsidR="00F400FD" w:rsidRPr="00F400FD" w:rsidRDefault="00F400FD" w:rsidP="00F400FD">
            <w:pPr>
              <w:spacing w:after="200" w:line="276" w:lineRule="auto"/>
              <w:rPr>
                <w:sz w:val="18"/>
                <w:szCs w:val="18"/>
              </w:rPr>
            </w:pPr>
            <w:r w:rsidRPr="00F400FD">
              <w:rPr>
                <w:sz w:val="18"/>
                <w:szCs w:val="18"/>
              </w:rPr>
              <w:t>Mediana – Grande</w:t>
            </w:r>
          </w:p>
        </w:tc>
        <w:tc>
          <w:tcPr>
            <w:tcW w:w="0" w:type="auto"/>
            <w:hideMark/>
          </w:tcPr>
          <w:p w14:paraId="50845792" w14:textId="77777777" w:rsidR="00F400FD" w:rsidRPr="00F400FD" w:rsidRDefault="00F400FD" w:rsidP="00F400FD">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F400FD">
              <w:rPr>
                <w:sz w:val="18"/>
                <w:szCs w:val="18"/>
              </w:rPr>
              <w:t>80 – 200</w:t>
            </w:r>
          </w:p>
        </w:tc>
        <w:tc>
          <w:tcPr>
            <w:tcW w:w="0" w:type="auto"/>
            <w:hideMark/>
          </w:tcPr>
          <w:p w14:paraId="00206EE9" w14:textId="77777777" w:rsidR="00F400FD" w:rsidRPr="00F400FD" w:rsidRDefault="00F400FD" w:rsidP="00F400FD">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F400FD">
              <w:rPr>
                <w:sz w:val="18"/>
                <w:szCs w:val="18"/>
              </w:rPr>
              <w:t>21</w:t>
            </w:r>
          </w:p>
        </w:tc>
        <w:tc>
          <w:tcPr>
            <w:tcW w:w="0" w:type="auto"/>
            <w:hideMark/>
          </w:tcPr>
          <w:p w14:paraId="774B7F36" w14:textId="77777777" w:rsidR="00F400FD" w:rsidRPr="00F400FD" w:rsidRDefault="00F400FD" w:rsidP="00F400FD">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F400FD">
              <w:rPr>
                <w:sz w:val="18"/>
                <w:szCs w:val="18"/>
              </w:rPr>
              <w:t>75 %</w:t>
            </w:r>
          </w:p>
        </w:tc>
        <w:tc>
          <w:tcPr>
            <w:tcW w:w="0" w:type="auto"/>
            <w:hideMark/>
          </w:tcPr>
          <w:p w14:paraId="265C3F05" w14:textId="77777777" w:rsidR="00F400FD" w:rsidRPr="00F400FD" w:rsidRDefault="00F400FD" w:rsidP="00F400FD">
            <w:pPr>
              <w:spacing w:after="200"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F400FD">
              <w:rPr>
                <w:sz w:val="18"/>
                <w:szCs w:val="18"/>
              </w:rPr>
              <w:t>0,48</w:t>
            </w:r>
          </w:p>
        </w:tc>
      </w:tr>
    </w:tbl>
    <w:p w14:paraId="52AA0B9E" w14:textId="77777777" w:rsidR="00F400FD" w:rsidRPr="00F400FD" w:rsidRDefault="00F400FD" w:rsidP="00F400FD">
      <w:pPr>
        <w:rPr>
          <w:b/>
          <w:bCs/>
          <w:lang w:val="es-PE"/>
        </w:rPr>
      </w:pPr>
      <w:r w:rsidRPr="00F400FD">
        <w:rPr>
          <w:b/>
          <w:bCs/>
          <w:lang w:val="es-PE"/>
        </w:rPr>
        <w:t>3.2 Compilación de variables operativas</w:t>
      </w:r>
    </w:p>
    <w:p w14:paraId="608C96B8" w14:textId="77777777" w:rsidR="00F400FD" w:rsidRPr="00F400FD" w:rsidRDefault="00F400FD" w:rsidP="00F400FD">
      <w:pPr>
        <w:spacing w:line="240" w:lineRule="auto"/>
        <w:jc w:val="both"/>
        <w:rPr>
          <w:lang w:val="es-PE"/>
        </w:rPr>
      </w:pPr>
      <w:r w:rsidRPr="00F400FD">
        <w:rPr>
          <w:lang w:val="es-PE"/>
        </w:rPr>
        <w:t xml:space="preserve">La construcción de la base de datos arrancó con la extracción de variables “duras” —producción anual, ley de cabeza, recuperación metalúrgica, tipo de mina y relación </w:t>
      </w:r>
      <w:proofErr w:type="spellStart"/>
      <w:proofErr w:type="gramStart"/>
      <w:r w:rsidRPr="00F400FD">
        <w:rPr>
          <w:lang w:val="es-PE"/>
        </w:rPr>
        <w:t>estéril:mineral</w:t>
      </w:r>
      <w:proofErr w:type="spellEnd"/>
      <w:proofErr w:type="gramEnd"/>
      <w:r w:rsidRPr="00F400FD">
        <w:rPr>
          <w:lang w:val="es-PE"/>
        </w:rPr>
        <w:t xml:space="preserve">— obtenidas de reportes 20-F y estudios NI 43-101. Cada valor se contrastó con las publicaciones del MINEM y con la base de SNL </w:t>
      </w:r>
      <w:proofErr w:type="spellStart"/>
      <w:r w:rsidRPr="00F400FD">
        <w:rPr>
          <w:lang w:val="es-PE"/>
        </w:rPr>
        <w:t>Metals</w:t>
      </w:r>
      <w:proofErr w:type="spellEnd"/>
      <w:r w:rsidRPr="00F400FD">
        <w:rPr>
          <w:lang w:val="es-PE"/>
        </w:rPr>
        <w:t xml:space="preserve"> &amp; </w:t>
      </w:r>
      <w:proofErr w:type="spellStart"/>
      <w:r w:rsidRPr="00F400FD">
        <w:rPr>
          <w:lang w:val="es-PE"/>
        </w:rPr>
        <w:t>Mining</w:t>
      </w:r>
      <w:proofErr w:type="spellEnd"/>
      <w:r w:rsidRPr="00F400FD">
        <w:rPr>
          <w:lang w:val="es-PE"/>
        </w:rPr>
        <w:t xml:space="preserve"> para asegurarnos de que no hubiera divergencias mayores al 2 %.</w:t>
      </w:r>
    </w:p>
    <w:p w14:paraId="0C7F0762" w14:textId="77777777" w:rsidR="00F400FD" w:rsidRDefault="00F400FD" w:rsidP="00F400FD">
      <w:pPr>
        <w:spacing w:line="240" w:lineRule="auto"/>
        <w:jc w:val="both"/>
        <w:rPr>
          <w:lang w:val="es-PE"/>
        </w:rPr>
      </w:pPr>
      <w:r w:rsidRPr="00F400FD">
        <w:rPr>
          <w:lang w:val="es-PE"/>
        </w:rPr>
        <w:t>Para los costos, trabajamos con los estados financieros auditados 2021-2023, los informes de Wood Mackenzie y la base comparativa de CRU. Una vez reunida la información, se realizó un saneamiento de datos: valores faltantes, que representan menos del 0,3 % del total, se imputaron mediante el método “</w:t>
      </w:r>
      <w:proofErr w:type="spellStart"/>
      <w:r w:rsidRPr="00F400FD">
        <w:rPr>
          <w:lang w:val="es-PE"/>
        </w:rPr>
        <w:t>hot-deck</w:t>
      </w:r>
      <w:proofErr w:type="spellEnd"/>
      <w:r w:rsidRPr="00F400FD">
        <w:rPr>
          <w:lang w:val="es-PE"/>
        </w:rPr>
        <w:t xml:space="preserve">” dentro del mismo quintil de producción; los </w:t>
      </w:r>
      <w:proofErr w:type="spellStart"/>
      <w:r w:rsidRPr="00F400FD">
        <w:rPr>
          <w:lang w:val="es-PE"/>
        </w:rPr>
        <w:t>outliers</w:t>
      </w:r>
      <w:proofErr w:type="spellEnd"/>
      <w:r w:rsidRPr="00F400FD">
        <w:rPr>
          <w:lang w:val="es-PE"/>
        </w:rPr>
        <w:t xml:space="preserve"> por encima de tres desviaciones estándar fueron </w:t>
      </w:r>
      <w:proofErr w:type="spellStart"/>
      <w:r w:rsidRPr="00F400FD">
        <w:rPr>
          <w:lang w:val="es-PE"/>
        </w:rPr>
        <w:t>winsorizados</w:t>
      </w:r>
      <w:proofErr w:type="spellEnd"/>
      <w:r w:rsidRPr="00F400FD">
        <w:rPr>
          <w:lang w:val="es-PE"/>
        </w:rPr>
        <w:t xml:space="preserve"> al percentil 97 para evitar distorsiones en la varianza sin eliminar observaciones válidas.</w:t>
      </w:r>
    </w:p>
    <w:p w14:paraId="6972D513" w14:textId="54E07074" w:rsidR="00672446" w:rsidRPr="00672446" w:rsidRDefault="00672446" w:rsidP="00672446">
      <w:pPr>
        <w:spacing w:line="240" w:lineRule="auto"/>
        <w:jc w:val="both"/>
        <w:rPr>
          <w:lang w:val="es-PE"/>
        </w:rPr>
      </w:pPr>
      <w:r w:rsidRPr="00672446">
        <w:rPr>
          <w:b/>
          <w:bCs/>
          <w:lang w:val="es-PE"/>
        </w:rPr>
        <w:t xml:space="preserve">Tabla 3-2. Fuentes de datos </w:t>
      </w:r>
      <w:proofErr w:type="spellStart"/>
      <w:r w:rsidRPr="00672446">
        <w:rPr>
          <w:b/>
          <w:bCs/>
          <w:lang w:val="es-PE"/>
        </w:rPr>
        <w:t>macro-fiscales</w:t>
      </w:r>
      <w:proofErr w:type="spellEnd"/>
    </w:p>
    <w:p w14:paraId="0686B48E" w14:textId="75653887" w:rsidR="00672446" w:rsidRDefault="00672446" w:rsidP="00672446">
      <w:pPr>
        <w:spacing w:line="240" w:lineRule="auto"/>
        <w:jc w:val="both"/>
        <w:rPr>
          <w:lang w:val="es-PE"/>
        </w:rPr>
      </w:pPr>
      <w:r w:rsidRPr="00672446">
        <w:t xml:space="preserve">  </w:t>
      </w:r>
    </w:p>
    <w:tbl>
      <w:tblPr>
        <w:tblStyle w:val="PlainTable5"/>
        <w:tblW w:w="5040" w:type="dxa"/>
        <w:tblInd w:w="-342" w:type="dxa"/>
        <w:tblLook w:val="04A0" w:firstRow="1" w:lastRow="0" w:firstColumn="1" w:lastColumn="0" w:noHBand="0" w:noVBand="1"/>
      </w:tblPr>
      <w:tblGrid>
        <w:gridCol w:w="1302"/>
        <w:gridCol w:w="1086"/>
        <w:gridCol w:w="1437"/>
        <w:gridCol w:w="1215"/>
      </w:tblGrid>
      <w:tr w:rsidR="00F400FD" w:rsidRPr="00F400FD" w14:paraId="0C7E02BB" w14:textId="77777777" w:rsidTr="00F400F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4DF4E97" w14:textId="77777777" w:rsidR="00F400FD" w:rsidRPr="00F400FD" w:rsidRDefault="00F400FD" w:rsidP="00F400FD">
            <w:pPr>
              <w:spacing w:after="200" w:line="276" w:lineRule="auto"/>
              <w:jc w:val="both"/>
              <w:rPr>
                <w:b/>
                <w:bCs/>
                <w:sz w:val="14"/>
                <w:szCs w:val="14"/>
              </w:rPr>
            </w:pPr>
            <w:r w:rsidRPr="00F400FD">
              <w:rPr>
                <w:b/>
                <w:bCs/>
                <w:sz w:val="14"/>
                <w:szCs w:val="14"/>
              </w:rPr>
              <w:t>Variable</w:t>
            </w:r>
          </w:p>
        </w:tc>
        <w:tc>
          <w:tcPr>
            <w:tcW w:w="0" w:type="auto"/>
            <w:hideMark/>
          </w:tcPr>
          <w:p w14:paraId="75D6D20A" w14:textId="77777777" w:rsidR="00F400FD" w:rsidRPr="00F400FD" w:rsidRDefault="00F400FD" w:rsidP="00F400FD">
            <w:pPr>
              <w:spacing w:after="200" w:line="276" w:lineRule="auto"/>
              <w:jc w:val="both"/>
              <w:cnfStyle w:val="100000000000" w:firstRow="1" w:lastRow="0" w:firstColumn="0" w:lastColumn="0" w:oddVBand="0" w:evenVBand="0" w:oddHBand="0" w:evenHBand="0" w:firstRowFirstColumn="0" w:firstRowLastColumn="0" w:lastRowFirstColumn="0" w:lastRowLastColumn="0"/>
              <w:rPr>
                <w:b/>
                <w:bCs/>
                <w:sz w:val="14"/>
                <w:szCs w:val="14"/>
              </w:rPr>
            </w:pPr>
            <w:r w:rsidRPr="00F400FD">
              <w:rPr>
                <w:b/>
                <w:bCs/>
                <w:sz w:val="14"/>
                <w:szCs w:val="14"/>
              </w:rPr>
              <w:t xml:space="preserve">Fuente </w:t>
            </w:r>
            <w:proofErr w:type="spellStart"/>
            <w:r w:rsidRPr="00F400FD">
              <w:rPr>
                <w:b/>
                <w:bCs/>
                <w:sz w:val="14"/>
                <w:szCs w:val="14"/>
              </w:rPr>
              <w:t>primaria</w:t>
            </w:r>
            <w:proofErr w:type="spellEnd"/>
          </w:p>
        </w:tc>
        <w:tc>
          <w:tcPr>
            <w:tcW w:w="0" w:type="auto"/>
            <w:hideMark/>
          </w:tcPr>
          <w:p w14:paraId="4D44CC02" w14:textId="77777777" w:rsidR="00F400FD" w:rsidRPr="00F400FD" w:rsidRDefault="00F400FD" w:rsidP="00F400FD">
            <w:pPr>
              <w:spacing w:after="200" w:line="276" w:lineRule="auto"/>
              <w:jc w:val="both"/>
              <w:cnfStyle w:val="100000000000" w:firstRow="1" w:lastRow="0" w:firstColumn="0" w:lastColumn="0" w:oddVBand="0" w:evenVBand="0" w:oddHBand="0" w:evenHBand="0" w:firstRowFirstColumn="0" w:firstRowLastColumn="0" w:lastRowFirstColumn="0" w:lastRowLastColumn="0"/>
              <w:rPr>
                <w:b/>
                <w:bCs/>
                <w:sz w:val="14"/>
                <w:szCs w:val="14"/>
              </w:rPr>
            </w:pPr>
            <w:proofErr w:type="spellStart"/>
            <w:r w:rsidRPr="00F400FD">
              <w:rPr>
                <w:b/>
                <w:bCs/>
                <w:sz w:val="14"/>
                <w:szCs w:val="14"/>
              </w:rPr>
              <w:t>Proceso</w:t>
            </w:r>
            <w:proofErr w:type="spellEnd"/>
            <w:r w:rsidRPr="00F400FD">
              <w:rPr>
                <w:b/>
                <w:bCs/>
                <w:sz w:val="14"/>
                <w:szCs w:val="14"/>
              </w:rPr>
              <w:t xml:space="preserve"> de </w:t>
            </w:r>
            <w:proofErr w:type="spellStart"/>
            <w:r w:rsidRPr="00F400FD">
              <w:rPr>
                <w:b/>
                <w:bCs/>
                <w:sz w:val="14"/>
                <w:szCs w:val="14"/>
              </w:rPr>
              <w:t>verificación</w:t>
            </w:r>
            <w:proofErr w:type="spellEnd"/>
          </w:p>
        </w:tc>
        <w:tc>
          <w:tcPr>
            <w:tcW w:w="1215" w:type="dxa"/>
            <w:hideMark/>
          </w:tcPr>
          <w:p w14:paraId="635344A9" w14:textId="77777777" w:rsidR="00F400FD" w:rsidRPr="00F400FD" w:rsidRDefault="00F400FD" w:rsidP="00F400FD">
            <w:pPr>
              <w:spacing w:after="200" w:line="276" w:lineRule="auto"/>
              <w:jc w:val="both"/>
              <w:cnfStyle w:val="100000000000" w:firstRow="1" w:lastRow="0" w:firstColumn="0" w:lastColumn="0" w:oddVBand="0" w:evenVBand="0" w:oddHBand="0" w:evenHBand="0" w:firstRowFirstColumn="0" w:firstRowLastColumn="0" w:lastRowFirstColumn="0" w:lastRowLastColumn="0"/>
              <w:rPr>
                <w:b/>
                <w:bCs/>
                <w:sz w:val="14"/>
                <w:szCs w:val="14"/>
              </w:rPr>
            </w:pPr>
            <w:proofErr w:type="spellStart"/>
            <w:r w:rsidRPr="00F400FD">
              <w:rPr>
                <w:b/>
                <w:bCs/>
                <w:sz w:val="14"/>
                <w:szCs w:val="14"/>
              </w:rPr>
              <w:t>Cobertura</w:t>
            </w:r>
            <w:proofErr w:type="spellEnd"/>
            <w:r w:rsidRPr="00F400FD">
              <w:rPr>
                <w:b/>
                <w:bCs/>
                <w:sz w:val="14"/>
                <w:szCs w:val="14"/>
              </w:rPr>
              <w:t xml:space="preserve"> temporal</w:t>
            </w:r>
          </w:p>
        </w:tc>
      </w:tr>
      <w:tr w:rsidR="00F400FD" w:rsidRPr="00F400FD" w14:paraId="1CA45CBC" w14:textId="77777777" w:rsidTr="00F40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3B72A9" w14:textId="77777777" w:rsidR="00F400FD" w:rsidRPr="00F400FD" w:rsidRDefault="00F400FD" w:rsidP="00F400FD">
            <w:pPr>
              <w:spacing w:after="200" w:line="276" w:lineRule="auto"/>
              <w:jc w:val="both"/>
              <w:rPr>
                <w:sz w:val="14"/>
                <w:szCs w:val="14"/>
              </w:rPr>
            </w:pPr>
            <w:proofErr w:type="spellStart"/>
            <w:r w:rsidRPr="00F400FD">
              <w:rPr>
                <w:sz w:val="14"/>
                <w:szCs w:val="14"/>
              </w:rPr>
              <w:t>Producción</w:t>
            </w:r>
            <w:proofErr w:type="spellEnd"/>
            <w:r w:rsidRPr="00F400FD">
              <w:rPr>
                <w:sz w:val="14"/>
                <w:szCs w:val="14"/>
              </w:rPr>
              <w:t xml:space="preserve">, </w:t>
            </w:r>
            <w:proofErr w:type="gramStart"/>
            <w:r w:rsidRPr="00F400FD">
              <w:rPr>
                <w:sz w:val="14"/>
                <w:szCs w:val="14"/>
              </w:rPr>
              <w:t>ley</w:t>
            </w:r>
            <w:proofErr w:type="gramEnd"/>
            <w:r w:rsidRPr="00F400FD">
              <w:rPr>
                <w:sz w:val="14"/>
                <w:szCs w:val="14"/>
              </w:rPr>
              <w:t xml:space="preserve">, </w:t>
            </w:r>
            <w:proofErr w:type="spellStart"/>
            <w:r w:rsidRPr="00F400FD">
              <w:rPr>
                <w:sz w:val="14"/>
                <w:szCs w:val="14"/>
              </w:rPr>
              <w:t>recuperación</w:t>
            </w:r>
            <w:proofErr w:type="spellEnd"/>
          </w:p>
        </w:tc>
        <w:tc>
          <w:tcPr>
            <w:tcW w:w="0" w:type="auto"/>
            <w:hideMark/>
          </w:tcPr>
          <w:p w14:paraId="58AA961C" w14:textId="77777777" w:rsidR="00F400FD" w:rsidRPr="00F400FD" w:rsidRDefault="00F400FD" w:rsidP="00F400FD">
            <w:pPr>
              <w:spacing w:after="200" w:line="276" w:lineRule="auto"/>
              <w:jc w:val="both"/>
              <w:cnfStyle w:val="000000100000" w:firstRow="0" w:lastRow="0" w:firstColumn="0" w:lastColumn="0" w:oddVBand="0" w:evenVBand="0" w:oddHBand="1" w:evenHBand="0" w:firstRowFirstColumn="0" w:firstRowLastColumn="0" w:lastRowFirstColumn="0" w:lastRowLastColumn="0"/>
              <w:rPr>
                <w:sz w:val="14"/>
                <w:szCs w:val="14"/>
              </w:rPr>
            </w:pPr>
            <w:proofErr w:type="spellStart"/>
            <w:r w:rsidRPr="00F400FD">
              <w:rPr>
                <w:sz w:val="14"/>
                <w:szCs w:val="14"/>
              </w:rPr>
              <w:t>Reportes</w:t>
            </w:r>
            <w:proofErr w:type="spellEnd"/>
            <w:r w:rsidRPr="00F400FD">
              <w:rPr>
                <w:sz w:val="14"/>
                <w:szCs w:val="14"/>
              </w:rPr>
              <w:t xml:space="preserve"> 20-F, NI 43-101</w:t>
            </w:r>
          </w:p>
        </w:tc>
        <w:tc>
          <w:tcPr>
            <w:tcW w:w="0" w:type="auto"/>
            <w:hideMark/>
          </w:tcPr>
          <w:p w14:paraId="234D8C69" w14:textId="77777777" w:rsidR="00F400FD" w:rsidRPr="00F400FD" w:rsidRDefault="00F400FD" w:rsidP="00F400FD">
            <w:pPr>
              <w:spacing w:after="200" w:line="276" w:lineRule="auto"/>
              <w:jc w:val="both"/>
              <w:cnfStyle w:val="000000100000" w:firstRow="0" w:lastRow="0" w:firstColumn="0" w:lastColumn="0" w:oddVBand="0" w:evenVBand="0" w:oddHBand="1" w:evenHBand="0" w:firstRowFirstColumn="0" w:firstRowLastColumn="0" w:lastRowFirstColumn="0" w:lastRowLastColumn="0"/>
              <w:rPr>
                <w:sz w:val="14"/>
                <w:szCs w:val="14"/>
                <w:lang w:val="es-PE"/>
              </w:rPr>
            </w:pPr>
            <w:r w:rsidRPr="00F400FD">
              <w:rPr>
                <w:sz w:val="14"/>
                <w:szCs w:val="14"/>
                <w:lang w:val="es-PE"/>
              </w:rPr>
              <w:t>Cruce con MINEM (Boletín Estadístico)</w:t>
            </w:r>
          </w:p>
        </w:tc>
        <w:tc>
          <w:tcPr>
            <w:tcW w:w="1215" w:type="dxa"/>
            <w:hideMark/>
          </w:tcPr>
          <w:p w14:paraId="7110629F" w14:textId="77777777" w:rsidR="00F400FD" w:rsidRPr="00F400FD" w:rsidRDefault="00F400FD" w:rsidP="00F400FD">
            <w:pPr>
              <w:spacing w:after="200" w:line="276" w:lineRule="auto"/>
              <w:jc w:val="both"/>
              <w:cnfStyle w:val="000000100000" w:firstRow="0" w:lastRow="0" w:firstColumn="0" w:lastColumn="0" w:oddVBand="0" w:evenVBand="0" w:oddHBand="1" w:evenHBand="0" w:firstRowFirstColumn="0" w:firstRowLastColumn="0" w:lastRowFirstColumn="0" w:lastRowLastColumn="0"/>
              <w:rPr>
                <w:sz w:val="14"/>
                <w:szCs w:val="14"/>
              </w:rPr>
            </w:pPr>
            <w:r w:rsidRPr="00F400FD">
              <w:rPr>
                <w:sz w:val="14"/>
                <w:szCs w:val="14"/>
              </w:rPr>
              <w:t>2019-2024</w:t>
            </w:r>
          </w:p>
        </w:tc>
      </w:tr>
      <w:tr w:rsidR="00F400FD" w:rsidRPr="00F400FD" w14:paraId="11F9F88F" w14:textId="77777777" w:rsidTr="00F400FD">
        <w:tc>
          <w:tcPr>
            <w:cnfStyle w:val="001000000000" w:firstRow="0" w:lastRow="0" w:firstColumn="1" w:lastColumn="0" w:oddVBand="0" w:evenVBand="0" w:oddHBand="0" w:evenHBand="0" w:firstRowFirstColumn="0" w:firstRowLastColumn="0" w:lastRowFirstColumn="0" w:lastRowLastColumn="0"/>
            <w:tcW w:w="0" w:type="auto"/>
            <w:hideMark/>
          </w:tcPr>
          <w:p w14:paraId="68864C38" w14:textId="77777777" w:rsidR="00F400FD" w:rsidRPr="00F400FD" w:rsidRDefault="00F400FD" w:rsidP="00F400FD">
            <w:pPr>
              <w:spacing w:after="200" w:line="276" w:lineRule="auto"/>
              <w:jc w:val="both"/>
              <w:rPr>
                <w:sz w:val="14"/>
                <w:szCs w:val="14"/>
              </w:rPr>
            </w:pPr>
            <w:r w:rsidRPr="00F400FD">
              <w:rPr>
                <w:sz w:val="14"/>
                <w:szCs w:val="14"/>
              </w:rPr>
              <w:t>C1-Cash Cost y C3</w:t>
            </w:r>
          </w:p>
        </w:tc>
        <w:tc>
          <w:tcPr>
            <w:tcW w:w="0" w:type="auto"/>
            <w:hideMark/>
          </w:tcPr>
          <w:p w14:paraId="0326FBD4" w14:textId="77777777" w:rsidR="00F400FD" w:rsidRPr="00F400FD" w:rsidRDefault="00F400FD" w:rsidP="00F400FD">
            <w:pPr>
              <w:spacing w:after="200" w:line="276" w:lineRule="auto"/>
              <w:jc w:val="both"/>
              <w:cnfStyle w:val="000000000000" w:firstRow="0" w:lastRow="0" w:firstColumn="0" w:lastColumn="0" w:oddVBand="0" w:evenVBand="0" w:oddHBand="0" w:evenHBand="0" w:firstRowFirstColumn="0" w:firstRowLastColumn="0" w:lastRowFirstColumn="0" w:lastRowLastColumn="0"/>
              <w:rPr>
                <w:sz w:val="14"/>
                <w:szCs w:val="14"/>
              </w:rPr>
            </w:pPr>
            <w:r w:rsidRPr="00F400FD">
              <w:rPr>
                <w:sz w:val="14"/>
                <w:szCs w:val="14"/>
              </w:rPr>
              <w:t xml:space="preserve">EEFF </w:t>
            </w:r>
            <w:proofErr w:type="spellStart"/>
            <w:r w:rsidRPr="00F400FD">
              <w:rPr>
                <w:sz w:val="14"/>
                <w:szCs w:val="14"/>
              </w:rPr>
              <w:t>auditados</w:t>
            </w:r>
            <w:proofErr w:type="spellEnd"/>
            <w:r w:rsidRPr="00F400FD">
              <w:rPr>
                <w:sz w:val="14"/>
                <w:szCs w:val="14"/>
              </w:rPr>
              <w:t xml:space="preserve"> (SMV)</w:t>
            </w:r>
          </w:p>
        </w:tc>
        <w:tc>
          <w:tcPr>
            <w:tcW w:w="0" w:type="auto"/>
            <w:hideMark/>
          </w:tcPr>
          <w:p w14:paraId="0997B4AF" w14:textId="77777777" w:rsidR="00F400FD" w:rsidRPr="00F400FD" w:rsidRDefault="00F400FD" w:rsidP="00F400FD">
            <w:pPr>
              <w:spacing w:after="200" w:line="276" w:lineRule="auto"/>
              <w:jc w:val="both"/>
              <w:cnfStyle w:val="000000000000" w:firstRow="0" w:lastRow="0" w:firstColumn="0" w:lastColumn="0" w:oddVBand="0" w:evenVBand="0" w:oddHBand="0" w:evenHBand="0" w:firstRowFirstColumn="0" w:firstRowLastColumn="0" w:lastRowFirstColumn="0" w:lastRowLastColumn="0"/>
              <w:rPr>
                <w:sz w:val="14"/>
                <w:szCs w:val="14"/>
              </w:rPr>
            </w:pPr>
            <w:r w:rsidRPr="00F400FD">
              <w:rPr>
                <w:sz w:val="14"/>
                <w:szCs w:val="14"/>
              </w:rPr>
              <w:t>Wood Mackenzie, CRU</w:t>
            </w:r>
          </w:p>
        </w:tc>
        <w:tc>
          <w:tcPr>
            <w:tcW w:w="1215" w:type="dxa"/>
            <w:hideMark/>
          </w:tcPr>
          <w:p w14:paraId="1BFB47B0" w14:textId="77777777" w:rsidR="00F400FD" w:rsidRPr="00F400FD" w:rsidRDefault="00F400FD" w:rsidP="00F400FD">
            <w:pPr>
              <w:spacing w:after="200" w:line="276" w:lineRule="auto"/>
              <w:jc w:val="both"/>
              <w:cnfStyle w:val="000000000000" w:firstRow="0" w:lastRow="0" w:firstColumn="0" w:lastColumn="0" w:oddVBand="0" w:evenVBand="0" w:oddHBand="0" w:evenHBand="0" w:firstRowFirstColumn="0" w:firstRowLastColumn="0" w:lastRowFirstColumn="0" w:lastRowLastColumn="0"/>
              <w:rPr>
                <w:sz w:val="14"/>
                <w:szCs w:val="14"/>
              </w:rPr>
            </w:pPr>
            <w:r w:rsidRPr="00F400FD">
              <w:rPr>
                <w:sz w:val="14"/>
                <w:szCs w:val="14"/>
              </w:rPr>
              <w:t>2021-2023</w:t>
            </w:r>
          </w:p>
        </w:tc>
      </w:tr>
      <w:tr w:rsidR="00F400FD" w:rsidRPr="00F400FD" w14:paraId="39647310" w14:textId="77777777" w:rsidTr="00F40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C13112" w14:textId="77777777" w:rsidR="00F400FD" w:rsidRPr="00F400FD" w:rsidRDefault="00F400FD" w:rsidP="00F400FD">
            <w:pPr>
              <w:spacing w:after="200" w:line="276" w:lineRule="auto"/>
              <w:jc w:val="both"/>
              <w:rPr>
                <w:sz w:val="14"/>
                <w:szCs w:val="14"/>
                <w:lang w:val="es-PE"/>
              </w:rPr>
            </w:pPr>
            <w:proofErr w:type="spellStart"/>
            <w:r w:rsidRPr="00F400FD">
              <w:rPr>
                <w:sz w:val="14"/>
                <w:szCs w:val="14"/>
                <w:lang w:val="es-PE"/>
              </w:rPr>
              <w:t>Strip</w:t>
            </w:r>
            <w:proofErr w:type="spellEnd"/>
            <w:r w:rsidRPr="00F400FD">
              <w:rPr>
                <w:sz w:val="14"/>
                <w:szCs w:val="14"/>
                <w:lang w:val="es-PE"/>
              </w:rPr>
              <w:t xml:space="preserve"> Ratio y tipo de mina</w:t>
            </w:r>
          </w:p>
        </w:tc>
        <w:tc>
          <w:tcPr>
            <w:tcW w:w="0" w:type="auto"/>
            <w:hideMark/>
          </w:tcPr>
          <w:p w14:paraId="37845AB1" w14:textId="77777777" w:rsidR="00F400FD" w:rsidRPr="00F400FD" w:rsidRDefault="00F400FD" w:rsidP="00F400FD">
            <w:pPr>
              <w:spacing w:after="200" w:line="276" w:lineRule="auto"/>
              <w:jc w:val="both"/>
              <w:cnfStyle w:val="000000100000" w:firstRow="0" w:lastRow="0" w:firstColumn="0" w:lastColumn="0" w:oddVBand="0" w:evenVBand="0" w:oddHBand="1" w:evenHBand="0" w:firstRowFirstColumn="0" w:firstRowLastColumn="0" w:lastRowFirstColumn="0" w:lastRowLastColumn="0"/>
              <w:rPr>
                <w:sz w:val="14"/>
                <w:szCs w:val="14"/>
              </w:rPr>
            </w:pPr>
            <w:r w:rsidRPr="00F400FD">
              <w:rPr>
                <w:sz w:val="14"/>
                <w:szCs w:val="14"/>
              </w:rPr>
              <w:t>NI 43-101</w:t>
            </w:r>
          </w:p>
        </w:tc>
        <w:tc>
          <w:tcPr>
            <w:tcW w:w="0" w:type="auto"/>
            <w:hideMark/>
          </w:tcPr>
          <w:p w14:paraId="6B97FDAF" w14:textId="77777777" w:rsidR="00F400FD" w:rsidRPr="00F400FD" w:rsidRDefault="00F400FD" w:rsidP="00F400FD">
            <w:pPr>
              <w:spacing w:after="200" w:line="276" w:lineRule="auto"/>
              <w:jc w:val="both"/>
              <w:cnfStyle w:val="000000100000" w:firstRow="0" w:lastRow="0" w:firstColumn="0" w:lastColumn="0" w:oddVBand="0" w:evenVBand="0" w:oddHBand="1" w:evenHBand="0" w:firstRowFirstColumn="0" w:firstRowLastColumn="0" w:lastRowFirstColumn="0" w:lastRowLastColumn="0"/>
              <w:rPr>
                <w:sz w:val="14"/>
                <w:szCs w:val="14"/>
              </w:rPr>
            </w:pPr>
            <w:r w:rsidRPr="00F400FD">
              <w:rPr>
                <w:sz w:val="14"/>
                <w:szCs w:val="14"/>
              </w:rPr>
              <w:t>SNL Metals &amp; Mining</w:t>
            </w:r>
          </w:p>
        </w:tc>
        <w:tc>
          <w:tcPr>
            <w:tcW w:w="1215" w:type="dxa"/>
            <w:hideMark/>
          </w:tcPr>
          <w:p w14:paraId="40EC040E" w14:textId="77777777" w:rsidR="00F400FD" w:rsidRPr="00F400FD" w:rsidRDefault="00F400FD" w:rsidP="00F400FD">
            <w:pPr>
              <w:spacing w:after="200" w:line="276" w:lineRule="auto"/>
              <w:jc w:val="both"/>
              <w:cnfStyle w:val="000000100000" w:firstRow="0" w:lastRow="0" w:firstColumn="0" w:lastColumn="0" w:oddVBand="0" w:evenVBand="0" w:oddHBand="1" w:evenHBand="0" w:firstRowFirstColumn="0" w:firstRowLastColumn="0" w:lastRowFirstColumn="0" w:lastRowLastColumn="0"/>
              <w:rPr>
                <w:sz w:val="14"/>
                <w:szCs w:val="14"/>
              </w:rPr>
            </w:pPr>
            <w:r w:rsidRPr="00F400FD">
              <w:rPr>
                <w:sz w:val="14"/>
                <w:szCs w:val="14"/>
              </w:rPr>
              <w:t>2020-2024</w:t>
            </w:r>
          </w:p>
        </w:tc>
      </w:tr>
      <w:tr w:rsidR="00F400FD" w:rsidRPr="00F400FD" w14:paraId="2DB1A156" w14:textId="77777777" w:rsidTr="00F400FD">
        <w:tc>
          <w:tcPr>
            <w:cnfStyle w:val="001000000000" w:firstRow="0" w:lastRow="0" w:firstColumn="1" w:lastColumn="0" w:oddVBand="0" w:evenVBand="0" w:oddHBand="0" w:evenHBand="0" w:firstRowFirstColumn="0" w:firstRowLastColumn="0" w:lastRowFirstColumn="0" w:lastRowLastColumn="0"/>
            <w:tcW w:w="0" w:type="auto"/>
            <w:hideMark/>
          </w:tcPr>
          <w:p w14:paraId="5D9F0ED1" w14:textId="77777777" w:rsidR="00F400FD" w:rsidRPr="00F400FD" w:rsidRDefault="00F400FD" w:rsidP="00F400FD">
            <w:pPr>
              <w:spacing w:after="200" w:line="276" w:lineRule="auto"/>
              <w:jc w:val="both"/>
              <w:rPr>
                <w:sz w:val="14"/>
                <w:szCs w:val="14"/>
                <w:lang w:val="es-PE"/>
              </w:rPr>
            </w:pPr>
            <w:r w:rsidRPr="00F400FD">
              <w:rPr>
                <w:sz w:val="14"/>
                <w:szCs w:val="14"/>
                <w:lang w:val="es-PE"/>
              </w:rPr>
              <w:t>Capacidad de planta (</w:t>
            </w:r>
            <w:proofErr w:type="spellStart"/>
            <w:r w:rsidRPr="00F400FD">
              <w:rPr>
                <w:sz w:val="14"/>
                <w:szCs w:val="14"/>
                <w:lang w:val="es-PE"/>
              </w:rPr>
              <w:t>kt</w:t>
            </w:r>
            <w:proofErr w:type="spellEnd"/>
            <w:r w:rsidRPr="00F400FD">
              <w:rPr>
                <w:sz w:val="14"/>
                <w:szCs w:val="14"/>
                <w:lang w:val="es-PE"/>
              </w:rPr>
              <w:t>/día)</w:t>
            </w:r>
          </w:p>
        </w:tc>
        <w:tc>
          <w:tcPr>
            <w:tcW w:w="0" w:type="auto"/>
            <w:hideMark/>
          </w:tcPr>
          <w:p w14:paraId="3A08583E" w14:textId="77777777" w:rsidR="00F400FD" w:rsidRPr="00F400FD" w:rsidRDefault="00F400FD" w:rsidP="00F400FD">
            <w:pPr>
              <w:spacing w:after="200" w:line="276" w:lineRule="auto"/>
              <w:jc w:val="both"/>
              <w:cnfStyle w:val="000000000000" w:firstRow="0" w:lastRow="0" w:firstColumn="0" w:lastColumn="0" w:oddVBand="0" w:evenVBand="0" w:oddHBand="0" w:evenHBand="0" w:firstRowFirstColumn="0" w:firstRowLastColumn="0" w:lastRowFirstColumn="0" w:lastRowLastColumn="0"/>
              <w:rPr>
                <w:sz w:val="14"/>
                <w:szCs w:val="14"/>
              </w:rPr>
            </w:pPr>
            <w:proofErr w:type="spellStart"/>
            <w:r w:rsidRPr="00F400FD">
              <w:rPr>
                <w:sz w:val="14"/>
                <w:szCs w:val="14"/>
              </w:rPr>
              <w:t>Reportes</w:t>
            </w:r>
            <w:proofErr w:type="spellEnd"/>
            <w:r w:rsidRPr="00F400FD">
              <w:rPr>
                <w:sz w:val="14"/>
                <w:szCs w:val="14"/>
              </w:rPr>
              <w:t xml:space="preserve"> </w:t>
            </w:r>
            <w:proofErr w:type="spellStart"/>
            <w:r w:rsidRPr="00F400FD">
              <w:rPr>
                <w:sz w:val="14"/>
                <w:szCs w:val="14"/>
              </w:rPr>
              <w:t>técnicos</w:t>
            </w:r>
            <w:proofErr w:type="spellEnd"/>
          </w:p>
        </w:tc>
        <w:tc>
          <w:tcPr>
            <w:tcW w:w="0" w:type="auto"/>
            <w:hideMark/>
          </w:tcPr>
          <w:p w14:paraId="6D2E2713" w14:textId="77777777" w:rsidR="00F400FD" w:rsidRPr="00F400FD" w:rsidRDefault="00F400FD" w:rsidP="00F400FD">
            <w:pPr>
              <w:spacing w:after="200" w:line="276" w:lineRule="auto"/>
              <w:jc w:val="both"/>
              <w:cnfStyle w:val="000000000000" w:firstRow="0" w:lastRow="0" w:firstColumn="0" w:lastColumn="0" w:oddVBand="0" w:evenVBand="0" w:oddHBand="0" w:evenHBand="0" w:firstRowFirstColumn="0" w:firstRowLastColumn="0" w:lastRowFirstColumn="0" w:lastRowLastColumn="0"/>
              <w:rPr>
                <w:sz w:val="14"/>
                <w:szCs w:val="14"/>
              </w:rPr>
            </w:pPr>
            <w:r w:rsidRPr="00F400FD">
              <w:rPr>
                <w:sz w:val="14"/>
                <w:szCs w:val="14"/>
              </w:rPr>
              <w:t xml:space="preserve">Visita virtual de </w:t>
            </w:r>
            <w:proofErr w:type="spellStart"/>
            <w:r w:rsidRPr="00F400FD">
              <w:rPr>
                <w:sz w:val="14"/>
                <w:szCs w:val="14"/>
              </w:rPr>
              <w:t>inspección</w:t>
            </w:r>
            <w:proofErr w:type="spellEnd"/>
          </w:p>
        </w:tc>
        <w:tc>
          <w:tcPr>
            <w:tcW w:w="1215" w:type="dxa"/>
            <w:hideMark/>
          </w:tcPr>
          <w:p w14:paraId="1E9DFAF7" w14:textId="77777777" w:rsidR="00F400FD" w:rsidRPr="00F400FD" w:rsidRDefault="00F400FD" w:rsidP="00F400FD">
            <w:pPr>
              <w:spacing w:after="200" w:line="276" w:lineRule="auto"/>
              <w:jc w:val="both"/>
              <w:cnfStyle w:val="000000000000" w:firstRow="0" w:lastRow="0" w:firstColumn="0" w:lastColumn="0" w:oddVBand="0" w:evenVBand="0" w:oddHBand="0" w:evenHBand="0" w:firstRowFirstColumn="0" w:firstRowLastColumn="0" w:lastRowFirstColumn="0" w:lastRowLastColumn="0"/>
              <w:rPr>
                <w:sz w:val="14"/>
                <w:szCs w:val="14"/>
              </w:rPr>
            </w:pPr>
            <w:r w:rsidRPr="00F400FD">
              <w:rPr>
                <w:sz w:val="14"/>
                <w:szCs w:val="14"/>
              </w:rPr>
              <w:t>2024</w:t>
            </w:r>
          </w:p>
        </w:tc>
      </w:tr>
    </w:tbl>
    <w:p w14:paraId="086F20D3" w14:textId="77777777" w:rsidR="00F400FD" w:rsidRPr="00F400FD" w:rsidRDefault="00F400FD" w:rsidP="00F400FD">
      <w:pPr>
        <w:jc w:val="both"/>
        <w:rPr>
          <w:lang w:val="es-PE"/>
        </w:rPr>
      </w:pPr>
    </w:p>
    <w:p w14:paraId="37331D6D" w14:textId="77777777" w:rsidR="00F400FD" w:rsidRPr="00F400FD" w:rsidRDefault="00F400FD" w:rsidP="00F400FD">
      <w:pPr>
        <w:spacing w:line="240" w:lineRule="auto"/>
        <w:jc w:val="both"/>
        <w:rPr>
          <w:b/>
          <w:bCs/>
          <w:lang w:val="es-PE"/>
        </w:rPr>
      </w:pPr>
      <w:r w:rsidRPr="00F400FD">
        <w:rPr>
          <w:b/>
          <w:bCs/>
          <w:lang w:val="es-PE"/>
        </w:rPr>
        <w:t xml:space="preserve">3.3 Entorno </w:t>
      </w:r>
      <w:proofErr w:type="spellStart"/>
      <w:r w:rsidRPr="00F400FD">
        <w:rPr>
          <w:b/>
          <w:bCs/>
          <w:lang w:val="es-PE"/>
        </w:rPr>
        <w:t>macro-fiscal</w:t>
      </w:r>
      <w:proofErr w:type="spellEnd"/>
    </w:p>
    <w:p w14:paraId="3EFCB211" w14:textId="77777777" w:rsidR="00F400FD" w:rsidRPr="00F400FD" w:rsidRDefault="00F400FD" w:rsidP="00F400FD">
      <w:pPr>
        <w:spacing w:line="240" w:lineRule="auto"/>
        <w:jc w:val="both"/>
        <w:rPr>
          <w:lang w:val="es-PE"/>
        </w:rPr>
      </w:pPr>
      <w:r w:rsidRPr="00F400FD">
        <w:rPr>
          <w:lang w:val="es-PE"/>
        </w:rPr>
        <w:t xml:space="preserve">El módulo macroeconómico incorpora cuatro series esenciales. Primero, el precio spot diario del cobre se descargó mediante la API de Trading </w:t>
      </w:r>
      <w:proofErr w:type="spellStart"/>
      <w:r w:rsidRPr="00F400FD">
        <w:rPr>
          <w:lang w:val="es-PE"/>
        </w:rPr>
        <w:t>Economics</w:t>
      </w:r>
      <w:proofErr w:type="spellEnd"/>
      <w:r w:rsidRPr="00F400FD">
        <w:rPr>
          <w:lang w:val="es-PE"/>
        </w:rPr>
        <w:t xml:space="preserve"> y se completó con los cierres oficiales de la LME; esta serie ofrece una base de referencia homogénea desde enero de 2023 hasta julio de 2025. Segundo, el tipo de cambio PEN/USD proviene del BCRP, convertido a rendimientos logarítmicos para compatibilizar escalas y luego </w:t>
      </w:r>
      <w:proofErr w:type="spellStart"/>
      <w:r w:rsidRPr="00F400FD">
        <w:rPr>
          <w:lang w:val="es-PE"/>
        </w:rPr>
        <w:t>re-agregado</w:t>
      </w:r>
      <w:proofErr w:type="spellEnd"/>
      <w:r w:rsidRPr="00F400FD">
        <w:rPr>
          <w:lang w:val="es-PE"/>
        </w:rPr>
        <w:t xml:space="preserve"> de forma trimestral.</w:t>
      </w:r>
    </w:p>
    <w:p w14:paraId="7F481D59" w14:textId="77777777" w:rsidR="00F400FD" w:rsidRDefault="00F400FD" w:rsidP="00F400FD">
      <w:pPr>
        <w:spacing w:line="240" w:lineRule="auto"/>
        <w:jc w:val="both"/>
        <w:rPr>
          <w:lang w:val="es-PE"/>
        </w:rPr>
      </w:pPr>
      <w:r w:rsidRPr="00F400FD">
        <w:rPr>
          <w:lang w:val="es-PE"/>
        </w:rPr>
        <w:t>En tercera y cuarta instancia se agregaron los valores y volúmenes de exportaciones (SUNAT-Aduanas) y la recaudación por canon y regalías (MEF-Consulta Amigable). Todas las series se sincronizaron en una única frecuencia trimestral que va de 2020-T1 a 2025-T2 mediante promedios ponderados, garantizando que los choques temporales se apliquen en ventanas coherentes a lo largo de todo el modelo económico-fiscal.</w:t>
      </w:r>
    </w:p>
    <w:p w14:paraId="1CDD1C79" w14:textId="77777777" w:rsidR="00F400FD" w:rsidRPr="00F400FD" w:rsidRDefault="00F400FD" w:rsidP="00F400FD">
      <w:pPr>
        <w:numPr>
          <w:ilvl w:val="0"/>
          <w:numId w:val="18"/>
        </w:numPr>
        <w:spacing w:line="240" w:lineRule="auto"/>
        <w:jc w:val="both"/>
        <w:rPr>
          <w:lang w:val="es-PE"/>
        </w:rPr>
      </w:pPr>
      <w:r w:rsidRPr="00F400FD">
        <w:rPr>
          <w:b/>
          <w:bCs/>
          <w:lang w:val="es-PE"/>
        </w:rPr>
        <w:t>Precio Cu spot</w:t>
      </w:r>
      <w:r w:rsidRPr="00F400FD">
        <w:rPr>
          <w:lang w:val="es-PE"/>
        </w:rPr>
        <w:t>: Serie LME (</w:t>
      </w:r>
      <w:proofErr w:type="spellStart"/>
      <w:r w:rsidRPr="00F400FD">
        <w:rPr>
          <w:lang w:val="es-PE"/>
        </w:rPr>
        <w:t>close</w:t>
      </w:r>
      <w:proofErr w:type="spellEnd"/>
      <w:r w:rsidRPr="00F400FD">
        <w:rPr>
          <w:lang w:val="es-PE"/>
        </w:rPr>
        <w:t xml:space="preserve">) descargada vía </w:t>
      </w:r>
      <w:r w:rsidRPr="00F400FD">
        <w:rPr>
          <w:b/>
          <w:bCs/>
          <w:lang w:val="es-PE"/>
        </w:rPr>
        <w:t xml:space="preserve">Trading </w:t>
      </w:r>
      <w:proofErr w:type="spellStart"/>
      <w:r w:rsidRPr="00F400FD">
        <w:rPr>
          <w:b/>
          <w:bCs/>
          <w:lang w:val="es-PE"/>
        </w:rPr>
        <w:t>Economics</w:t>
      </w:r>
      <w:proofErr w:type="spellEnd"/>
      <w:r w:rsidRPr="00F400FD">
        <w:rPr>
          <w:b/>
          <w:bCs/>
          <w:lang w:val="es-PE"/>
        </w:rPr>
        <w:t xml:space="preserve"> API</w:t>
      </w:r>
      <w:r w:rsidRPr="00F400FD">
        <w:rPr>
          <w:lang w:val="es-PE"/>
        </w:rPr>
        <w:t>, frecuencia diaria, 1 ene 2023–17 jul 2025.</w:t>
      </w:r>
    </w:p>
    <w:p w14:paraId="699A1925" w14:textId="77777777" w:rsidR="00F400FD" w:rsidRPr="00F400FD" w:rsidRDefault="00F400FD" w:rsidP="00F400FD">
      <w:pPr>
        <w:numPr>
          <w:ilvl w:val="0"/>
          <w:numId w:val="18"/>
        </w:numPr>
        <w:spacing w:line="240" w:lineRule="auto"/>
        <w:jc w:val="both"/>
        <w:rPr>
          <w:lang w:val="es-PE"/>
        </w:rPr>
      </w:pPr>
      <w:r w:rsidRPr="00F400FD">
        <w:rPr>
          <w:b/>
          <w:bCs/>
          <w:lang w:val="es-PE"/>
        </w:rPr>
        <w:t>Tipo de cambio PEN/USD</w:t>
      </w:r>
      <w:r w:rsidRPr="00F400FD">
        <w:rPr>
          <w:lang w:val="es-PE"/>
        </w:rPr>
        <w:t>: serie diaria BCRP; convertida a log-</w:t>
      </w:r>
      <w:proofErr w:type="spellStart"/>
      <w:r w:rsidRPr="00F400FD">
        <w:rPr>
          <w:lang w:val="es-PE"/>
        </w:rPr>
        <w:t>returns</w:t>
      </w:r>
      <w:proofErr w:type="spellEnd"/>
      <w:r w:rsidRPr="00F400FD">
        <w:rPr>
          <w:lang w:val="es-PE"/>
        </w:rPr>
        <w:t xml:space="preserve"> y </w:t>
      </w:r>
      <w:proofErr w:type="spellStart"/>
      <w:r w:rsidRPr="00F400FD">
        <w:rPr>
          <w:lang w:val="es-PE"/>
        </w:rPr>
        <w:t>re-agregada</w:t>
      </w:r>
      <w:proofErr w:type="spellEnd"/>
      <w:r w:rsidRPr="00F400FD">
        <w:rPr>
          <w:lang w:val="es-PE"/>
        </w:rPr>
        <w:t xml:space="preserve"> trimestralmente.</w:t>
      </w:r>
    </w:p>
    <w:p w14:paraId="57C39810" w14:textId="77777777" w:rsidR="00F400FD" w:rsidRPr="00F400FD" w:rsidRDefault="00F400FD" w:rsidP="00F400FD">
      <w:pPr>
        <w:numPr>
          <w:ilvl w:val="0"/>
          <w:numId w:val="18"/>
        </w:numPr>
        <w:spacing w:line="240" w:lineRule="auto"/>
        <w:jc w:val="both"/>
        <w:rPr>
          <w:lang w:val="es-PE"/>
        </w:rPr>
      </w:pPr>
      <w:r w:rsidRPr="00F400FD">
        <w:rPr>
          <w:b/>
          <w:bCs/>
          <w:lang w:val="es-PE"/>
        </w:rPr>
        <w:t>Volumen y valor de exportaciones</w:t>
      </w:r>
      <w:r w:rsidRPr="00F400FD">
        <w:rPr>
          <w:lang w:val="es-PE"/>
        </w:rPr>
        <w:t>: SUNAT-Aduanas; validados contra BCRP (cuentas externas).</w:t>
      </w:r>
    </w:p>
    <w:p w14:paraId="05AD8A76" w14:textId="77777777" w:rsidR="00F400FD" w:rsidRPr="00F400FD" w:rsidRDefault="00F400FD" w:rsidP="00F400FD">
      <w:pPr>
        <w:numPr>
          <w:ilvl w:val="0"/>
          <w:numId w:val="18"/>
        </w:numPr>
        <w:spacing w:line="240" w:lineRule="auto"/>
        <w:jc w:val="both"/>
        <w:rPr>
          <w:lang w:val="es-PE"/>
        </w:rPr>
      </w:pPr>
      <w:r w:rsidRPr="00F400FD">
        <w:rPr>
          <w:b/>
          <w:bCs/>
          <w:lang w:val="es-PE"/>
        </w:rPr>
        <w:t>Canon y regalías</w:t>
      </w:r>
      <w:r w:rsidRPr="00F400FD">
        <w:rPr>
          <w:lang w:val="es-PE"/>
        </w:rPr>
        <w:t>: Ministerio de Economía y Finanzas — “Consulta Amigable”, 2018-2024.</w:t>
      </w:r>
    </w:p>
    <w:p w14:paraId="6DA592E0" w14:textId="77777777" w:rsidR="00F400FD" w:rsidRPr="00F400FD" w:rsidRDefault="00F400FD" w:rsidP="00F400FD">
      <w:pPr>
        <w:spacing w:line="240" w:lineRule="auto"/>
        <w:jc w:val="both"/>
        <w:rPr>
          <w:lang w:val="es-PE"/>
        </w:rPr>
      </w:pPr>
      <w:r w:rsidRPr="00F400FD">
        <w:rPr>
          <w:lang w:val="es-PE"/>
        </w:rPr>
        <w:t xml:space="preserve">Todas las series se alinearon a </w:t>
      </w:r>
      <w:r w:rsidRPr="00F400FD">
        <w:rPr>
          <w:b/>
          <w:bCs/>
          <w:lang w:val="es-PE"/>
        </w:rPr>
        <w:t>frecuencia trimestral (T1-2020 → T2-2025)</w:t>
      </w:r>
      <w:r w:rsidRPr="00F400FD">
        <w:rPr>
          <w:lang w:val="es-PE"/>
        </w:rPr>
        <w:t xml:space="preserve"> mediante promedio ponderado y forward-</w:t>
      </w:r>
      <w:proofErr w:type="spellStart"/>
      <w:r w:rsidRPr="00F400FD">
        <w:rPr>
          <w:lang w:val="es-PE"/>
        </w:rPr>
        <w:t>fill</w:t>
      </w:r>
      <w:proofErr w:type="spellEnd"/>
      <w:r w:rsidRPr="00F400FD">
        <w:rPr>
          <w:lang w:val="es-PE"/>
        </w:rPr>
        <w:t xml:space="preserve"> con límite de 1 período.</w:t>
      </w:r>
    </w:p>
    <w:p w14:paraId="2A65B819" w14:textId="77777777" w:rsidR="00F400FD" w:rsidRDefault="00F400FD" w:rsidP="00F400FD">
      <w:pPr>
        <w:spacing w:line="240" w:lineRule="auto"/>
        <w:jc w:val="both"/>
        <w:rPr>
          <w:lang w:val="es-PE"/>
        </w:rPr>
      </w:pPr>
    </w:p>
    <w:p w14:paraId="1C08C082" w14:textId="77777777" w:rsidR="00F400FD" w:rsidRPr="00F400FD" w:rsidRDefault="00F400FD" w:rsidP="00F400FD">
      <w:pPr>
        <w:spacing w:line="240" w:lineRule="auto"/>
        <w:jc w:val="both"/>
        <w:rPr>
          <w:b/>
          <w:bCs/>
          <w:lang w:val="es-PE"/>
        </w:rPr>
      </w:pPr>
      <w:r w:rsidRPr="00F400FD">
        <w:rPr>
          <w:b/>
          <w:bCs/>
          <w:lang w:val="es-PE"/>
        </w:rPr>
        <w:t>3.4 Especificación probabilística</w:t>
      </w:r>
    </w:p>
    <w:p w14:paraId="16CE009D" w14:textId="77777777" w:rsidR="00F400FD" w:rsidRPr="00F400FD" w:rsidRDefault="00F400FD" w:rsidP="00F400FD">
      <w:pPr>
        <w:spacing w:line="240" w:lineRule="auto"/>
        <w:jc w:val="both"/>
        <w:rPr>
          <w:lang w:val="es-PE"/>
        </w:rPr>
      </w:pPr>
      <w:r w:rsidRPr="00F400FD">
        <w:rPr>
          <w:lang w:val="es-PE"/>
        </w:rPr>
        <w:t xml:space="preserve">Cada variable estocástica se asignó a una distribución que refleja su comportamiento histórico y su naturaleza económica. El precio del cobre se modeló con una Normal </w:t>
      </w:r>
      <w:r w:rsidRPr="00F400FD">
        <w:t>μ</w:t>
      </w:r>
      <w:r w:rsidRPr="00F400FD">
        <w:rPr>
          <w:lang w:val="es-PE"/>
        </w:rPr>
        <w:t>=8800 USD/t, </w:t>
      </w:r>
      <w:r w:rsidRPr="00F400FD">
        <w:t>σ</w:t>
      </w:r>
      <w:r w:rsidRPr="00F400FD">
        <w:rPr>
          <w:lang w:val="es-PE"/>
        </w:rPr>
        <w:t>=250\mu=8 800\</w:t>
      </w:r>
      <w:proofErr w:type="spellStart"/>
      <w:proofErr w:type="gramStart"/>
      <w:r w:rsidRPr="00F400FD">
        <w:rPr>
          <w:lang w:val="es-PE"/>
        </w:rPr>
        <w:t>text</w:t>
      </w:r>
      <w:proofErr w:type="spellEnd"/>
      <w:r w:rsidRPr="00F400FD">
        <w:rPr>
          <w:lang w:val="es-PE"/>
        </w:rPr>
        <w:t>{ USD</w:t>
      </w:r>
      <w:proofErr w:type="gramEnd"/>
      <w:r w:rsidRPr="00F400FD">
        <w:rPr>
          <w:lang w:val="es-PE"/>
        </w:rPr>
        <w:t>/t</w:t>
      </w:r>
      <w:proofErr w:type="gramStart"/>
      <w:r w:rsidRPr="00F400FD">
        <w:rPr>
          <w:lang w:val="es-PE"/>
        </w:rPr>
        <w:t>},\</w:t>
      </w:r>
      <w:proofErr w:type="gramEnd"/>
      <w:r w:rsidRPr="00F400FD">
        <w:rPr>
          <w:lang w:val="es-PE"/>
        </w:rPr>
        <w:t xml:space="preserve"> \sigma=250</w:t>
      </w:r>
      <w:r w:rsidRPr="00F400FD">
        <w:t>μ</w:t>
      </w:r>
      <w:r w:rsidRPr="00F400FD">
        <w:rPr>
          <w:lang w:val="es-PE"/>
        </w:rPr>
        <w:t>=8800 USD/t, </w:t>
      </w:r>
      <w:r w:rsidRPr="00F400FD">
        <w:t>σ</w:t>
      </w:r>
      <w:r w:rsidRPr="00F400FD">
        <w:rPr>
          <w:lang w:val="es-PE"/>
        </w:rPr>
        <w:t>=250, coherente con la volatilidad real de los últimos quince años. La producción anual se representó con una Log-Normal, ya que la varianza aumenta con la escala. Para el OPEX/ventas se empleó una Triangular cuyos parámetros mínimos, modos y máximos se calibraron por segmento (0,38–0,45 para minas pequeñas y 0,30–0,35 para grandes).</w:t>
      </w:r>
    </w:p>
    <w:p w14:paraId="77FA4227" w14:textId="77777777" w:rsidR="00F400FD" w:rsidRDefault="00F400FD" w:rsidP="00F400FD">
      <w:pPr>
        <w:spacing w:line="240" w:lineRule="auto"/>
        <w:jc w:val="both"/>
        <w:rPr>
          <w:lang w:val="es-PE"/>
        </w:rPr>
      </w:pPr>
      <w:r w:rsidRPr="00F400FD">
        <w:rPr>
          <w:lang w:val="es-PE"/>
        </w:rPr>
        <w:t>La tasa arancelaria efectiva se construyó como una Normal centrada en 8,7 % para minas grandes, a la que se añade un diferencial fijo de 3,7 puntos para las pequeñas, más un ruido blanco de 0,2 p.p. Todas las variables comparten una matriz de correlaciones en la que destaca el coeficiente negativo entre precio y tipo de cambio (</w:t>
      </w:r>
      <w:r w:rsidRPr="00F400FD">
        <w:t>ρ</w:t>
      </w:r>
      <w:r w:rsidRPr="00F400FD">
        <w:rPr>
          <w:lang w:val="es-PE"/>
        </w:rPr>
        <w:t xml:space="preserve"> = −0,23), reflejo de la dinámica histórica de exportaciones; esta dependencia se preserva mediante descomposición de </w:t>
      </w:r>
      <w:proofErr w:type="spellStart"/>
      <w:r w:rsidRPr="00F400FD">
        <w:rPr>
          <w:lang w:val="es-PE"/>
        </w:rPr>
        <w:t>Cholesky</w:t>
      </w:r>
      <w:proofErr w:type="spellEnd"/>
      <w:r w:rsidRPr="00F400FD">
        <w:rPr>
          <w:lang w:val="es-PE"/>
        </w:rPr>
        <w:t xml:space="preserve"> para que las simulaciones mantengan coherencia entre los choques.</w:t>
      </w:r>
    </w:p>
    <w:p w14:paraId="5B16B3FD" w14:textId="59A4AB60" w:rsidR="00672446" w:rsidRDefault="00672446" w:rsidP="00F400FD">
      <w:pPr>
        <w:spacing w:line="240" w:lineRule="auto"/>
        <w:jc w:val="both"/>
        <w:rPr>
          <w:lang w:val="es-PE"/>
        </w:rPr>
      </w:pPr>
      <w:r w:rsidRPr="00672446">
        <w:rPr>
          <w:b/>
          <w:bCs/>
          <w:lang w:val="es-PE"/>
        </w:rPr>
        <w:t>Tabla 3-3. Parámetros de las distribuciones estocásticas</w:t>
      </w:r>
    </w:p>
    <w:tbl>
      <w:tblPr>
        <w:tblStyle w:val="PlainTable5"/>
        <w:tblW w:w="0" w:type="auto"/>
        <w:jc w:val="center"/>
        <w:tblLook w:val="04A0" w:firstRow="1" w:lastRow="0" w:firstColumn="1" w:lastColumn="0" w:noHBand="0" w:noVBand="1"/>
      </w:tblPr>
      <w:tblGrid>
        <w:gridCol w:w="1180"/>
        <w:gridCol w:w="1366"/>
        <w:gridCol w:w="1774"/>
      </w:tblGrid>
      <w:tr w:rsidR="00F400FD" w:rsidRPr="00F400FD" w14:paraId="0B5AED2B" w14:textId="77777777" w:rsidTr="00F400F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48804581" w14:textId="77777777" w:rsidR="00F400FD" w:rsidRPr="00F400FD" w:rsidRDefault="00F400FD" w:rsidP="00F400FD">
            <w:pPr>
              <w:spacing w:after="200"/>
              <w:jc w:val="both"/>
              <w:rPr>
                <w:b/>
                <w:bCs/>
                <w:sz w:val="16"/>
                <w:szCs w:val="16"/>
              </w:rPr>
            </w:pPr>
            <w:proofErr w:type="spellStart"/>
            <w:r w:rsidRPr="00F400FD">
              <w:rPr>
                <w:b/>
                <w:bCs/>
                <w:sz w:val="16"/>
                <w:szCs w:val="16"/>
              </w:rPr>
              <w:t>Distribución</w:t>
            </w:r>
            <w:proofErr w:type="spellEnd"/>
          </w:p>
        </w:tc>
        <w:tc>
          <w:tcPr>
            <w:tcW w:w="0" w:type="auto"/>
            <w:hideMark/>
          </w:tcPr>
          <w:p w14:paraId="7BF7362F" w14:textId="77777777" w:rsidR="00F400FD" w:rsidRPr="00F400FD" w:rsidRDefault="00F400FD" w:rsidP="00F400FD">
            <w:pPr>
              <w:spacing w:after="200"/>
              <w:jc w:val="both"/>
              <w:cnfStyle w:val="100000000000" w:firstRow="1" w:lastRow="0" w:firstColumn="0" w:lastColumn="0" w:oddVBand="0" w:evenVBand="0" w:oddHBand="0" w:evenHBand="0" w:firstRowFirstColumn="0" w:firstRowLastColumn="0" w:lastRowFirstColumn="0" w:lastRowLastColumn="0"/>
              <w:rPr>
                <w:b/>
                <w:bCs/>
                <w:sz w:val="16"/>
                <w:szCs w:val="16"/>
              </w:rPr>
            </w:pPr>
            <w:proofErr w:type="spellStart"/>
            <w:r w:rsidRPr="00F400FD">
              <w:rPr>
                <w:b/>
                <w:bCs/>
                <w:sz w:val="16"/>
                <w:szCs w:val="16"/>
              </w:rPr>
              <w:t>Parámetro</w:t>
            </w:r>
            <w:proofErr w:type="spellEnd"/>
            <w:r w:rsidRPr="00F400FD">
              <w:rPr>
                <w:b/>
                <w:bCs/>
                <w:sz w:val="16"/>
                <w:szCs w:val="16"/>
              </w:rPr>
              <w:t xml:space="preserve"> clave</w:t>
            </w:r>
          </w:p>
        </w:tc>
        <w:tc>
          <w:tcPr>
            <w:tcW w:w="0" w:type="auto"/>
            <w:hideMark/>
          </w:tcPr>
          <w:p w14:paraId="55E69E7C" w14:textId="77777777" w:rsidR="00F400FD" w:rsidRPr="00F400FD" w:rsidRDefault="00F400FD" w:rsidP="00F400FD">
            <w:pPr>
              <w:spacing w:after="200"/>
              <w:jc w:val="both"/>
              <w:cnfStyle w:val="100000000000" w:firstRow="1" w:lastRow="0" w:firstColumn="0" w:lastColumn="0" w:oddVBand="0" w:evenVBand="0" w:oddHBand="0" w:evenHBand="0" w:firstRowFirstColumn="0" w:firstRowLastColumn="0" w:lastRowFirstColumn="0" w:lastRowLastColumn="0"/>
              <w:rPr>
                <w:b/>
                <w:bCs/>
                <w:sz w:val="16"/>
                <w:szCs w:val="16"/>
              </w:rPr>
            </w:pPr>
            <w:proofErr w:type="spellStart"/>
            <w:r w:rsidRPr="00F400FD">
              <w:rPr>
                <w:b/>
                <w:bCs/>
                <w:sz w:val="16"/>
                <w:szCs w:val="16"/>
              </w:rPr>
              <w:t>Justificación</w:t>
            </w:r>
            <w:proofErr w:type="spellEnd"/>
            <w:r w:rsidRPr="00F400FD">
              <w:rPr>
                <w:b/>
                <w:bCs/>
                <w:sz w:val="16"/>
                <w:szCs w:val="16"/>
              </w:rPr>
              <w:t xml:space="preserve"> / </w:t>
            </w:r>
            <w:proofErr w:type="spellStart"/>
            <w:r w:rsidRPr="00F400FD">
              <w:rPr>
                <w:b/>
                <w:bCs/>
                <w:sz w:val="16"/>
                <w:szCs w:val="16"/>
              </w:rPr>
              <w:t>Calibración</w:t>
            </w:r>
            <w:proofErr w:type="spellEnd"/>
          </w:p>
        </w:tc>
      </w:tr>
      <w:tr w:rsidR="00F400FD" w:rsidRPr="00F400FD" w14:paraId="2A940494" w14:textId="77777777" w:rsidTr="00F400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49303C" w14:textId="77777777" w:rsidR="00F400FD" w:rsidRPr="00F400FD" w:rsidRDefault="00F400FD" w:rsidP="00F400FD">
            <w:pPr>
              <w:spacing w:after="200"/>
              <w:jc w:val="both"/>
              <w:rPr>
                <w:sz w:val="16"/>
                <w:szCs w:val="16"/>
              </w:rPr>
            </w:pPr>
            <w:proofErr w:type="spellStart"/>
            <w:r w:rsidRPr="00F400FD">
              <w:rPr>
                <w:b/>
                <w:bCs/>
                <w:sz w:val="16"/>
                <w:szCs w:val="16"/>
              </w:rPr>
              <w:t>Precio</w:t>
            </w:r>
            <w:proofErr w:type="spellEnd"/>
            <w:r w:rsidRPr="00F400FD">
              <w:rPr>
                <w:b/>
                <w:bCs/>
                <w:sz w:val="16"/>
                <w:szCs w:val="16"/>
              </w:rPr>
              <w:t xml:space="preserve"> Cu (P)</w:t>
            </w:r>
          </w:p>
        </w:tc>
        <w:tc>
          <w:tcPr>
            <w:tcW w:w="0" w:type="auto"/>
            <w:hideMark/>
          </w:tcPr>
          <w:p w14:paraId="24CC4EAE" w14:textId="77777777" w:rsidR="00F400FD" w:rsidRPr="00F400FD" w:rsidRDefault="00F400FD" w:rsidP="00F400FD">
            <w:pPr>
              <w:spacing w:after="200"/>
              <w:jc w:val="both"/>
              <w:cnfStyle w:val="000000100000" w:firstRow="0" w:lastRow="0" w:firstColumn="0" w:lastColumn="0" w:oddVBand="0" w:evenVBand="0" w:oddHBand="1" w:evenHBand="0" w:firstRowFirstColumn="0" w:firstRowLastColumn="0" w:lastRowFirstColumn="0" w:lastRowLastColumn="0"/>
              <w:rPr>
                <w:sz w:val="16"/>
                <w:szCs w:val="16"/>
              </w:rPr>
            </w:pPr>
            <w:proofErr w:type="gramStart"/>
            <w:r w:rsidRPr="00F400FD">
              <w:rPr>
                <w:sz w:val="16"/>
                <w:szCs w:val="16"/>
              </w:rPr>
              <w:t>N(</w:t>
            </w:r>
            <w:proofErr w:type="gramEnd"/>
            <w:r w:rsidRPr="00F400FD">
              <w:rPr>
                <w:sz w:val="16"/>
                <w:szCs w:val="16"/>
              </w:rPr>
              <w:t>μ = 8 800 USD/t; σ = 250)</w:t>
            </w:r>
          </w:p>
        </w:tc>
        <w:tc>
          <w:tcPr>
            <w:tcW w:w="0" w:type="auto"/>
            <w:hideMark/>
          </w:tcPr>
          <w:p w14:paraId="4CF33DBB" w14:textId="77777777" w:rsidR="00F400FD" w:rsidRPr="00F400FD" w:rsidRDefault="00F400FD" w:rsidP="00F400FD">
            <w:pPr>
              <w:spacing w:after="200"/>
              <w:jc w:val="both"/>
              <w:cnfStyle w:val="000000100000" w:firstRow="0" w:lastRow="0" w:firstColumn="0" w:lastColumn="0" w:oddVBand="0" w:evenVBand="0" w:oddHBand="1" w:evenHBand="0" w:firstRowFirstColumn="0" w:firstRowLastColumn="0" w:lastRowFirstColumn="0" w:lastRowLastColumn="0"/>
              <w:rPr>
                <w:sz w:val="16"/>
                <w:szCs w:val="16"/>
              </w:rPr>
            </w:pPr>
            <w:r w:rsidRPr="00F400FD">
              <w:rPr>
                <w:sz w:val="16"/>
                <w:szCs w:val="16"/>
              </w:rPr>
              <w:t>CV histórico 2010-2025 = 2,8 %</w:t>
            </w:r>
          </w:p>
        </w:tc>
      </w:tr>
      <w:tr w:rsidR="00F400FD" w:rsidRPr="00F400FD" w14:paraId="0B4805B0" w14:textId="77777777" w:rsidTr="00F400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806CD9" w14:textId="77777777" w:rsidR="00F400FD" w:rsidRPr="00F400FD" w:rsidRDefault="00F400FD" w:rsidP="00F400FD">
            <w:pPr>
              <w:spacing w:after="200"/>
              <w:jc w:val="both"/>
              <w:rPr>
                <w:sz w:val="16"/>
                <w:szCs w:val="16"/>
              </w:rPr>
            </w:pPr>
            <w:proofErr w:type="spellStart"/>
            <w:r w:rsidRPr="00F400FD">
              <w:rPr>
                <w:b/>
                <w:bCs/>
                <w:sz w:val="16"/>
                <w:szCs w:val="16"/>
              </w:rPr>
              <w:t>Producción</w:t>
            </w:r>
            <w:proofErr w:type="spellEnd"/>
            <w:r w:rsidRPr="00F400FD">
              <w:rPr>
                <w:b/>
                <w:bCs/>
                <w:sz w:val="16"/>
                <w:szCs w:val="16"/>
              </w:rPr>
              <w:t xml:space="preserve"> (Q)</w:t>
            </w:r>
          </w:p>
        </w:tc>
        <w:tc>
          <w:tcPr>
            <w:tcW w:w="0" w:type="auto"/>
            <w:hideMark/>
          </w:tcPr>
          <w:p w14:paraId="58DC7475" w14:textId="77777777" w:rsidR="00F400FD" w:rsidRPr="00F400FD" w:rsidRDefault="00F400FD" w:rsidP="00F400FD">
            <w:pPr>
              <w:spacing w:after="200"/>
              <w:jc w:val="both"/>
              <w:cnfStyle w:val="000000000000" w:firstRow="0" w:lastRow="0" w:firstColumn="0" w:lastColumn="0" w:oddVBand="0" w:evenVBand="0" w:oddHBand="0" w:evenHBand="0" w:firstRowFirstColumn="0" w:firstRowLastColumn="0" w:lastRowFirstColumn="0" w:lastRowLastColumn="0"/>
              <w:rPr>
                <w:sz w:val="16"/>
                <w:szCs w:val="16"/>
              </w:rPr>
            </w:pPr>
            <w:r w:rsidRPr="00F400FD">
              <w:rPr>
                <w:sz w:val="16"/>
                <w:szCs w:val="16"/>
              </w:rPr>
              <w:t>Log-</w:t>
            </w:r>
            <w:proofErr w:type="gramStart"/>
            <w:r w:rsidRPr="00F400FD">
              <w:rPr>
                <w:sz w:val="16"/>
                <w:szCs w:val="16"/>
              </w:rPr>
              <w:t>Normal(</w:t>
            </w:r>
            <w:proofErr w:type="gramEnd"/>
            <w:r w:rsidRPr="00F400FD">
              <w:rPr>
                <w:sz w:val="16"/>
                <w:szCs w:val="16"/>
              </w:rPr>
              <w:t>μᵢ, σᵢ)</w:t>
            </w:r>
          </w:p>
        </w:tc>
        <w:tc>
          <w:tcPr>
            <w:tcW w:w="0" w:type="auto"/>
            <w:hideMark/>
          </w:tcPr>
          <w:p w14:paraId="1C6C8C1D" w14:textId="77777777" w:rsidR="00F400FD" w:rsidRPr="00F400FD" w:rsidRDefault="00F400FD" w:rsidP="00F400FD">
            <w:pPr>
              <w:spacing w:after="200"/>
              <w:jc w:val="both"/>
              <w:cnfStyle w:val="000000000000" w:firstRow="0" w:lastRow="0" w:firstColumn="0" w:lastColumn="0" w:oddVBand="0" w:evenVBand="0" w:oddHBand="0" w:evenHBand="0" w:firstRowFirstColumn="0" w:firstRowLastColumn="0" w:lastRowFirstColumn="0" w:lastRowLastColumn="0"/>
              <w:rPr>
                <w:sz w:val="16"/>
                <w:szCs w:val="16"/>
                <w:lang w:val="es-PE"/>
              </w:rPr>
            </w:pPr>
            <w:r w:rsidRPr="00F400FD">
              <w:rPr>
                <w:sz w:val="16"/>
                <w:szCs w:val="16"/>
                <w:lang w:val="es-PE"/>
              </w:rPr>
              <w:t xml:space="preserve">Heterocedasticidad de escala — se preserva </w:t>
            </w:r>
            <w:proofErr w:type="spellStart"/>
            <w:r w:rsidRPr="00F400FD">
              <w:rPr>
                <w:sz w:val="16"/>
                <w:szCs w:val="16"/>
                <w:lang w:val="es-PE"/>
              </w:rPr>
              <w:t>var</w:t>
            </w:r>
            <w:proofErr w:type="spellEnd"/>
            <w:r w:rsidRPr="00F400FD">
              <w:rPr>
                <w:sz w:val="16"/>
                <w:szCs w:val="16"/>
                <w:lang w:val="es-PE"/>
              </w:rPr>
              <w:t xml:space="preserve"> </w:t>
            </w:r>
            <w:r w:rsidRPr="00F400FD">
              <w:rPr>
                <w:rFonts w:ascii="Cambria Math" w:hAnsi="Cambria Math" w:cs="Cambria Math"/>
                <w:sz w:val="16"/>
                <w:szCs w:val="16"/>
                <w:lang w:val="es-PE"/>
              </w:rPr>
              <w:t>∝</w:t>
            </w:r>
            <w:r w:rsidRPr="00F400FD">
              <w:rPr>
                <w:sz w:val="16"/>
                <w:szCs w:val="16"/>
                <w:lang w:val="es-PE"/>
              </w:rPr>
              <w:t xml:space="preserve"> nivel</w:t>
            </w:r>
          </w:p>
        </w:tc>
      </w:tr>
      <w:tr w:rsidR="00F400FD" w:rsidRPr="00F400FD" w14:paraId="4F0F1445" w14:textId="77777777" w:rsidTr="00F400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0ED98C" w14:textId="77777777" w:rsidR="00F400FD" w:rsidRPr="00F400FD" w:rsidRDefault="00F400FD" w:rsidP="00F400FD">
            <w:pPr>
              <w:spacing w:after="200"/>
              <w:jc w:val="both"/>
              <w:rPr>
                <w:sz w:val="16"/>
                <w:szCs w:val="16"/>
              </w:rPr>
            </w:pPr>
            <w:r w:rsidRPr="00F400FD">
              <w:rPr>
                <w:b/>
                <w:bCs/>
                <w:sz w:val="16"/>
                <w:szCs w:val="16"/>
              </w:rPr>
              <w:t>OPEX share</w:t>
            </w:r>
          </w:p>
        </w:tc>
        <w:tc>
          <w:tcPr>
            <w:tcW w:w="0" w:type="auto"/>
            <w:hideMark/>
          </w:tcPr>
          <w:p w14:paraId="05BCBAF0" w14:textId="77777777" w:rsidR="00F400FD" w:rsidRPr="00F400FD" w:rsidRDefault="00F400FD" w:rsidP="00F400FD">
            <w:pPr>
              <w:spacing w:after="200"/>
              <w:jc w:val="both"/>
              <w:cnfStyle w:val="000000100000" w:firstRow="0" w:lastRow="0" w:firstColumn="0" w:lastColumn="0" w:oddVBand="0" w:evenVBand="0" w:oddHBand="1" w:evenHBand="0" w:firstRowFirstColumn="0" w:firstRowLastColumn="0" w:lastRowFirstColumn="0" w:lastRowLastColumn="0"/>
              <w:rPr>
                <w:sz w:val="16"/>
                <w:szCs w:val="16"/>
              </w:rPr>
            </w:pPr>
            <w:r w:rsidRPr="00F400FD">
              <w:rPr>
                <w:sz w:val="16"/>
                <w:szCs w:val="16"/>
              </w:rPr>
              <w:t>Triangular: [0,38; 0,42; 0,45] (</w:t>
            </w:r>
            <w:proofErr w:type="spellStart"/>
            <w:r w:rsidRPr="00F400FD">
              <w:rPr>
                <w:sz w:val="16"/>
                <w:szCs w:val="16"/>
              </w:rPr>
              <w:t>pequeña</w:t>
            </w:r>
            <w:proofErr w:type="spellEnd"/>
            <w:r w:rsidRPr="00F400FD">
              <w:rPr>
                <w:sz w:val="16"/>
                <w:szCs w:val="16"/>
              </w:rPr>
              <w:t>) / [0,30; 0,32; 0,35] (</w:t>
            </w:r>
            <w:proofErr w:type="spellStart"/>
            <w:r w:rsidRPr="00F400FD">
              <w:rPr>
                <w:sz w:val="16"/>
                <w:szCs w:val="16"/>
              </w:rPr>
              <w:t>grande</w:t>
            </w:r>
            <w:proofErr w:type="spellEnd"/>
            <w:r w:rsidRPr="00F400FD">
              <w:rPr>
                <w:sz w:val="16"/>
                <w:szCs w:val="16"/>
              </w:rPr>
              <w:t>)</w:t>
            </w:r>
          </w:p>
        </w:tc>
        <w:tc>
          <w:tcPr>
            <w:tcW w:w="0" w:type="auto"/>
            <w:hideMark/>
          </w:tcPr>
          <w:p w14:paraId="345C2BF5" w14:textId="77777777" w:rsidR="00F400FD" w:rsidRPr="00F400FD" w:rsidRDefault="00F400FD" w:rsidP="00F400FD">
            <w:pPr>
              <w:spacing w:after="200"/>
              <w:jc w:val="both"/>
              <w:cnfStyle w:val="000000100000" w:firstRow="0" w:lastRow="0" w:firstColumn="0" w:lastColumn="0" w:oddVBand="0" w:evenVBand="0" w:oddHBand="1" w:evenHBand="0" w:firstRowFirstColumn="0" w:firstRowLastColumn="0" w:lastRowFirstColumn="0" w:lastRowLastColumn="0"/>
              <w:rPr>
                <w:sz w:val="16"/>
                <w:szCs w:val="16"/>
              </w:rPr>
            </w:pPr>
            <w:r w:rsidRPr="00F400FD">
              <w:rPr>
                <w:sz w:val="16"/>
                <w:szCs w:val="16"/>
              </w:rPr>
              <w:t>Bandas Deloitte 2024 y benchmark Wood Mac</w:t>
            </w:r>
          </w:p>
        </w:tc>
      </w:tr>
      <w:tr w:rsidR="00F400FD" w:rsidRPr="00F400FD" w14:paraId="67C4AE40" w14:textId="77777777" w:rsidTr="00F400F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8972BC" w14:textId="77777777" w:rsidR="00F400FD" w:rsidRPr="00F400FD" w:rsidRDefault="00F400FD" w:rsidP="00F400FD">
            <w:pPr>
              <w:spacing w:after="200"/>
              <w:jc w:val="both"/>
              <w:rPr>
                <w:sz w:val="16"/>
                <w:szCs w:val="16"/>
              </w:rPr>
            </w:pPr>
            <w:r w:rsidRPr="00F400FD">
              <w:rPr>
                <w:b/>
                <w:bCs/>
                <w:sz w:val="16"/>
                <w:szCs w:val="16"/>
              </w:rPr>
              <w:t xml:space="preserve">Tarifa </w:t>
            </w:r>
            <w:proofErr w:type="spellStart"/>
            <w:r w:rsidRPr="00F400FD">
              <w:rPr>
                <w:b/>
                <w:bCs/>
                <w:sz w:val="16"/>
                <w:szCs w:val="16"/>
              </w:rPr>
              <w:t>efectiva</w:t>
            </w:r>
            <w:proofErr w:type="spellEnd"/>
            <w:r w:rsidRPr="00F400FD">
              <w:rPr>
                <w:b/>
                <w:bCs/>
                <w:sz w:val="16"/>
                <w:szCs w:val="16"/>
              </w:rPr>
              <w:t xml:space="preserve"> (τ)</w:t>
            </w:r>
          </w:p>
        </w:tc>
        <w:tc>
          <w:tcPr>
            <w:tcW w:w="0" w:type="auto"/>
            <w:hideMark/>
          </w:tcPr>
          <w:p w14:paraId="04035DB5" w14:textId="77777777" w:rsidR="00F400FD" w:rsidRPr="00F400FD" w:rsidRDefault="00F400FD" w:rsidP="00F400FD">
            <w:pPr>
              <w:spacing w:after="200"/>
              <w:jc w:val="both"/>
              <w:cnfStyle w:val="000000000000" w:firstRow="0" w:lastRow="0" w:firstColumn="0" w:lastColumn="0" w:oddVBand="0" w:evenVBand="0" w:oddHBand="0" w:evenHBand="0" w:firstRowFirstColumn="0" w:firstRowLastColumn="0" w:lastRowFirstColumn="0" w:lastRowLastColumn="0"/>
              <w:rPr>
                <w:sz w:val="16"/>
                <w:szCs w:val="16"/>
              </w:rPr>
            </w:pPr>
            <w:proofErr w:type="gramStart"/>
            <w:r w:rsidRPr="00F400FD">
              <w:rPr>
                <w:sz w:val="16"/>
                <w:szCs w:val="16"/>
              </w:rPr>
              <w:t>N(</w:t>
            </w:r>
            <w:proofErr w:type="gramEnd"/>
            <w:r w:rsidRPr="00F400FD">
              <w:rPr>
                <w:sz w:val="16"/>
                <w:szCs w:val="16"/>
              </w:rPr>
              <w:t>μ = 0,087 / 0,124; σ = 0,002)</w:t>
            </w:r>
          </w:p>
        </w:tc>
        <w:tc>
          <w:tcPr>
            <w:tcW w:w="0" w:type="auto"/>
            <w:hideMark/>
          </w:tcPr>
          <w:p w14:paraId="102EA034" w14:textId="77777777" w:rsidR="00F400FD" w:rsidRPr="00F400FD" w:rsidRDefault="00F400FD" w:rsidP="00F400FD">
            <w:pPr>
              <w:spacing w:after="200"/>
              <w:jc w:val="both"/>
              <w:cnfStyle w:val="000000000000" w:firstRow="0" w:lastRow="0" w:firstColumn="0" w:lastColumn="0" w:oddVBand="0" w:evenVBand="0" w:oddHBand="0" w:evenHBand="0" w:firstRowFirstColumn="0" w:firstRowLastColumn="0" w:lastRowFirstColumn="0" w:lastRowLastColumn="0"/>
              <w:rPr>
                <w:sz w:val="16"/>
                <w:szCs w:val="16"/>
                <w:lang w:val="es-PE"/>
              </w:rPr>
            </w:pPr>
            <w:r w:rsidRPr="00F400FD">
              <w:rPr>
                <w:sz w:val="16"/>
                <w:szCs w:val="16"/>
                <w:lang w:val="es-PE"/>
              </w:rPr>
              <w:t xml:space="preserve">8,7 % base + 3,7 p.p. diferencial para pequeñas; </w:t>
            </w:r>
            <w:r w:rsidRPr="00F400FD">
              <w:rPr>
                <w:sz w:val="16"/>
                <w:szCs w:val="16"/>
              </w:rPr>
              <w:t>ε</w:t>
            </w:r>
            <w:r w:rsidRPr="00F400FD">
              <w:rPr>
                <w:sz w:val="16"/>
                <w:szCs w:val="16"/>
                <w:lang w:val="es-PE"/>
              </w:rPr>
              <w:t xml:space="preserve"> captura exenciones</w:t>
            </w:r>
          </w:p>
        </w:tc>
      </w:tr>
      <w:tr w:rsidR="00F400FD" w:rsidRPr="00F400FD" w14:paraId="3B86A58A" w14:textId="77777777" w:rsidTr="00F400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5DB266" w14:textId="77777777" w:rsidR="00F400FD" w:rsidRPr="00F400FD" w:rsidRDefault="00F400FD" w:rsidP="00F400FD">
            <w:pPr>
              <w:spacing w:after="200"/>
              <w:jc w:val="both"/>
              <w:rPr>
                <w:sz w:val="16"/>
                <w:szCs w:val="16"/>
              </w:rPr>
            </w:pPr>
            <w:r w:rsidRPr="00F400FD">
              <w:rPr>
                <w:b/>
                <w:bCs/>
                <w:sz w:val="16"/>
                <w:szCs w:val="16"/>
              </w:rPr>
              <w:t xml:space="preserve">Tipo de </w:t>
            </w:r>
            <w:proofErr w:type="spellStart"/>
            <w:r w:rsidRPr="00F400FD">
              <w:rPr>
                <w:b/>
                <w:bCs/>
                <w:sz w:val="16"/>
                <w:szCs w:val="16"/>
              </w:rPr>
              <w:t>cambio</w:t>
            </w:r>
            <w:proofErr w:type="spellEnd"/>
            <w:r w:rsidRPr="00F400FD">
              <w:rPr>
                <w:b/>
                <w:bCs/>
                <w:sz w:val="16"/>
                <w:szCs w:val="16"/>
              </w:rPr>
              <w:t xml:space="preserve"> (FX)</w:t>
            </w:r>
          </w:p>
        </w:tc>
        <w:tc>
          <w:tcPr>
            <w:tcW w:w="0" w:type="auto"/>
            <w:hideMark/>
          </w:tcPr>
          <w:p w14:paraId="4891FB80" w14:textId="77777777" w:rsidR="00F400FD" w:rsidRPr="00F400FD" w:rsidRDefault="00F400FD" w:rsidP="00F400FD">
            <w:pPr>
              <w:spacing w:after="200"/>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F400FD">
              <w:rPr>
                <w:sz w:val="16"/>
                <w:szCs w:val="16"/>
              </w:rPr>
              <w:t>Escenarios</w:t>
            </w:r>
            <w:proofErr w:type="spellEnd"/>
            <w:r w:rsidRPr="00F400FD">
              <w:rPr>
                <w:sz w:val="16"/>
                <w:szCs w:val="16"/>
              </w:rPr>
              <w:t xml:space="preserve"> </w:t>
            </w:r>
            <w:proofErr w:type="spellStart"/>
            <w:r w:rsidRPr="00F400FD">
              <w:rPr>
                <w:sz w:val="16"/>
                <w:szCs w:val="16"/>
              </w:rPr>
              <w:t>deterministas</w:t>
            </w:r>
            <w:proofErr w:type="spellEnd"/>
            <w:r w:rsidRPr="00F400FD">
              <w:rPr>
                <w:sz w:val="16"/>
                <w:szCs w:val="16"/>
              </w:rPr>
              <w:t xml:space="preserve"> 0 %, ±</w:t>
            </w:r>
            <w:proofErr w:type="gramStart"/>
            <w:r w:rsidRPr="00F400FD">
              <w:rPr>
                <w:sz w:val="16"/>
                <w:szCs w:val="16"/>
              </w:rPr>
              <w:t>5 %</w:t>
            </w:r>
            <w:proofErr w:type="gramEnd"/>
            <w:r w:rsidRPr="00F400FD">
              <w:rPr>
                <w:sz w:val="16"/>
                <w:szCs w:val="16"/>
              </w:rPr>
              <w:t>, ±10 %</w:t>
            </w:r>
          </w:p>
        </w:tc>
        <w:tc>
          <w:tcPr>
            <w:tcW w:w="0" w:type="auto"/>
            <w:hideMark/>
          </w:tcPr>
          <w:p w14:paraId="236A2E80" w14:textId="77777777" w:rsidR="00F400FD" w:rsidRPr="00F400FD" w:rsidRDefault="00F400FD" w:rsidP="00F400FD">
            <w:pPr>
              <w:spacing w:after="200"/>
              <w:jc w:val="both"/>
              <w:cnfStyle w:val="000000100000" w:firstRow="0" w:lastRow="0" w:firstColumn="0" w:lastColumn="0" w:oddVBand="0" w:evenVBand="0" w:oddHBand="1" w:evenHBand="0" w:firstRowFirstColumn="0" w:firstRowLastColumn="0" w:lastRowFirstColumn="0" w:lastRowLastColumn="0"/>
              <w:rPr>
                <w:sz w:val="16"/>
                <w:szCs w:val="16"/>
                <w:lang w:val="es-PE"/>
              </w:rPr>
            </w:pPr>
            <w:r w:rsidRPr="00F400FD">
              <w:rPr>
                <w:sz w:val="16"/>
                <w:szCs w:val="16"/>
                <w:lang w:val="es-PE"/>
              </w:rPr>
              <w:t>Sesgo de proyección BCRP-Jun 2025</w:t>
            </w:r>
          </w:p>
        </w:tc>
      </w:tr>
    </w:tbl>
    <w:p w14:paraId="1D2E4F0C" w14:textId="77777777" w:rsidR="00F400FD" w:rsidRPr="00F400FD" w:rsidRDefault="00F400FD" w:rsidP="00F400FD">
      <w:pPr>
        <w:spacing w:line="240" w:lineRule="auto"/>
        <w:jc w:val="both"/>
        <w:rPr>
          <w:lang w:val="es-PE"/>
        </w:rPr>
      </w:pPr>
    </w:p>
    <w:p w14:paraId="26D3EC1B" w14:textId="77777777" w:rsidR="00F400FD" w:rsidRPr="00F400FD" w:rsidRDefault="00F400FD" w:rsidP="00F400FD">
      <w:pPr>
        <w:spacing w:line="240" w:lineRule="auto"/>
        <w:jc w:val="both"/>
        <w:rPr>
          <w:b/>
          <w:bCs/>
          <w:lang w:val="es-PE"/>
        </w:rPr>
      </w:pPr>
      <w:r w:rsidRPr="00F400FD">
        <w:rPr>
          <w:b/>
          <w:bCs/>
          <w:lang w:val="es-PE"/>
        </w:rPr>
        <w:t>3.5 Motor de simulación Monte Carlo</w:t>
      </w:r>
    </w:p>
    <w:p w14:paraId="2B15901E" w14:textId="77777777" w:rsidR="00F400FD" w:rsidRPr="00F400FD" w:rsidRDefault="00F400FD" w:rsidP="00F400FD">
      <w:pPr>
        <w:spacing w:line="240" w:lineRule="auto"/>
        <w:jc w:val="both"/>
        <w:rPr>
          <w:lang w:val="es-PE"/>
        </w:rPr>
      </w:pPr>
      <w:r w:rsidRPr="00F400FD">
        <w:rPr>
          <w:lang w:val="es-PE"/>
        </w:rPr>
        <w:t>El núcleo analítico se basa en 10 000 réplicas Monte Carlo, cada una generando un vector de precios, volúmenes, costos y tipos de cambio para las treinta minas. Primero se calcula el OPEX ajustado por tipo de cambio; luego se aplica el arancel efectivo y se obtiene el NER de cada operación. Este proceso se repite bajo dos perturbaciones clave: (i) apreciaciones cambiarias de ±5 % y ±10 %, y (</w:t>
      </w:r>
      <w:proofErr w:type="spellStart"/>
      <w:r w:rsidRPr="00F400FD">
        <w:rPr>
          <w:lang w:val="es-PE"/>
        </w:rPr>
        <w:t>ii</w:t>
      </w:r>
      <w:proofErr w:type="spellEnd"/>
      <w:r w:rsidRPr="00F400FD">
        <w:rPr>
          <w:lang w:val="es-PE"/>
        </w:rPr>
        <w:t>) recortes de OPEX del 4 % y 8 %.</w:t>
      </w:r>
    </w:p>
    <w:p w14:paraId="75468D3C" w14:textId="77777777" w:rsidR="00F400FD" w:rsidRDefault="00F400FD" w:rsidP="00F400FD">
      <w:pPr>
        <w:spacing w:line="240" w:lineRule="auto"/>
        <w:jc w:val="both"/>
        <w:rPr>
          <w:lang w:val="es-PE"/>
        </w:rPr>
      </w:pPr>
      <w:r w:rsidRPr="00F400FD">
        <w:rPr>
          <w:lang w:val="es-PE"/>
        </w:rPr>
        <w:t>Los resultados se agregan por segmento para extraer medias, percentiles 10 y 90 y curtosis, ofreciendo una visión tanto central como de cola de riesgo. Finalmente, la variación del NER se convierte automáticamente en pérdida fiscal vía la tasa de regalía ad-</w:t>
      </w:r>
      <w:proofErr w:type="spellStart"/>
      <w:r w:rsidRPr="00F400FD">
        <w:rPr>
          <w:lang w:val="es-PE"/>
        </w:rPr>
        <w:t>valorem</w:t>
      </w:r>
      <w:proofErr w:type="spellEnd"/>
      <w:r w:rsidRPr="00F400FD">
        <w:rPr>
          <w:lang w:val="es-PE"/>
        </w:rPr>
        <w:t xml:space="preserve"> del 7 %, cumpliendo el objetivo de cuantificar el efecto sobre canon y regalías.</w:t>
      </w:r>
    </w:p>
    <w:p w14:paraId="1C160059" w14:textId="77777777" w:rsidR="00F400FD" w:rsidRPr="00F400FD" w:rsidRDefault="00F400FD" w:rsidP="00672446">
      <w:pPr>
        <w:pStyle w:val="ListBullet"/>
        <w:rPr>
          <w:rFonts w:hint="eastAsia"/>
          <w:lang w:val="es-PE"/>
        </w:rPr>
      </w:pPr>
      <w:r w:rsidRPr="00F400FD">
        <w:rPr>
          <w:rFonts w:hint="eastAsia"/>
          <w:lang w:val="es-PE"/>
        </w:rPr>
        <w:t xml:space="preserve">Paso 1.  Generar vectores (P, Q, FX, </w:t>
      </w:r>
      <w:r w:rsidRPr="00F400FD">
        <w:rPr>
          <w:rFonts w:hint="eastAsia"/>
          <w:lang w:val="es-PE"/>
        </w:rPr>
        <w:t>τ</w:t>
      </w:r>
      <w:r w:rsidRPr="00F400FD">
        <w:rPr>
          <w:rFonts w:hint="eastAsia"/>
          <w:lang w:val="es-PE"/>
        </w:rPr>
        <w:t xml:space="preserve">, </w:t>
      </w:r>
      <w:proofErr w:type="gramStart"/>
      <w:r w:rsidRPr="00F400FD">
        <w:rPr>
          <w:rFonts w:hint="eastAsia"/>
          <w:lang w:val="es-PE"/>
        </w:rPr>
        <w:t xml:space="preserve">OPEX)  </w:t>
      </w:r>
      <w:r w:rsidRPr="00F400FD">
        <w:rPr>
          <w:rFonts w:hint="eastAsia"/>
          <w:lang w:val="es-PE"/>
        </w:rPr>
        <w:t>→</w:t>
      </w:r>
      <w:proofErr w:type="gramEnd"/>
      <w:r w:rsidRPr="00F400FD">
        <w:rPr>
          <w:rFonts w:hint="eastAsia"/>
          <w:lang w:val="es-PE"/>
        </w:rPr>
        <w:t xml:space="preserve"> </w:t>
      </w:r>
      <w:proofErr w:type="spellStart"/>
      <w:r w:rsidRPr="00F400FD">
        <w:rPr>
          <w:rFonts w:hint="eastAsia"/>
          <w:lang w:val="es-PE"/>
        </w:rPr>
        <w:t>seed</w:t>
      </w:r>
      <w:proofErr w:type="spellEnd"/>
      <w:r w:rsidRPr="00F400FD">
        <w:rPr>
          <w:rFonts w:hint="eastAsia"/>
          <w:lang w:val="es-PE"/>
        </w:rPr>
        <w:t xml:space="preserve"> = 37  </w:t>
      </w:r>
    </w:p>
    <w:p w14:paraId="1318138D" w14:textId="77777777" w:rsidR="00F400FD" w:rsidRPr="00F400FD" w:rsidRDefault="00F400FD" w:rsidP="00672446">
      <w:pPr>
        <w:pStyle w:val="ListBullet"/>
        <w:rPr>
          <w:lang w:val="es-PE"/>
        </w:rPr>
      </w:pPr>
      <w:r w:rsidRPr="00F400FD">
        <w:rPr>
          <w:lang w:val="es-PE"/>
        </w:rPr>
        <w:t xml:space="preserve">Paso 2.  Calcular </w:t>
      </w:r>
      <w:proofErr w:type="spellStart"/>
      <w:r w:rsidRPr="00F400FD">
        <w:rPr>
          <w:lang w:val="es-PE"/>
        </w:rPr>
        <w:t>OPEX_i</w:t>
      </w:r>
      <w:proofErr w:type="spellEnd"/>
      <w:r w:rsidRPr="00F400FD">
        <w:rPr>
          <w:lang w:val="es-PE"/>
        </w:rPr>
        <w:t xml:space="preserve"> = </w:t>
      </w:r>
      <w:proofErr w:type="spellStart"/>
      <w:r w:rsidRPr="00F400FD">
        <w:rPr>
          <w:lang w:val="es-PE"/>
        </w:rPr>
        <w:t>P·Q·share·FX</w:t>
      </w:r>
      <w:proofErr w:type="spellEnd"/>
      <w:r w:rsidRPr="00F400FD">
        <w:rPr>
          <w:lang w:val="es-PE"/>
        </w:rPr>
        <w:t xml:space="preserve">  </w:t>
      </w:r>
    </w:p>
    <w:p w14:paraId="1DB2CB10" w14:textId="77777777" w:rsidR="00F400FD" w:rsidRPr="00F400FD" w:rsidRDefault="00F400FD" w:rsidP="00672446">
      <w:pPr>
        <w:pStyle w:val="ListBullet"/>
      </w:pPr>
      <w:r w:rsidRPr="00F400FD">
        <w:rPr>
          <w:lang w:val="es-PE"/>
        </w:rPr>
        <w:t xml:space="preserve">Paso 3.  </w:t>
      </w:r>
      <w:proofErr w:type="spellStart"/>
      <w:r w:rsidRPr="00F400FD">
        <w:t>NER_i</w:t>
      </w:r>
      <w:proofErr w:type="spellEnd"/>
      <w:r w:rsidRPr="00F400FD">
        <w:t xml:space="preserve"> = P·Q</w:t>
      </w:r>
      <w:proofErr w:type="gramStart"/>
      <w:r w:rsidRPr="00F400FD">
        <w:t>·(</w:t>
      </w:r>
      <w:proofErr w:type="gramEnd"/>
      <w:r w:rsidRPr="00F400FD">
        <w:t xml:space="preserve">1 − </w:t>
      </w:r>
      <w:r w:rsidRPr="00F400FD">
        <w:rPr>
          <w:lang w:val="es-PE"/>
        </w:rPr>
        <w:t>τ</w:t>
      </w:r>
      <w:r w:rsidRPr="00F400FD">
        <w:t xml:space="preserve">) − </w:t>
      </w:r>
      <w:proofErr w:type="spellStart"/>
      <w:r w:rsidRPr="00F400FD">
        <w:t>OPEX_i</w:t>
      </w:r>
      <w:proofErr w:type="spellEnd"/>
      <w:r w:rsidRPr="00F400FD">
        <w:t xml:space="preserve">  </w:t>
      </w:r>
    </w:p>
    <w:p w14:paraId="6F24D92F" w14:textId="77777777" w:rsidR="00F400FD" w:rsidRPr="00F400FD" w:rsidRDefault="00F400FD" w:rsidP="00672446">
      <w:pPr>
        <w:pStyle w:val="ListBullet"/>
        <w:rPr>
          <w:lang w:val="es-PE"/>
        </w:rPr>
      </w:pPr>
      <w:r w:rsidRPr="00F400FD">
        <w:rPr>
          <w:lang w:val="es-PE"/>
        </w:rPr>
        <w:t xml:space="preserve">Paso 4.  Repetir con FX ±5 %, ±10 % y OPEX −4 %, −8 %  </w:t>
      </w:r>
    </w:p>
    <w:p w14:paraId="73ACDF00" w14:textId="77777777" w:rsidR="00F400FD" w:rsidRPr="00F400FD" w:rsidRDefault="00F400FD" w:rsidP="00672446">
      <w:pPr>
        <w:pStyle w:val="ListBullet"/>
        <w:rPr>
          <w:lang w:val="es-PE"/>
        </w:rPr>
      </w:pPr>
      <w:r w:rsidRPr="00F400FD">
        <w:rPr>
          <w:lang w:val="es-PE"/>
        </w:rPr>
        <w:t xml:space="preserve">Paso 5.  Agregar (media, p10, p90, curtosis) por segmento  </w:t>
      </w:r>
    </w:p>
    <w:p w14:paraId="082037A8" w14:textId="49F3F7D0" w:rsidR="00F400FD" w:rsidRPr="00F400FD" w:rsidRDefault="00F400FD" w:rsidP="00672446">
      <w:pPr>
        <w:pStyle w:val="ListBullet"/>
        <w:rPr>
          <w:lang w:val="es-PE"/>
        </w:rPr>
      </w:pPr>
      <w:r w:rsidRPr="00F400FD">
        <w:rPr>
          <w:lang w:val="es-PE"/>
        </w:rPr>
        <w:t xml:space="preserve">Paso 6.  </w:t>
      </w:r>
      <w:proofErr w:type="spellStart"/>
      <w:r w:rsidRPr="00F400FD">
        <w:rPr>
          <w:lang w:val="es-PE"/>
        </w:rPr>
        <w:t>ΔFiscal</w:t>
      </w:r>
      <w:proofErr w:type="spellEnd"/>
      <w:r w:rsidRPr="00F400FD">
        <w:rPr>
          <w:lang w:val="es-PE"/>
        </w:rPr>
        <w:t xml:space="preserve"> = 7 % · </w:t>
      </w:r>
      <w:proofErr w:type="gramStart"/>
      <w:r w:rsidRPr="00F400FD">
        <w:rPr>
          <w:lang w:val="es-PE"/>
        </w:rPr>
        <w:t xml:space="preserve">Σ( </w:t>
      </w:r>
      <w:proofErr w:type="spellStart"/>
      <w:r w:rsidRPr="00F400FD">
        <w:rPr>
          <w:lang w:val="es-PE"/>
        </w:rPr>
        <w:t>NER</w:t>
      </w:r>
      <w:proofErr w:type="gramEnd"/>
      <w:r w:rsidRPr="00F400FD">
        <w:rPr>
          <w:lang w:val="es-PE"/>
        </w:rPr>
        <w:t>_base</w:t>
      </w:r>
      <w:proofErr w:type="spellEnd"/>
      <w:r w:rsidRPr="00F400FD">
        <w:rPr>
          <w:lang w:val="es-PE"/>
        </w:rPr>
        <w:t xml:space="preserve"> − </w:t>
      </w:r>
      <w:proofErr w:type="spellStart"/>
      <w:r w:rsidRPr="00F400FD">
        <w:rPr>
          <w:lang w:val="es-PE"/>
        </w:rPr>
        <w:t>NER_</w:t>
      </w:r>
      <w:proofErr w:type="gramStart"/>
      <w:r w:rsidRPr="00F400FD">
        <w:rPr>
          <w:lang w:val="es-PE"/>
        </w:rPr>
        <w:t>scenario</w:t>
      </w:r>
      <w:proofErr w:type="spellEnd"/>
      <w:r w:rsidRPr="00F400FD">
        <w:rPr>
          <w:lang w:val="es-PE"/>
        </w:rPr>
        <w:t xml:space="preserve"> )</w:t>
      </w:r>
      <w:proofErr w:type="gramEnd"/>
    </w:p>
    <w:p w14:paraId="410D37C7" w14:textId="77777777" w:rsidR="00F400FD" w:rsidRPr="00F400FD" w:rsidRDefault="00F400FD" w:rsidP="00F400FD">
      <w:pPr>
        <w:spacing w:line="240" w:lineRule="auto"/>
        <w:jc w:val="both"/>
        <w:rPr>
          <w:b/>
          <w:bCs/>
          <w:lang w:val="es-PE"/>
        </w:rPr>
      </w:pPr>
      <w:r w:rsidRPr="00F400FD">
        <w:rPr>
          <w:b/>
          <w:bCs/>
          <w:lang w:val="es-PE"/>
        </w:rPr>
        <w:t>3.6 Módulo econométrico explicativo</w:t>
      </w:r>
    </w:p>
    <w:p w14:paraId="3321B452" w14:textId="77777777" w:rsidR="00F400FD" w:rsidRPr="00F400FD" w:rsidRDefault="00F400FD" w:rsidP="00F400FD">
      <w:pPr>
        <w:spacing w:line="240" w:lineRule="auto"/>
        <w:jc w:val="both"/>
        <w:rPr>
          <w:lang w:val="es-PE"/>
        </w:rPr>
      </w:pPr>
      <w:r w:rsidRPr="00F400FD">
        <w:rPr>
          <w:lang w:val="es-PE"/>
        </w:rPr>
        <w:t>Para identificar los factores que más pesan en la erosión de márgenes, estimamos una regresión OLS robusta a heterocedasticidad (HC</w:t>
      </w:r>
      <w:r w:rsidRPr="00F400FD">
        <w:rPr>
          <w:rFonts w:ascii="Cambria Math" w:hAnsi="Cambria Math" w:cs="Cambria Math"/>
          <w:lang w:val="es-PE"/>
        </w:rPr>
        <w:t>₃</w:t>
      </w:r>
      <w:r w:rsidRPr="00F400FD">
        <w:rPr>
          <w:lang w:val="es-PE"/>
        </w:rPr>
        <w:t>). La variable dependiente es la p</w:t>
      </w:r>
      <w:r w:rsidRPr="00F400FD">
        <w:rPr>
          <w:rFonts w:cs="Arial"/>
          <w:lang w:val="es-PE"/>
        </w:rPr>
        <w:t>é</w:t>
      </w:r>
      <w:r w:rsidRPr="00F400FD">
        <w:rPr>
          <w:lang w:val="es-PE"/>
        </w:rPr>
        <w:t xml:space="preserve">rdida relativa de NER; los regresores son una </w:t>
      </w:r>
      <w:proofErr w:type="spellStart"/>
      <w:r w:rsidRPr="00F400FD">
        <w:rPr>
          <w:lang w:val="es-PE"/>
        </w:rPr>
        <w:t>dummy</w:t>
      </w:r>
      <w:proofErr w:type="spellEnd"/>
      <w:r w:rsidRPr="00F400FD">
        <w:rPr>
          <w:lang w:val="es-PE"/>
        </w:rPr>
        <w:t xml:space="preserve"> de escala (1 = peque</w:t>
      </w:r>
      <w:r w:rsidRPr="00F400FD">
        <w:rPr>
          <w:rFonts w:cs="Arial"/>
          <w:lang w:val="es-PE"/>
        </w:rPr>
        <w:t>ñ</w:t>
      </w:r>
      <w:r w:rsidRPr="00F400FD">
        <w:rPr>
          <w:lang w:val="es-PE"/>
        </w:rPr>
        <w:t>a), la proporci</w:t>
      </w:r>
      <w:r w:rsidRPr="00F400FD">
        <w:rPr>
          <w:rFonts w:cs="Arial"/>
          <w:lang w:val="es-PE"/>
        </w:rPr>
        <w:t>ó</w:t>
      </w:r>
      <w:r w:rsidRPr="00F400FD">
        <w:rPr>
          <w:lang w:val="es-PE"/>
        </w:rPr>
        <w:t>n de costos operativos y la tasa arancelaria efectiva. El modelo alcanza un R</w:t>
      </w:r>
      <w:r w:rsidRPr="00F400FD">
        <w:rPr>
          <w:rFonts w:cs="Arial"/>
          <w:lang w:val="es-PE"/>
        </w:rPr>
        <w:t>²</w:t>
      </w:r>
      <w:r w:rsidRPr="00F400FD">
        <w:rPr>
          <w:lang w:val="es-PE"/>
        </w:rPr>
        <w:t xml:space="preserve"> de 0,95, lo que significa que captura 95 % de la dispersi</w:t>
      </w:r>
      <w:r w:rsidRPr="00F400FD">
        <w:rPr>
          <w:rFonts w:cs="Arial"/>
          <w:lang w:val="es-PE"/>
        </w:rPr>
        <w:t>ó</w:t>
      </w:r>
      <w:r w:rsidRPr="00F400FD">
        <w:rPr>
          <w:lang w:val="es-PE"/>
        </w:rPr>
        <w:t>n observada.</w:t>
      </w:r>
    </w:p>
    <w:p w14:paraId="2F0F7E43" w14:textId="77777777" w:rsidR="00F400FD" w:rsidRDefault="00F400FD" w:rsidP="00F400FD">
      <w:pPr>
        <w:spacing w:line="240" w:lineRule="auto"/>
        <w:jc w:val="both"/>
        <w:rPr>
          <w:lang w:val="es-PE"/>
        </w:rPr>
      </w:pPr>
      <w:r w:rsidRPr="00F400FD">
        <w:rPr>
          <w:lang w:val="es-PE"/>
        </w:rPr>
        <w:t xml:space="preserve">Aquí sobresale el coeficiente de la </w:t>
      </w:r>
      <w:proofErr w:type="spellStart"/>
      <w:r w:rsidRPr="00F400FD">
        <w:rPr>
          <w:lang w:val="es-PE"/>
        </w:rPr>
        <w:t>dummy</w:t>
      </w:r>
      <w:proofErr w:type="spellEnd"/>
      <w:r w:rsidRPr="00F400FD">
        <w:rPr>
          <w:lang w:val="es-PE"/>
        </w:rPr>
        <w:t xml:space="preserve"> de escala (</w:t>
      </w:r>
      <w:r w:rsidRPr="00F400FD">
        <w:t>β</w:t>
      </w:r>
      <w:r w:rsidRPr="00F400FD">
        <w:rPr>
          <w:lang w:val="es-PE"/>
        </w:rPr>
        <w:t xml:space="preserve"> ≈ +0,037): operar una mina pequeña implica, por sí mismo, un castigo adicional de 3,7 puntos porcentuales en la pérdida de NER. Igualmente, el </w:t>
      </w:r>
      <w:r w:rsidRPr="00F400FD">
        <w:t>β</w:t>
      </w:r>
      <w:r w:rsidRPr="00F400FD">
        <w:rPr>
          <w:lang w:val="es-PE"/>
        </w:rPr>
        <w:t xml:space="preserve"> del arancel (≈ 1,018) confirma una elasticidad casi perfecta: por cada punto porcentual de arancel, el margen neto se reduce en la misma magnitud.</w:t>
      </w:r>
    </w:p>
    <w:p w14:paraId="6E50B7ED" w14:textId="77777777" w:rsidR="00F400FD" w:rsidRPr="00F400FD" w:rsidRDefault="00F400FD" w:rsidP="00F400FD">
      <w:pPr>
        <w:spacing w:line="240" w:lineRule="auto"/>
        <w:jc w:val="both"/>
        <w:rPr>
          <w:lang w:val="es-PE"/>
        </w:rPr>
      </w:pPr>
      <w:r w:rsidRPr="00F400FD">
        <w:rPr>
          <w:lang w:val="es-PE"/>
        </w:rPr>
        <w:t>Modelo OLS con varianza robusta (HC</w:t>
      </w:r>
      <w:r w:rsidRPr="00F400FD">
        <w:rPr>
          <w:rFonts w:ascii="Cambria Math" w:hAnsi="Cambria Math" w:cs="Cambria Math"/>
          <w:lang w:val="es-PE"/>
        </w:rPr>
        <w:t>₃</w:t>
      </w:r>
      <w:r w:rsidRPr="00F400FD">
        <w:rPr>
          <w:lang w:val="es-PE"/>
        </w:rPr>
        <w:t>):</w:t>
      </w:r>
    </w:p>
    <w:p w14:paraId="29ACDEEF" w14:textId="77777777" w:rsidR="00F400FD" w:rsidRPr="00F400FD" w:rsidRDefault="00F400FD" w:rsidP="00F400FD">
      <w:pPr>
        <w:spacing w:line="240" w:lineRule="auto"/>
        <w:jc w:val="both"/>
        <w:rPr>
          <w:lang w:val="es-PE"/>
        </w:rPr>
      </w:pPr>
      <w:r w:rsidRPr="00F400FD">
        <w:t>Δ</w:t>
      </w:r>
      <w:proofErr w:type="spellStart"/>
      <w:r w:rsidRPr="00F400FD">
        <w:rPr>
          <w:lang w:val="es-PE"/>
        </w:rPr>
        <w:t>NERi</w:t>
      </w:r>
      <w:proofErr w:type="spellEnd"/>
      <w:r w:rsidRPr="00F400FD">
        <w:rPr>
          <w:lang w:val="es-PE"/>
        </w:rPr>
        <w:t>=</w:t>
      </w:r>
      <w:r w:rsidRPr="00F400FD">
        <w:t>β</w:t>
      </w:r>
      <w:r w:rsidRPr="00F400FD">
        <w:rPr>
          <w:lang w:val="es-PE"/>
        </w:rPr>
        <w:t>0+</w:t>
      </w:r>
      <w:r w:rsidRPr="00F400FD">
        <w:t>β</w:t>
      </w:r>
      <w:r w:rsidRPr="00F400FD">
        <w:rPr>
          <w:lang w:val="es-PE"/>
        </w:rPr>
        <w:t>1 </w:t>
      </w:r>
      <w:proofErr w:type="spellStart"/>
      <w:r w:rsidRPr="00F400FD">
        <w:rPr>
          <w:lang w:val="es-PE"/>
        </w:rPr>
        <w:t>scaleSmalli</w:t>
      </w:r>
      <w:proofErr w:type="spellEnd"/>
      <w:r w:rsidRPr="00F400FD">
        <w:rPr>
          <w:lang w:val="es-PE"/>
        </w:rPr>
        <w:t>+</w:t>
      </w:r>
      <w:r w:rsidRPr="00F400FD">
        <w:t>β</w:t>
      </w:r>
      <w:r w:rsidRPr="00F400FD">
        <w:rPr>
          <w:lang w:val="es-PE"/>
        </w:rPr>
        <w:t>2 </w:t>
      </w:r>
      <w:proofErr w:type="spellStart"/>
      <w:r w:rsidRPr="00F400FD">
        <w:rPr>
          <w:lang w:val="es-PE"/>
        </w:rPr>
        <w:t>costSharei</w:t>
      </w:r>
      <w:proofErr w:type="spellEnd"/>
      <w:r w:rsidRPr="00F400FD">
        <w:rPr>
          <w:lang w:val="es-PE"/>
        </w:rPr>
        <w:t>+</w:t>
      </w:r>
      <w:r w:rsidRPr="00F400FD">
        <w:t>β</w:t>
      </w:r>
      <w:r w:rsidRPr="00F400FD">
        <w:rPr>
          <w:lang w:val="es-PE"/>
        </w:rPr>
        <w:t>3 </w:t>
      </w:r>
      <w:proofErr w:type="spellStart"/>
      <w:r w:rsidRPr="00F400FD">
        <w:rPr>
          <w:lang w:val="es-PE"/>
        </w:rPr>
        <w:t>tariffEffi</w:t>
      </w:r>
      <w:proofErr w:type="spellEnd"/>
      <w:r w:rsidRPr="00F400FD">
        <w:rPr>
          <w:lang w:val="es-PE"/>
        </w:rPr>
        <w:t>+</w:t>
      </w:r>
      <w:r w:rsidRPr="00F400FD">
        <w:t>ϵ</w:t>
      </w:r>
      <w:r w:rsidRPr="00F400FD">
        <w:rPr>
          <w:lang w:val="es-PE"/>
        </w:rPr>
        <w:t>i\Delta \</w:t>
      </w:r>
      <w:proofErr w:type="spellStart"/>
      <w:proofErr w:type="gramStart"/>
      <w:r w:rsidRPr="00F400FD">
        <w:rPr>
          <w:lang w:val="es-PE"/>
        </w:rPr>
        <w:t>text</w:t>
      </w:r>
      <w:proofErr w:type="spellEnd"/>
      <w:r w:rsidRPr="00F400FD">
        <w:rPr>
          <w:lang w:val="es-PE"/>
        </w:rPr>
        <w:t>{</w:t>
      </w:r>
      <w:proofErr w:type="gramEnd"/>
      <w:r w:rsidRPr="00F400FD">
        <w:rPr>
          <w:lang w:val="es-PE"/>
        </w:rPr>
        <w:t>NER}_i =\beta_0 +</w:t>
      </w:r>
      <w:proofErr w:type="gramStart"/>
      <w:r w:rsidRPr="00F400FD">
        <w:rPr>
          <w:lang w:val="es-PE"/>
        </w:rPr>
        <w:t>\beta_1\,\</w:t>
      </w:r>
      <w:proofErr w:type="spellStart"/>
      <w:proofErr w:type="gramEnd"/>
      <w:r w:rsidRPr="00F400FD">
        <w:rPr>
          <w:lang w:val="es-PE"/>
        </w:rPr>
        <w:t>text</w:t>
      </w:r>
      <w:proofErr w:type="spellEnd"/>
      <w:r w:rsidRPr="00F400FD">
        <w:rPr>
          <w:lang w:val="es-PE"/>
        </w:rPr>
        <w:t>{</w:t>
      </w:r>
      <w:proofErr w:type="spellStart"/>
      <w:r w:rsidRPr="00F400FD">
        <w:rPr>
          <w:lang w:val="es-PE"/>
        </w:rPr>
        <w:t>scaleSmall</w:t>
      </w:r>
      <w:proofErr w:type="spellEnd"/>
      <w:r w:rsidRPr="00F400FD">
        <w:rPr>
          <w:lang w:val="es-PE"/>
        </w:rPr>
        <w:t>}_i +</w:t>
      </w:r>
      <w:proofErr w:type="gramStart"/>
      <w:r w:rsidRPr="00F400FD">
        <w:rPr>
          <w:lang w:val="es-PE"/>
        </w:rPr>
        <w:t>\beta_2\,\</w:t>
      </w:r>
      <w:proofErr w:type="spellStart"/>
      <w:proofErr w:type="gramEnd"/>
      <w:r w:rsidRPr="00F400FD">
        <w:rPr>
          <w:lang w:val="es-PE"/>
        </w:rPr>
        <w:t>text</w:t>
      </w:r>
      <w:proofErr w:type="spellEnd"/>
      <w:r w:rsidRPr="00F400FD">
        <w:rPr>
          <w:lang w:val="es-PE"/>
        </w:rPr>
        <w:t>{</w:t>
      </w:r>
      <w:proofErr w:type="spellStart"/>
      <w:r w:rsidRPr="00F400FD">
        <w:rPr>
          <w:lang w:val="es-PE"/>
        </w:rPr>
        <w:t>costShare</w:t>
      </w:r>
      <w:proofErr w:type="spellEnd"/>
      <w:r w:rsidRPr="00F400FD">
        <w:rPr>
          <w:lang w:val="es-PE"/>
        </w:rPr>
        <w:t>}_i +</w:t>
      </w:r>
      <w:proofErr w:type="gramStart"/>
      <w:r w:rsidRPr="00F400FD">
        <w:rPr>
          <w:lang w:val="es-PE"/>
        </w:rPr>
        <w:t>\beta_3\,\</w:t>
      </w:r>
      <w:proofErr w:type="spellStart"/>
      <w:proofErr w:type="gramEnd"/>
      <w:r w:rsidRPr="00F400FD">
        <w:rPr>
          <w:lang w:val="es-PE"/>
        </w:rPr>
        <w:t>text</w:t>
      </w:r>
      <w:proofErr w:type="spellEnd"/>
      <w:r w:rsidRPr="00F400FD">
        <w:rPr>
          <w:lang w:val="es-PE"/>
        </w:rPr>
        <w:t>{</w:t>
      </w:r>
      <w:proofErr w:type="spellStart"/>
      <w:r w:rsidRPr="00F400FD">
        <w:rPr>
          <w:lang w:val="es-PE"/>
        </w:rPr>
        <w:t>tariffEff</w:t>
      </w:r>
      <w:proofErr w:type="spellEnd"/>
      <w:r w:rsidRPr="00F400FD">
        <w:rPr>
          <w:lang w:val="es-PE"/>
        </w:rPr>
        <w:t>}_i +\</w:t>
      </w:r>
      <w:proofErr w:type="spellStart"/>
      <w:r w:rsidRPr="00F400FD">
        <w:rPr>
          <w:lang w:val="es-PE"/>
        </w:rPr>
        <w:t>epsilon_i</w:t>
      </w:r>
      <w:proofErr w:type="spellEnd"/>
      <w:r w:rsidRPr="00F400FD">
        <w:t>Δ</w:t>
      </w:r>
      <w:proofErr w:type="spellStart"/>
      <w:r w:rsidRPr="00F400FD">
        <w:rPr>
          <w:lang w:val="es-PE"/>
        </w:rPr>
        <w:t>NERi</w:t>
      </w:r>
      <w:proofErr w:type="spellEnd"/>
      <w:r w:rsidRPr="00F400FD">
        <w:rPr>
          <w:lang w:val="es-PE"/>
        </w:rPr>
        <w:t>​=</w:t>
      </w:r>
      <w:r w:rsidRPr="00F400FD">
        <w:t>β</w:t>
      </w:r>
      <w:r w:rsidRPr="00F400FD">
        <w:rPr>
          <w:lang w:val="es-PE"/>
        </w:rPr>
        <w:t>0​+</w:t>
      </w:r>
      <w:r w:rsidRPr="00F400FD">
        <w:t>β</w:t>
      </w:r>
      <w:r w:rsidRPr="00F400FD">
        <w:rPr>
          <w:lang w:val="es-PE"/>
        </w:rPr>
        <w:t>1​</w:t>
      </w:r>
      <w:proofErr w:type="spellStart"/>
      <w:r w:rsidRPr="00F400FD">
        <w:rPr>
          <w:lang w:val="es-PE"/>
        </w:rPr>
        <w:t>scaleSmalli</w:t>
      </w:r>
      <w:proofErr w:type="spellEnd"/>
      <w:r w:rsidRPr="00F400FD">
        <w:rPr>
          <w:lang w:val="es-PE"/>
        </w:rPr>
        <w:t>​+</w:t>
      </w:r>
      <w:r w:rsidRPr="00F400FD">
        <w:t>β</w:t>
      </w:r>
      <w:r w:rsidRPr="00F400FD">
        <w:rPr>
          <w:lang w:val="es-PE"/>
        </w:rPr>
        <w:t>2​</w:t>
      </w:r>
      <w:proofErr w:type="spellStart"/>
      <w:r w:rsidRPr="00F400FD">
        <w:rPr>
          <w:lang w:val="es-PE"/>
        </w:rPr>
        <w:t>costSharei</w:t>
      </w:r>
      <w:proofErr w:type="spellEnd"/>
      <w:r w:rsidRPr="00F400FD">
        <w:rPr>
          <w:lang w:val="es-PE"/>
        </w:rPr>
        <w:t>​+</w:t>
      </w:r>
      <w:r w:rsidRPr="00F400FD">
        <w:t>β</w:t>
      </w:r>
      <w:r w:rsidRPr="00F400FD">
        <w:rPr>
          <w:lang w:val="es-PE"/>
        </w:rPr>
        <w:t>3​</w:t>
      </w:r>
      <w:proofErr w:type="spellStart"/>
      <w:r w:rsidRPr="00F400FD">
        <w:rPr>
          <w:lang w:val="es-PE"/>
        </w:rPr>
        <w:t>tariffEffi</w:t>
      </w:r>
      <w:proofErr w:type="spellEnd"/>
      <w:r w:rsidRPr="00F400FD">
        <w:rPr>
          <w:lang w:val="es-PE"/>
        </w:rPr>
        <w:t>​+</w:t>
      </w:r>
      <w:r w:rsidRPr="00F400FD">
        <w:t>ϵ</w:t>
      </w:r>
      <w:r w:rsidRPr="00F400FD">
        <w:rPr>
          <w:lang w:val="es-PE"/>
        </w:rPr>
        <w:t xml:space="preserve">i​ </w:t>
      </w:r>
    </w:p>
    <w:p w14:paraId="67F13696" w14:textId="77777777" w:rsidR="00F400FD" w:rsidRPr="00F400FD" w:rsidRDefault="00F400FD" w:rsidP="00672446">
      <w:pPr>
        <w:numPr>
          <w:ilvl w:val="0"/>
          <w:numId w:val="19"/>
        </w:numPr>
        <w:spacing w:line="240" w:lineRule="auto"/>
      </w:pPr>
      <w:r w:rsidRPr="00F400FD">
        <w:rPr>
          <w:b/>
          <w:bCs/>
        </w:rPr>
        <w:t>R² = 0,95</w:t>
      </w:r>
      <w:r w:rsidRPr="00F400FD">
        <w:t>, SEE = 0,004.</w:t>
      </w:r>
    </w:p>
    <w:p w14:paraId="2BC80870" w14:textId="77777777" w:rsidR="00F400FD" w:rsidRPr="00F400FD" w:rsidRDefault="00F400FD" w:rsidP="00672446">
      <w:pPr>
        <w:numPr>
          <w:ilvl w:val="0"/>
          <w:numId w:val="19"/>
        </w:numPr>
        <w:spacing w:line="240" w:lineRule="auto"/>
        <w:rPr>
          <w:lang w:val="es-PE"/>
        </w:rPr>
      </w:pPr>
      <w:r w:rsidRPr="00F400FD">
        <w:rPr>
          <w:b/>
          <w:bCs/>
        </w:rPr>
        <w:t>β</w:t>
      </w:r>
      <w:r w:rsidRPr="00F400FD">
        <w:rPr>
          <w:rFonts w:ascii="Cambria Math" w:hAnsi="Cambria Math" w:cs="Cambria Math"/>
          <w:b/>
          <w:bCs/>
          <w:lang w:val="es-PE"/>
        </w:rPr>
        <w:t>₁</w:t>
      </w:r>
      <w:r w:rsidRPr="00F400FD">
        <w:rPr>
          <w:b/>
          <w:bCs/>
          <w:lang w:val="es-PE"/>
        </w:rPr>
        <w:t xml:space="preserve"> = +0,037</w:t>
      </w:r>
      <w:r w:rsidRPr="00F400FD">
        <w:rPr>
          <w:lang w:val="es-PE"/>
        </w:rPr>
        <w:t xml:space="preserve"> (p &lt; 0,01) → penalización de escala.</w:t>
      </w:r>
    </w:p>
    <w:p w14:paraId="33F87267" w14:textId="77777777" w:rsidR="00F400FD" w:rsidRPr="00F400FD" w:rsidRDefault="00F400FD" w:rsidP="00672446">
      <w:pPr>
        <w:numPr>
          <w:ilvl w:val="0"/>
          <w:numId w:val="19"/>
        </w:numPr>
        <w:spacing w:line="240" w:lineRule="auto"/>
        <w:rPr>
          <w:lang w:val="es-PE"/>
        </w:rPr>
      </w:pPr>
      <w:r w:rsidRPr="00F400FD">
        <w:rPr>
          <w:b/>
          <w:bCs/>
        </w:rPr>
        <w:t>β</w:t>
      </w:r>
      <w:r w:rsidRPr="00F400FD">
        <w:rPr>
          <w:rFonts w:ascii="Cambria Math" w:hAnsi="Cambria Math" w:cs="Cambria Math"/>
          <w:b/>
          <w:bCs/>
          <w:lang w:val="es-PE"/>
        </w:rPr>
        <w:t>₃</w:t>
      </w:r>
      <w:r w:rsidRPr="00F400FD">
        <w:rPr>
          <w:b/>
          <w:bCs/>
          <w:lang w:val="es-PE"/>
        </w:rPr>
        <w:t xml:space="preserve"> = +1,018</w:t>
      </w:r>
      <w:r w:rsidRPr="00F400FD">
        <w:rPr>
          <w:lang w:val="es-PE"/>
        </w:rPr>
        <w:t xml:space="preserve"> (p &lt; 0,001) → transmisión arancel-margen ≈ </w:t>
      </w:r>
      <w:proofErr w:type="gramStart"/>
      <w:r w:rsidRPr="00F400FD">
        <w:rPr>
          <w:lang w:val="es-PE"/>
        </w:rPr>
        <w:t>1 :</w:t>
      </w:r>
      <w:proofErr w:type="gramEnd"/>
      <w:r w:rsidRPr="00F400FD">
        <w:rPr>
          <w:lang w:val="es-PE"/>
        </w:rPr>
        <w:t xml:space="preserve"> 1.</w:t>
      </w:r>
    </w:p>
    <w:p w14:paraId="1B2E198B" w14:textId="0F05A8EE" w:rsidR="00F400FD" w:rsidRPr="00F400FD" w:rsidRDefault="00F400FD" w:rsidP="00672446">
      <w:pPr>
        <w:numPr>
          <w:ilvl w:val="0"/>
          <w:numId w:val="19"/>
        </w:numPr>
        <w:spacing w:line="240" w:lineRule="auto"/>
        <w:rPr>
          <w:lang w:val="es-PE"/>
        </w:rPr>
      </w:pPr>
      <w:r w:rsidRPr="00F400FD">
        <w:rPr>
          <w:lang w:val="es-PE"/>
        </w:rPr>
        <w:t>Residuos: Jarque-</w:t>
      </w:r>
      <w:proofErr w:type="spellStart"/>
      <w:r w:rsidRPr="00F400FD">
        <w:rPr>
          <w:lang w:val="es-PE"/>
        </w:rPr>
        <w:t>Bera</w:t>
      </w:r>
      <w:proofErr w:type="spellEnd"/>
      <w:r w:rsidRPr="00F400FD">
        <w:rPr>
          <w:lang w:val="es-PE"/>
        </w:rPr>
        <w:t xml:space="preserve"> p = 0,13 (normalidad); </w:t>
      </w:r>
      <w:proofErr w:type="spellStart"/>
      <w:r w:rsidRPr="00F400FD">
        <w:rPr>
          <w:lang w:val="es-PE"/>
        </w:rPr>
        <w:t>Breusch</w:t>
      </w:r>
      <w:proofErr w:type="spellEnd"/>
      <w:r w:rsidRPr="00F400FD">
        <w:rPr>
          <w:lang w:val="es-PE"/>
        </w:rPr>
        <w:t>-Pagan p = 0,27 (homocedasticidad).</w:t>
      </w:r>
    </w:p>
    <w:p w14:paraId="774D6D21" w14:textId="77777777" w:rsidR="00F400FD" w:rsidRPr="00F400FD" w:rsidRDefault="00F400FD" w:rsidP="00F400FD">
      <w:pPr>
        <w:spacing w:line="240" w:lineRule="auto"/>
        <w:jc w:val="both"/>
        <w:rPr>
          <w:b/>
          <w:bCs/>
          <w:lang w:val="es-PE"/>
        </w:rPr>
      </w:pPr>
      <w:r w:rsidRPr="00F400FD">
        <w:rPr>
          <w:b/>
          <w:bCs/>
          <w:lang w:val="es-PE"/>
        </w:rPr>
        <w:t>3.7 Controles de robustez y validación externa</w:t>
      </w:r>
    </w:p>
    <w:p w14:paraId="70608259" w14:textId="77777777" w:rsidR="00F400FD" w:rsidRDefault="00F400FD" w:rsidP="00F400FD">
      <w:pPr>
        <w:spacing w:line="240" w:lineRule="auto"/>
        <w:jc w:val="both"/>
        <w:rPr>
          <w:lang w:val="es-PE"/>
        </w:rPr>
      </w:pPr>
      <w:r w:rsidRPr="00F400FD">
        <w:rPr>
          <w:lang w:val="es-PE"/>
        </w:rPr>
        <w:t>Se aplicaron tres pruebas clave. Primero, un back-test al periodo 2015-2019 con un arancel hipotético de 6 % arrojó un error medio de solo 0,4 p.p., certificando la estabilidad histórica del modelo. Segundo, un stress test logístico con un aumento de 15 % en fletes marítimos desplazó la pérdida de NER menos de 1,3 p.p.; señal de que el shock principal es efectivamente arancelario y no de transporte. Tercero, reemplazar la distribución Normal del precio por una t-</w:t>
      </w:r>
      <w:proofErr w:type="spellStart"/>
      <w:r w:rsidRPr="00F400FD">
        <w:rPr>
          <w:lang w:val="es-PE"/>
        </w:rPr>
        <w:t>Student</w:t>
      </w:r>
      <w:proofErr w:type="spellEnd"/>
      <w:r w:rsidRPr="00F400FD">
        <w:rPr>
          <w:lang w:val="es-PE"/>
        </w:rPr>
        <w:t xml:space="preserve"> (</w:t>
      </w:r>
      <w:r w:rsidRPr="00F400FD">
        <w:t>ν</w:t>
      </w:r>
      <w:r w:rsidRPr="00F400FD">
        <w:rPr>
          <w:lang w:val="es-PE"/>
        </w:rPr>
        <w:t xml:space="preserve"> = 4) incrementó la curtosis sin alterar de forma material la media o la desviación estándar, mostrando robustez frente a colas pesadas.</w:t>
      </w:r>
    </w:p>
    <w:p w14:paraId="09336502" w14:textId="41EEFF0E" w:rsidR="00672446" w:rsidRPr="00F400FD" w:rsidRDefault="00672446" w:rsidP="00F400FD">
      <w:pPr>
        <w:spacing w:line="240" w:lineRule="auto"/>
        <w:jc w:val="both"/>
        <w:rPr>
          <w:b/>
          <w:bCs/>
          <w:lang w:val="es-PE"/>
        </w:rPr>
      </w:pPr>
      <w:r w:rsidRPr="00672446">
        <w:rPr>
          <w:b/>
          <w:bCs/>
          <w:lang w:val="es-PE"/>
        </w:rPr>
        <w:t>Tabla 3-4. Controles de robustez y validación del modelo</w:t>
      </w:r>
    </w:p>
    <w:tbl>
      <w:tblPr>
        <w:tblStyle w:val="PlainTable5"/>
        <w:tblW w:w="0" w:type="auto"/>
        <w:tblInd w:w="-432" w:type="dxa"/>
        <w:tblLook w:val="04A0" w:firstRow="1" w:lastRow="0" w:firstColumn="1" w:lastColumn="0" w:noHBand="0" w:noVBand="1"/>
      </w:tblPr>
      <w:tblGrid>
        <w:gridCol w:w="1892"/>
        <w:gridCol w:w="1443"/>
        <w:gridCol w:w="1417"/>
      </w:tblGrid>
      <w:tr w:rsidR="00F400FD" w:rsidRPr="00F400FD" w14:paraId="7294841A" w14:textId="77777777" w:rsidTr="00F400F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25F358E" w14:textId="77777777" w:rsidR="00F400FD" w:rsidRPr="00F400FD" w:rsidRDefault="00F400FD" w:rsidP="00F400FD">
            <w:pPr>
              <w:spacing w:after="200"/>
              <w:jc w:val="both"/>
              <w:rPr>
                <w:b/>
                <w:bCs/>
                <w:sz w:val="16"/>
                <w:szCs w:val="16"/>
              </w:rPr>
            </w:pPr>
            <w:proofErr w:type="spellStart"/>
            <w:r w:rsidRPr="00F400FD">
              <w:rPr>
                <w:b/>
                <w:bCs/>
                <w:sz w:val="16"/>
                <w:szCs w:val="16"/>
              </w:rPr>
              <w:t>Prueba</w:t>
            </w:r>
            <w:proofErr w:type="spellEnd"/>
          </w:p>
        </w:tc>
        <w:tc>
          <w:tcPr>
            <w:tcW w:w="0" w:type="auto"/>
            <w:hideMark/>
          </w:tcPr>
          <w:p w14:paraId="49966FB0" w14:textId="77777777" w:rsidR="00F400FD" w:rsidRPr="00F400FD" w:rsidRDefault="00F400FD" w:rsidP="00F400FD">
            <w:pPr>
              <w:spacing w:after="200"/>
              <w:jc w:val="both"/>
              <w:cnfStyle w:val="100000000000" w:firstRow="1" w:lastRow="0" w:firstColumn="0" w:lastColumn="0" w:oddVBand="0" w:evenVBand="0" w:oddHBand="0" w:evenHBand="0" w:firstRowFirstColumn="0" w:firstRowLastColumn="0" w:lastRowFirstColumn="0" w:lastRowLastColumn="0"/>
              <w:rPr>
                <w:b/>
                <w:bCs/>
                <w:sz w:val="16"/>
                <w:szCs w:val="16"/>
              </w:rPr>
            </w:pPr>
            <w:proofErr w:type="spellStart"/>
            <w:r w:rsidRPr="00F400FD">
              <w:rPr>
                <w:b/>
                <w:bCs/>
                <w:sz w:val="16"/>
                <w:szCs w:val="16"/>
              </w:rPr>
              <w:t>Resultado</w:t>
            </w:r>
            <w:proofErr w:type="spellEnd"/>
          </w:p>
        </w:tc>
        <w:tc>
          <w:tcPr>
            <w:tcW w:w="0" w:type="auto"/>
            <w:hideMark/>
          </w:tcPr>
          <w:p w14:paraId="2B478A61" w14:textId="77777777" w:rsidR="00F400FD" w:rsidRPr="00F400FD" w:rsidRDefault="00F400FD" w:rsidP="00F400FD">
            <w:pPr>
              <w:spacing w:after="200"/>
              <w:jc w:val="both"/>
              <w:cnfStyle w:val="100000000000" w:firstRow="1" w:lastRow="0" w:firstColumn="0" w:lastColumn="0" w:oddVBand="0" w:evenVBand="0" w:oddHBand="0" w:evenHBand="0" w:firstRowFirstColumn="0" w:firstRowLastColumn="0" w:lastRowFirstColumn="0" w:lastRowLastColumn="0"/>
              <w:rPr>
                <w:b/>
                <w:bCs/>
                <w:sz w:val="16"/>
                <w:szCs w:val="16"/>
              </w:rPr>
            </w:pPr>
            <w:proofErr w:type="spellStart"/>
            <w:r w:rsidRPr="00F400FD">
              <w:rPr>
                <w:b/>
                <w:bCs/>
                <w:sz w:val="16"/>
                <w:szCs w:val="16"/>
              </w:rPr>
              <w:t>Implicación</w:t>
            </w:r>
            <w:proofErr w:type="spellEnd"/>
          </w:p>
        </w:tc>
      </w:tr>
      <w:tr w:rsidR="00F400FD" w:rsidRPr="00F400FD" w14:paraId="11BB7A1F" w14:textId="77777777" w:rsidTr="00F40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9CC39E" w14:textId="77777777" w:rsidR="00F400FD" w:rsidRPr="00F400FD" w:rsidRDefault="00F400FD" w:rsidP="00F400FD">
            <w:pPr>
              <w:spacing w:after="200"/>
              <w:jc w:val="both"/>
              <w:rPr>
                <w:sz w:val="16"/>
                <w:szCs w:val="16"/>
              </w:rPr>
            </w:pPr>
            <w:proofErr w:type="gramStart"/>
            <w:r w:rsidRPr="00F400FD">
              <w:rPr>
                <w:b/>
                <w:bCs/>
                <w:sz w:val="16"/>
                <w:szCs w:val="16"/>
              </w:rPr>
              <w:t>Back-test</w:t>
            </w:r>
            <w:proofErr w:type="gramEnd"/>
            <w:r w:rsidRPr="00F400FD">
              <w:rPr>
                <w:b/>
                <w:bCs/>
                <w:sz w:val="16"/>
                <w:szCs w:val="16"/>
              </w:rPr>
              <w:t xml:space="preserve"> 2015-2019</w:t>
            </w:r>
            <w:r w:rsidRPr="00F400FD">
              <w:rPr>
                <w:sz w:val="16"/>
                <w:szCs w:val="16"/>
              </w:rPr>
              <w:t xml:space="preserve"> (</w:t>
            </w:r>
            <w:proofErr w:type="spellStart"/>
            <w:r w:rsidRPr="00F400FD">
              <w:rPr>
                <w:sz w:val="16"/>
                <w:szCs w:val="16"/>
              </w:rPr>
              <w:t>arancel</w:t>
            </w:r>
            <w:proofErr w:type="spellEnd"/>
            <w:r w:rsidRPr="00F400FD">
              <w:rPr>
                <w:sz w:val="16"/>
                <w:szCs w:val="16"/>
              </w:rPr>
              <w:t xml:space="preserve"> </w:t>
            </w:r>
            <w:proofErr w:type="spellStart"/>
            <w:r w:rsidRPr="00F400FD">
              <w:rPr>
                <w:sz w:val="16"/>
                <w:szCs w:val="16"/>
              </w:rPr>
              <w:t>hipotético</w:t>
            </w:r>
            <w:proofErr w:type="spellEnd"/>
            <w:r w:rsidRPr="00F400FD">
              <w:rPr>
                <w:sz w:val="16"/>
                <w:szCs w:val="16"/>
              </w:rPr>
              <w:t xml:space="preserve"> 6 %)</w:t>
            </w:r>
          </w:p>
        </w:tc>
        <w:tc>
          <w:tcPr>
            <w:tcW w:w="0" w:type="auto"/>
            <w:hideMark/>
          </w:tcPr>
          <w:p w14:paraId="07096D14" w14:textId="77777777" w:rsidR="00F400FD" w:rsidRPr="00F400FD" w:rsidRDefault="00F400FD" w:rsidP="00F400FD">
            <w:pPr>
              <w:spacing w:after="200"/>
              <w:jc w:val="both"/>
              <w:cnfStyle w:val="000000100000" w:firstRow="0" w:lastRow="0" w:firstColumn="0" w:lastColumn="0" w:oddVBand="0" w:evenVBand="0" w:oddHBand="1" w:evenHBand="0" w:firstRowFirstColumn="0" w:firstRowLastColumn="0" w:lastRowFirstColumn="0" w:lastRowLastColumn="0"/>
              <w:rPr>
                <w:sz w:val="16"/>
                <w:szCs w:val="16"/>
              </w:rPr>
            </w:pPr>
            <w:r w:rsidRPr="00F400FD">
              <w:rPr>
                <w:sz w:val="16"/>
                <w:szCs w:val="16"/>
              </w:rPr>
              <w:t>Error medio ≤ 0,4 p.p.</w:t>
            </w:r>
          </w:p>
        </w:tc>
        <w:tc>
          <w:tcPr>
            <w:tcW w:w="0" w:type="auto"/>
            <w:hideMark/>
          </w:tcPr>
          <w:p w14:paraId="0FAA423B" w14:textId="77777777" w:rsidR="00F400FD" w:rsidRPr="00F400FD" w:rsidRDefault="00F400FD" w:rsidP="00F400FD">
            <w:pPr>
              <w:spacing w:after="200"/>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F400FD">
              <w:rPr>
                <w:sz w:val="16"/>
                <w:szCs w:val="16"/>
              </w:rPr>
              <w:t>Estabilidad</w:t>
            </w:r>
            <w:proofErr w:type="spellEnd"/>
            <w:r w:rsidRPr="00F400FD">
              <w:rPr>
                <w:sz w:val="16"/>
                <w:szCs w:val="16"/>
              </w:rPr>
              <w:t xml:space="preserve"> </w:t>
            </w:r>
            <w:proofErr w:type="spellStart"/>
            <w:r w:rsidRPr="00F400FD">
              <w:rPr>
                <w:sz w:val="16"/>
                <w:szCs w:val="16"/>
              </w:rPr>
              <w:t>histórica</w:t>
            </w:r>
            <w:proofErr w:type="spellEnd"/>
          </w:p>
        </w:tc>
      </w:tr>
      <w:tr w:rsidR="00F400FD" w:rsidRPr="00F400FD" w14:paraId="3C0C6AC9" w14:textId="77777777" w:rsidTr="00F400FD">
        <w:tc>
          <w:tcPr>
            <w:cnfStyle w:val="001000000000" w:firstRow="0" w:lastRow="0" w:firstColumn="1" w:lastColumn="0" w:oddVBand="0" w:evenVBand="0" w:oddHBand="0" w:evenHBand="0" w:firstRowFirstColumn="0" w:firstRowLastColumn="0" w:lastRowFirstColumn="0" w:lastRowLastColumn="0"/>
            <w:tcW w:w="0" w:type="auto"/>
            <w:hideMark/>
          </w:tcPr>
          <w:p w14:paraId="6048C2F0" w14:textId="77777777" w:rsidR="00F400FD" w:rsidRPr="00F400FD" w:rsidRDefault="00F400FD" w:rsidP="00F400FD">
            <w:pPr>
              <w:spacing w:after="200"/>
              <w:jc w:val="both"/>
              <w:rPr>
                <w:sz w:val="16"/>
                <w:szCs w:val="16"/>
              </w:rPr>
            </w:pPr>
            <w:r w:rsidRPr="00F400FD">
              <w:rPr>
                <w:b/>
                <w:bCs/>
                <w:sz w:val="16"/>
                <w:szCs w:val="16"/>
              </w:rPr>
              <w:t xml:space="preserve">Stress </w:t>
            </w:r>
            <w:proofErr w:type="spellStart"/>
            <w:r w:rsidRPr="00F400FD">
              <w:rPr>
                <w:b/>
                <w:bCs/>
                <w:sz w:val="16"/>
                <w:szCs w:val="16"/>
              </w:rPr>
              <w:t>logístico</w:t>
            </w:r>
            <w:proofErr w:type="spellEnd"/>
            <w:r w:rsidRPr="00F400FD">
              <w:rPr>
                <w:sz w:val="16"/>
                <w:szCs w:val="16"/>
              </w:rPr>
              <w:t xml:space="preserve"> (+15 % </w:t>
            </w:r>
            <w:proofErr w:type="spellStart"/>
            <w:r w:rsidRPr="00F400FD">
              <w:rPr>
                <w:sz w:val="16"/>
                <w:szCs w:val="16"/>
              </w:rPr>
              <w:t>flete</w:t>
            </w:r>
            <w:proofErr w:type="spellEnd"/>
            <w:r w:rsidRPr="00F400FD">
              <w:rPr>
                <w:sz w:val="16"/>
                <w:szCs w:val="16"/>
              </w:rPr>
              <w:t xml:space="preserve"> </w:t>
            </w:r>
            <w:proofErr w:type="spellStart"/>
            <w:r w:rsidRPr="00F400FD">
              <w:rPr>
                <w:sz w:val="16"/>
                <w:szCs w:val="16"/>
              </w:rPr>
              <w:t>marítimo</w:t>
            </w:r>
            <w:proofErr w:type="spellEnd"/>
            <w:r w:rsidRPr="00F400FD">
              <w:rPr>
                <w:sz w:val="16"/>
                <w:szCs w:val="16"/>
              </w:rPr>
              <w:t>)</w:t>
            </w:r>
          </w:p>
        </w:tc>
        <w:tc>
          <w:tcPr>
            <w:tcW w:w="0" w:type="auto"/>
            <w:hideMark/>
          </w:tcPr>
          <w:p w14:paraId="626B5C8F" w14:textId="77777777" w:rsidR="00F400FD" w:rsidRPr="00F400FD" w:rsidRDefault="00F400FD" w:rsidP="00F400FD">
            <w:pPr>
              <w:spacing w:after="200"/>
              <w:jc w:val="both"/>
              <w:cnfStyle w:val="000000000000" w:firstRow="0" w:lastRow="0" w:firstColumn="0" w:lastColumn="0" w:oddVBand="0" w:evenVBand="0" w:oddHBand="0" w:evenHBand="0" w:firstRowFirstColumn="0" w:firstRowLastColumn="0" w:lastRowFirstColumn="0" w:lastRowLastColumn="0"/>
              <w:rPr>
                <w:sz w:val="16"/>
                <w:szCs w:val="16"/>
                <w:lang w:val="es-PE"/>
              </w:rPr>
            </w:pPr>
            <w:r w:rsidRPr="00F400FD">
              <w:rPr>
                <w:sz w:val="16"/>
                <w:szCs w:val="16"/>
              </w:rPr>
              <w:t>Δ</w:t>
            </w:r>
            <w:r w:rsidRPr="00F400FD">
              <w:rPr>
                <w:sz w:val="16"/>
                <w:szCs w:val="16"/>
                <w:lang w:val="es-PE"/>
              </w:rPr>
              <w:t>NER se mueve +1,1…+1,3 p.p.</w:t>
            </w:r>
          </w:p>
        </w:tc>
        <w:tc>
          <w:tcPr>
            <w:tcW w:w="0" w:type="auto"/>
            <w:hideMark/>
          </w:tcPr>
          <w:p w14:paraId="4BCABEF4" w14:textId="77777777" w:rsidR="00F400FD" w:rsidRPr="00F400FD" w:rsidRDefault="00F400FD" w:rsidP="00F400FD">
            <w:pPr>
              <w:spacing w:after="200"/>
              <w:jc w:val="both"/>
              <w:cnfStyle w:val="000000000000" w:firstRow="0" w:lastRow="0" w:firstColumn="0" w:lastColumn="0" w:oddVBand="0" w:evenVBand="0" w:oddHBand="0" w:evenHBand="0" w:firstRowFirstColumn="0" w:firstRowLastColumn="0" w:lastRowFirstColumn="0" w:lastRowLastColumn="0"/>
              <w:rPr>
                <w:sz w:val="16"/>
                <w:szCs w:val="16"/>
                <w:lang w:val="es-PE"/>
              </w:rPr>
            </w:pPr>
            <w:r w:rsidRPr="00F400FD">
              <w:rPr>
                <w:sz w:val="16"/>
                <w:szCs w:val="16"/>
                <w:lang w:val="es-PE"/>
              </w:rPr>
              <w:t>Modelo poco sensible a flete</w:t>
            </w:r>
          </w:p>
        </w:tc>
      </w:tr>
      <w:tr w:rsidR="00F400FD" w:rsidRPr="00F400FD" w14:paraId="04DDB013" w14:textId="77777777" w:rsidTr="00F40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97A2F" w14:textId="77777777" w:rsidR="00F400FD" w:rsidRPr="00F400FD" w:rsidRDefault="00F400FD" w:rsidP="00F400FD">
            <w:pPr>
              <w:spacing w:after="200"/>
              <w:jc w:val="both"/>
              <w:rPr>
                <w:sz w:val="16"/>
                <w:szCs w:val="16"/>
                <w:lang w:val="es-PE"/>
              </w:rPr>
            </w:pPr>
            <w:r w:rsidRPr="00F400FD">
              <w:rPr>
                <w:b/>
                <w:bCs/>
                <w:sz w:val="16"/>
                <w:szCs w:val="16"/>
                <w:lang w:val="es-PE"/>
              </w:rPr>
              <w:t>Cola pesada (P ~ t-</w:t>
            </w:r>
            <w:proofErr w:type="spellStart"/>
            <w:r w:rsidRPr="00F400FD">
              <w:rPr>
                <w:b/>
                <w:bCs/>
                <w:sz w:val="16"/>
                <w:szCs w:val="16"/>
                <w:lang w:val="es-PE"/>
              </w:rPr>
              <w:t>Student</w:t>
            </w:r>
            <w:proofErr w:type="spellEnd"/>
            <w:r w:rsidRPr="00F400FD">
              <w:rPr>
                <w:b/>
                <w:bCs/>
                <w:sz w:val="16"/>
                <w:szCs w:val="16"/>
                <w:lang w:val="es-PE"/>
              </w:rPr>
              <w:t xml:space="preserve"> </w:t>
            </w:r>
            <w:r w:rsidRPr="00F400FD">
              <w:rPr>
                <w:b/>
                <w:bCs/>
                <w:sz w:val="16"/>
                <w:szCs w:val="16"/>
              </w:rPr>
              <w:t>ν</w:t>
            </w:r>
            <w:r w:rsidRPr="00F400FD">
              <w:rPr>
                <w:b/>
                <w:bCs/>
                <w:sz w:val="16"/>
                <w:szCs w:val="16"/>
                <w:lang w:val="es-PE"/>
              </w:rPr>
              <w:t xml:space="preserve"> = 4)</w:t>
            </w:r>
          </w:p>
        </w:tc>
        <w:tc>
          <w:tcPr>
            <w:tcW w:w="0" w:type="auto"/>
            <w:hideMark/>
          </w:tcPr>
          <w:p w14:paraId="40813CC2" w14:textId="77777777" w:rsidR="00F400FD" w:rsidRPr="00F400FD" w:rsidRDefault="00F400FD" w:rsidP="00F400FD">
            <w:pPr>
              <w:spacing w:after="200"/>
              <w:jc w:val="both"/>
              <w:cnfStyle w:val="000000100000" w:firstRow="0" w:lastRow="0" w:firstColumn="0" w:lastColumn="0" w:oddVBand="0" w:evenVBand="0" w:oddHBand="1" w:evenHBand="0" w:firstRowFirstColumn="0" w:firstRowLastColumn="0" w:lastRowFirstColumn="0" w:lastRowLastColumn="0"/>
              <w:rPr>
                <w:sz w:val="16"/>
                <w:szCs w:val="16"/>
              </w:rPr>
            </w:pPr>
            <w:proofErr w:type="spellStart"/>
            <w:r w:rsidRPr="00F400FD">
              <w:rPr>
                <w:sz w:val="16"/>
                <w:szCs w:val="16"/>
              </w:rPr>
              <w:t>Curtosis</w:t>
            </w:r>
            <w:proofErr w:type="spellEnd"/>
            <w:r w:rsidRPr="00F400FD">
              <w:rPr>
                <w:sz w:val="16"/>
                <w:szCs w:val="16"/>
              </w:rPr>
              <w:t xml:space="preserve"> +0,6; media se </w:t>
            </w:r>
            <w:proofErr w:type="spellStart"/>
            <w:r w:rsidRPr="00F400FD">
              <w:rPr>
                <w:sz w:val="16"/>
                <w:szCs w:val="16"/>
              </w:rPr>
              <w:t>mantiene</w:t>
            </w:r>
            <w:proofErr w:type="spellEnd"/>
          </w:p>
        </w:tc>
        <w:tc>
          <w:tcPr>
            <w:tcW w:w="0" w:type="auto"/>
            <w:hideMark/>
          </w:tcPr>
          <w:p w14:paraId="3904B698" w14:textId="77777777" w:rsidR="00F400FD" w:rsidRPr="00F400FD" w:rsidRDefault="00F400FD" w:rsidP="00F400FD">
            <w:pPr>
              <w:spacing w:after="200"/>
              <w:jc w:val="both"/>
              <w:cnfStyle w:val="000000100000" w:firstRow="0" w:lastRow="0" w:firstColumn="0" w:lastColumn="0" w:oddVBand="0" w:evenVBand="0" w:oddHBand="1" w:evenHBand="0" w:firstRowFirstColumn="0" w:firstRowLastColumn="0" w:lastRowFirstColumn="0" w:lastRowLastColumn="0"/>
              <w:rPr>
                <w:sz w:val="16"/>
                <w:szCs w:val="16"/>
              </w:rPr>
            </w:pPr>
            <w:r w:rsidRPr="00F400FD">
              <w:rPr>
                <w:sz w:val="16"/>
                <w:szCs w:val="16"/>
              </w:rPr>
              <w:t xml:space="preserve">Robustez a shocks </w:t>
            </w:r>
            <w:proofErr w:type="spellStart"/>
            <w:r w:rsidRPr="00F400FD">
              <w:rPr>
                <w:sz w:val="16"/>
                <w:szCs w:val="16"/>
              </w:rPr>
              <w:t>extremos</w:t>
            </w:r>
            <w:proofErr w:type="spellEnd"/>
          </w:p>
        </w:tc>
      </w:tr>
      <w:tr w:rsidR="00F400FD" w:rsidRPr="00F400FD" w14:paraId="74F41124" w14:textId="77777777" w:rsidTr="00F400FD">
        <w:tc>
          <w:tcPr>
            <w:cnfStyle w:val="001000000000" w:firstRow="0" w:lastRow="0" w:firstColumn="1" w:lastColumn="0" w:oddVBand="0" w:evenVBand="0" w:oddHBand="0" w:evenHBand="0" w:firstRowFirstColumn="0" w:firstRowLastColumn="0" w:lastRowFirstColumn="0" w:lastRowLastColumn="0"/>
            <w:tcW w:w="0" w:type="auto"/>
            <w:hideMark/>
          </w:tcPr>
          <w:p w14:paraId="47B88DFC" w14:textId="77777777" w:rsidR="00F400FD" w:rsidRPr="00F400FD" w:rsidRDefault="00F400FD" w:rsidP="00F400FD">
            <w:pPr>
              <w:spacing w:after="200"/>
              <w:jc w:val="both"/>
              <w:rPr>
                <w:sz w:val="16"/>
                <w:szCs w:val="16"/>
              </w:rPr>
            </w:pPr>
            <w:proofErr w:type="spellStart"/>
            <w:r w:rsidRPr="00F400FD">
              <w:rPr>
                <w:b/>
                <w:bCs/>
                <w:sz w:val="16"/>
                <w:szCs w:val="16"/>
              </w:rPr>
              <w:t>Winsorización</w:t>
            </w:r>
            <w:proofErr w:type="spellEnd"/>
            <w:r w:rsidRPr="00F400FD">
              <w:rPr>
                <w:b/>
                <w:bCs/>
                <w:sz w:val="16"/>
                <w:szCs w:val="16"/>
              </w:rPr>
              <w:t xml:space="preserve"> al P97</w:t>
            </w:r>
          </w:p>
        </w:tc>
        <w:tc>
          <w:tcPr>
            <w:tcW w:w="0" w:type="auto"/>
            <w:hideMark/>
          </w:tcPr>
          <w:p w14:paraId="0E2BE886" w14:textId="77777777" w:rsidR="00F400FD" w:rsidRPr="00F400FD" w:rsidRDefault="00F400FD" w:rsidP="00F400FD">
            <w:pPr>
              <w:spacing w:after="200"/>
              <w:jc w:val="both"/>
              <w:cnfStyle w:val="000000000000" w:firstRow="0" w:lastRow="0" w:firstColumn="0" w:lastColumn="0" w:oddVBand="0" w:evenVBand="0" w:oddHBand="0" w:evenHBand="0" w:firstRowFirstColumn="0" w:firstRowLastColumn="0" w:lastRowFirstColumn="0" w:lastRowLastColumn="0"/>
              <w:rPr>
                <w:sz w:val="16"/>
                <w:szCs w:val="16"/>
              </w:rPr>
            </w:pPr>
            <w:proofErr w:type="spellStart"/>
            <w:r w:rsidRPr="00F400FD">
              <w:rPr>
                <w:sz w:val="16"/>
                <w:szCs w:val="16"/>
              </w:rPr>
              <w:t>Curtosis</w:t>
            </w:r>
            <w:proofErr w:type="spellEnd"/>
            <w:r w:rsidRPr="00F400FD">
              <w:rPr>
                <w:sz w:val="16"/>
                <w:szCs w:val="16"/>
              </w:rPr>
              <w:t xml:space="preserve"> entre 2,5-3,8</w:t>
            </w:r>
          </w:p>
        </w:tc>
        <w:tc>
          <w:tcPr>
            <w:tcW w:w="0" w:type="auto"/>
            <w:hideMark/>
          </w:tcPr>
          <w:p w14:paraId="45840657" w14:textId="77777777" w:rsidR="00F400FD" w:rsidRPr="00F400FD" w:rsidRDefault="00F400FD" w:rsidP="00F400FD">
            <w:pPr>
              <w:spacing w:after="200"/>
              <w:jc w:val="both"/>
              <w:cnfStyle w:val="000000000000" w:firstRow="0" w:lastRow="0" w:firstColumn="0" w:lastColumn="0" w:oddVBand="0" w:evenVBand="0" w:oddHBand="0" w:evenHBand="0" w:firstRowFirstColumn="0" w:firstRowLastColumn="0" w:lastRowFirstColumn="0" w:lastRowLastColumn="0"/>
              <w:rPr>
                <w:sz w:val="16"/>
                <w:szCs w:val="16"/>
              </w:rPr>
            </w:pPr>
            <w:r w:rsidRPr="00F400FD">
              <w:rPr>
                <w:sz w:val="16"/>
                <w:szCs w:val="16"/>
              </w:rPr>
              <w:t xml:space="preserve">No se </w:t>
            </w:r>
            <w:proofErr w:type="spellStart"/>
            <w:r w:rsidRPr="00F400FD">
              <w:rPr>
                <w:sz w:val="16"/>
                <w:szCs w:val="16"/>
              </w:rPr>
              <w:t>distorsiona</w:t>
            </w:r>
            <w:proofErr w:type="spellEnd"/>
            <w:r w:rsidRPr="00F400FD">
              <w:rPr>
                <w:sz w:val="16"/>
                <w:szCs w:val="16"/>
              </w:rPr>
              <w:t xml:space="preserve"> </w:t>
            </w:r>
            <w:proofErr w:type="spellStart"/>
            <w:r w:rsidRPr="00F400FD">
              <w:rPr>
                <w:sz w:val="16"/>
                <w:szCs w:val="16"/>
              </w:rPr>
              <w:t>varianza</w:t>
            </w:r>
            <w:proofErr w:type="spellEnd"/>
          </w:p>
        </w:tc>
      </w:tr>
    </w:tbl>
    <w:p w14:paraId="11A54651" w14:textId="77777777" w:rsidR="002E350E" w:rsidRDefault="00000000" w:rsidP="009B4C89">
      <w:pPr>
        <w:pStyle w:val="Heading1"/>
        <w:spacing w:line="240" w:lineRule="auto"/>
        <w:ind w:left="-360"/>
        <w:rPr>
          <w:rFonts w:ascii="Arial" w:hAnsi="Arial" w:cs="Arial"/>
          <w:sz w:val="22"/>
          <w:szCs w:val="22"/>
          <w:lang w:val="es-PE"/>
        </w:rPr>
      </w:pPr>
      <w:r w:rsidRPr="009B4C89">
        <w:rPr>
          <w:rFonts w:ascii="Arial" w:hAnsi="Arial" w:cs="Arial"/>
          <w:sz w:val="22"/>
          <w:szCs w:val="22"/>
          <w:lang w:val="es-PE"/>
        </w:rPr>
        <w:t>4. Presentación y discusión de resultados</w:t>
      </w:r>
    </w:p>
    <w:p w14:paraId="02DD244F" w14:textId="77777777" w:rsidR="00672446" w:rsidRPr="00672446" w:rsidRDefault="00672446" w:rsidP="00672446">
      <w:pPr>
        <w:rPr>
          <w:lang w:val="es-PE"/>
        </w:rPr>
      </w:pPr>
    </w:p>
    <w:p w14:paraId="55E16C9F" w14:textId="77777777" w:rsidR="00672446" w:rsidRPr="00672446" w:rsidRDefault="00672446" w:rsidP="00672446">
      <w:pPr>
        <w:spacing w:line="240" w:lineRule="auto"/>
        <w:ind w:left="-360"/>
        <w:jc w:val="both"/>
        <w:rPr>
          <w:rFonts w:cs="Arial"/>
          <w:lang w:val="es-PE"/>
        </w:rPr>
      </w:pPr>
      <w:r w:rsidRPr="00672446">
        <w:rPr>
          <w:rFonts w:cs="Arial"/>
          <w:lang w:val="es-PE"/>
        </w:rPr>
        <w:t xml:space="preserve">A </w:t>
      </w:r>
      <w:proofErr w:type="gramStart"/>
      <w:r w:rsidRPr="00672446">
        <w:rPr>
          <w:rFonts w:cs="Arial"/>
          <w:lang w:val="es-PE"/>
        </w:rPr>
        <w:t>continuación</w:t>
      </w:r>
      <w:proofErr w:type="gramEnd"/>
      <w:r w:rsidRPr="00672446">
        <w:rPr>
          <w:rFonts w:cs="Arial"/>
          <w:lang w:val="es-PE"/>
        </w:rPr>
        <w:t xml:space="preserve"> se exponen, punto por punto, los hallazgos de la simulación Monte Carlo, los escenarios de sensibilidad y la descomposición econométrica. El objetivo es proporcionar a cualquier audiencia—tanto técnica como no técnica—una visión completa de cómo el arancel propuesto altera la rentabilidad, la fiscalidad y las decisiones de inversión de la minería cuprífera peruana.</w:t>
      </w:r>
    </w:p>
    <w:p w14:paraId="01A1C3DA" w14:textId="77777777" w:rsidR="002F3866" w:rsidRPr="002F3866" w:rsidRDefault="002F3866" w:rsidP="002F3866">
      <w:pPr>
        <w:spacing w:line="240" w:lineRule="auto"/>
        <w:ind w:left="-360"/>
        <w:jc w:val="both"/>
        <w:rPr>
          <w:rFonts w:cs="Arial"/>
          <w:b/>
          <w:bCs/>
          <w:lang w:val="es-PE"/>
        </w:rPr>
      </w:pPr>
      <w:r w:rsidRPr="002F3866">
        <w:rPr>
          <w:rFonts w:cs="Arial"/>
          <w:b/>
          <w:bCs/>
          <w:lang w:val="es-PE"/>
        </w:rPr>
        <w:t>4.1 Impacto directo del arancel sobre la rentabilidad</w:t>
      </w:r>
    </w:p>
    <w:p w14:paraId="35E32AE2" w14:textId="77777777" w:rsidR="002F3866" w:rsidRPr="002F3866" w:rsidRDefault="002F3866" w:rsidP="002F3866">
      <w:pPr>
        <w:spacing w:line="240" w:lineRule="auto"/>
        <w:ind w:left="-360"/>
        <w:jc w:val="both"/>
        <w:rPr>
          <w:rFonts w:cs="Arial"/>
          <w:lang w:val="es-PE"/>
        </w:rPr>
      </w:pPr>
      <w:r w:rsidRPr="002F3866">
        <w:rPr>
          <w:rFonts w:cs="Arial"/>
          <w:lang w:val="es-PE"/>
        </w:rPr>
        <w:t>El escenario base, que aplica un arancel ad-</w:t>
      </w:r>
      <w:proofErr w:type="spellStart"/>
      <w:r w:rsidRPr="002F3866">
        <w:rPr>
          <w:rFonts w:cs="Arial"/>
          <w:lang w:val="es-PE"/>
        </w:rPr>
        <w:t>valorem</w:t>
      </w:r>
      <w:proofErr w:type="spellEnd"/>
      <w:r w:rsidRPr="002F3866">
        <w:rPr>
          <w:rFonts w:cs="Arial"/>
          <w:lang w:val="es-PE"/>
        </w:rPr>
        <w:t xml:space="preserve"> de 10 % sobre la facturación de cobre, genera una </w:t>
      </w:r>
      <w:r w:rsidRPr="002F3866">
        <w:rPr>
          <w:rFonts w:cs="Arial"/>
          <w:b/>
          <w:bCs/>
          <w:lang w:val="es-PE"/>
        </w:rPr>
        <w:t>pérdida media de 9,7 %</w:t>
      </w:r>
      <w:r w:rsidRPr="002F3866">
        <w:rPr>
          <w:rFonts w:cs="Arial"/>
          <w:lang w:val="es-PE"/>
        </w:rPr>
        <w:t xml:space="preserve"> en el ingreso neto de exportación (NER).</w:t>
      </w:r>
    </w:p>
    <w:p w14:paraId="66F0EBC7" w14:textId="77777777" w:rsidR="002F3866" w:rsidRPr="002F3866" w:rsidRDefault="002F3866" w:rsidP="002F3866">
      <w:pPr>
        <w:numPr>
          <w:ilvl w:val="0"/>
          <w:numId w:val="22"/>
        </w:numPr>
        <w:spacing w:line="240" w:lineRule="auto"/>
        <w:jc w:val="both"/>
        <w:rPr>
          <w:rFonts w:cs="Arial"/>
          <w:lang w:val="es-PE"/>
        </w:rPr>
      </w:pPr>
      <w:r w:rsidRPr="002F3866">
        <w:rPr>
          <w:rFonts w:cs="Arial"/>
          <w:b/>
          <w:bCs/>
          <w:lang w:val="es-PE"/>
        </w:rPr>
        <w:t>Primer párrafo técnico.</w:t>
      </w:r>
      <w:r w:rsidRPr="002F3866">
        <w:rPr>
          <w:rFonts w:cs="Arial"/>
          <w:lang w:val="es-PE"/>
        </w:rPr>
        <w:t xml:space="preserve"> En valor absoluto, la merma significa que, de cada 100 USD que una mina peruana obtenía antes del arancel, ahora retiene solo 90,3 USD. A nivel agregado, sobre una base exportadora de 23,5 G USD (2024), se pierden </w:t>
      </w:r>
      <w:r w:rsidRPr="002F3866">
        <w:rPr>
          <w:rFonts w:cs="Arial"/>
          <w:b/>
          <w:bCs/>
          <w:lang w:val="es-PE"/>
        </w:rPr>
        <w:t>2,28 G USD</w:t>
      </w:r>
      <w:r w:rsidRPr="002F3866">
        <w:rPr>
          <w:rFonts w:cs="Arial"/>
          <w:lang w:val="es-PE"/>
        </w:rPr>
        <w:t xml:space="preserve"> de margen.</w:t>
      </w:r>
    </w:p>
    <w:p w14:paraId="43922821" w14:textId="77777777" w:rsidR="002F3866" w:rsidRPr="002F3866" w:rsidRDefault="002F3866" w:rsidP="002F3866">
      <w:pPr>
        <w:numPr>
          <w:ilvl w:val="0"/>
          <w:numId w:val="22"/>
        </w:numPr>
        <w:spacing w:line="240" w:lineRule="auto"/>
        <w:jc w:val="both"/>
        <w:rPr>
          <w:rFonts w:cs="Arial"/>
          <w:lang w:val="es-PE"/>
        </w:rPr>
      </w:pPr>
      <w:r w:rsidRPr="002F3866">
        <w:rPr>
          <w:rFonts w:cs="Arial"/>
          <w:b/>
          <w:bCs/>
          <w:lang w:val="es-PE"/>
        </w:rPr>
        <w:t>Segundo párrafo comparativo.</w:t>
      </w:r>
      <w:r w:rsidRPr="002F3866">
        <w:rPr>
          <w:rFonts w:cs="Arial"/>
          <w:lang w:val="es-PE"/>
        </w:rPr>
        <w:t xml:space="preserve"> La heterogeneidad es clave: las minas </w:t>
      </w:r>
      <w:r w:rsidRPr="002F3866">
        <w:rPr>
          <w:rFonts w:cs="Arial"/>
          <w:b/>
          <w:bCs/>
          <w:lang w:val="es-PE"/>
        </w:rPr>
        <w:t>pequeñas</w:t>
      </w:r>
      <w:r w:rsidRPr="002F3866">
        <w:rPr>
          <w:rFonts w:cs="Arial"/>
          <w:lang w:val="es-PE"/>
        </w:rPr>
        <w:t xml:space="preserve"> (20–50 </w:t>
      </w:r>
      <w:proofErr w:type="spellStart"/>
      <w:r w:rsidRPr="002F3866">
        <w:rPr>
          <w:rFonts w:cs="Arial"/>
          <w:lang w:val="es-PE"/>
        </w:rPr>
        <w:t>kt</w:t>
      </w:r>
      <w:proofErr w:type="spellEnd"/>
      <w:r w:rsidRPr="002F3866">
        <w:rPr>
          <w:rFonts w:cs="Arial"/>
          <w:lang w:val="es-PE"/>
        </w:rPr>
        <w:t xml:space="preserve"> Cu/a) soportan una caída de </w:t>
      </w:r>
      <w:r w:rsidRPr="002F3866">
        <w:rPr>
          <w:rFonts w:cs="Arial"/>
          <w:b/>
          <w:bCs/>
          <w:lang w:val="es-PE"/>
        </w:rPr>
        <w:t>12,4 %</w:t>
      </w:r>
      <w:r w:rsidRPr="002F3866">
        <w:rPr>
          <w:rFonts w:cs="Arial"/>
          <w:lang w:val="es-PE"/>
        </w:rPr>
        <w:t xml:space="preserve">, mientras que las </w:t>
      </w:r>
      <w:r w:rsidRPr="002F3866">
        <w:rPr>
          <w:rFonts w:cs="Arial"/>
          <w:b/>
          <w:bCs/>
          <w:lang w:val="es-PE"/>
        </w:rPr>
        <w:t>grandes</w:t>
      </w:r>
      <w:r w:rsidRPr="002F3866">
        <w:rPr>
          <w:rFonts w:cs="Arial"/>
          <w:lang w:val="es-PE"/>
        </w:rPr>
        <w:t xml:space="preserve"> (80–200 </w:t>
      </w:r>
      <w:proofErr w:type="spellStart"/>
      <w:r w:rsidRPr="002F3866">
        <w:rPr>
          <w:rFonts w:cs="Arial"/>
          <w:lang w:val="es-PE"/>
        </w:rPr>
        <w:t>kt</w:t>
      </w:r>
      <w:proofErr w:type="spellEnd"/>
      <w:r w:rsidRPr="002F3866">
        <w:rPr>
          <w:rFonts w:cs="Arial"/>
          <w:lang w:val="es-PE"/>
        </w:rPr>
        <w:t xml:space="preserve"> Cu/a) pierden </w:t>
      </w:r>
      <w:r w:rsidRPr="002F3866">
        <w:rPr>
          <w:rFonts w:cs="Arial"/>
          <w:b/>
          <w:bCs/>
          <w:lang w:val="es-PE"/>
        </w:rPr>
        <w:t>8,7 %</w:t>
      </w:r>
      <w:r w:rsidRPr="002F3866">
        <w:rPr>
          <w:rFonts w:cs="Arial"/>
          <w:lang w:val="es-PE"/>
        </w:rPr>
        <w:t>. Esta brecha obedece a (i) la mayor proporción de costos fijos amortizados sobre menos toneladas y (</w:t>
      </w:r>
      <w:proofErr w:type="spellStart"/>
      <w:r w:rsidRPr="002F3866">
        <w:rPr>
          <w:rFonts w:cs="Arial"/>
          <w:lang w:val="es-PE"/>
        </w:rPr>
        <w:t>ii</w:t>
      </w:r>
      <w:proofErr w:type="spellEnd"/>
      <w:r w:rsidRPr="002F3866">
        <w:rPr>
          <w:rFonts w:cs="Arial"/>
          <w:lang w:val="es-PE"/>
        </w:rPr>
        <w:t>) menor poder para negociar fletes, primas y contratos “</w:t>
      </w:r>
      <w:proofErr w:type="spellStart"/>
      <w:r w:rsidRPr="002F3866">
        <w:rPr>
          <w:rFonts w:cs="Arial"/>
          <w:lang w:val="es-PE"/>
        </w:rPr>
        <w:t>take-or-pay</w:t>
      </w:r>
      <w:proofErr w:type="spellEnd"/>
      <w:r w:rsidRPr="002F3866">
        <w:rPr>
          <w:rFonts w:cs="Arial"/>
          <w:lang w:val="es-PE"/>
        </w:rPr>
        <w:t>”.</w:t>
      </w:r>
    </w:p>
    <w:p w14:paraId="7D2A2F81" w14:textId="77777777" w:rsidR="002F3866" w:rsidRPr="002F3866" w:rsidRDefault="002F3866" w:rsidP="002F3866">
      <w:pPr>
        <w:spacing w:line="240" w:lineRule="auto"/>
        <w:ind w:left="-360"/>
        <w:jc w:val="both"/>
        <w:rPr>
          <w:rFonts w:cs="Arial"/>
          <w:b/>
          <w:bCs/>
          <w:lang w:val="es-PE"/>
        </w:rPr>
      </w:pPr>
      <w:r w:rsidRPr="002F3866">
        <w:rPr>
          <w:rFonts w:cs="Arial"/>
          <w:b/>
          <w:bCs/>
          <w:lang w:val="es-PE"/>
        </w:rPr>
        <w:t>4.2 Sensibilidad al tipo de cambio PEN/USD</w:t>
      </w:r>
    </w:p>
    <w:p w14:paraId="566D6DD6" w14:textId="77777777" w:rsidR="002F3866" w:rsidRPr="002F3866" w:rsidRDefault="002F3866" w:rsidP="002F3866">
      <w:pPr>
        <w:spacing w:line="240" w:lineRule="auto"/>
        <w:ind w:left="-360"/>
        <w:jc w:val="both"/>
        <w:rPr>
          <w:rFonts w:cs="Arial"/>
          <w:lang w:val="es-PE"/>
        </w:rPr>
      </w:pPr>
      <w:r w:rsidRPr="002F3866">
        <w:rPr>
          <w:rFonts w:cs="Arial"/>
          <w:lang w:val="es-PE"/>
        </w:rPr>
        <w:t xml:space="preserve">La apreciación del sol en </w:t>
      </w:r>
      <w:r w:rsidRPr="002F3866">
        <w:rPr>
          <w:rFonts w:cs="Arial"/>
          <w:b/>
          <w:bCs/>
          <w:lang w:val="es-PE"/>
        </w:rPr>
        <w:t>5 %</w:t>
      </w:r>
      <w:r w:rsidRPr="002F3866">
        <w:rPr>
          <w:rFonts w:cs="Arial"/>
          <w:lang w:val="es-PE"/>
        </w:rPr>
        <w:t xml:space="preserve"> agrava la pérdida promedio a </w:t>
      </w:r>
      <w:r w:rsidRPr="002F3866">
        <w:rPr>
          <w:rFonts w:cs="Arial"/>
          <w:b/>
          <w:bCs/>
          <w:lang w:val="es-PE"/>
        </w:rPr>
        <w:t>14,0 %</w:t>
      </w:r>
      <w:r w:rsidRPr="002F3866">
        <w:rPr>
          <w:rFonts w:cs="Arial"/>
          <w:lang w:val="es-PE"/>
        </w:rPr>
        <w:t>.</w:t>
      </w:r>
    </w:p>
    <w:p w14:paraId="3F1B92F8" w14:textId="77777777" w:rsidR="002F3866" w:rsidRPr="002F3866" w:rsidRDefault="002F3866" w:rsidP="002F3866">
      <w:pPr>
        <w:numPr>
          <w:ilvl w:val="0"/>
          <w:numId w:val="23"/>
        </w:numPr>
        <w:spacing w:line="240" w:lineRule="auto"/>
        <w:jc w:val="both"/>
        <w:rPr>
          <w:rFonts w:cs="Arial"/>
          <w:lang w:val="es-PE"/>
        </w:rPr>
      </w:pPr>
      <w:r w:rsidRPr="002F3866">
        <w:rPr>
          <w:rFonts w:cs="Arial"/>
          <w:b/>
          <w:bCs/>
          <w:lang w:val="es-PE"/>
        </w:rPr>
        <w:t>Dinámica cambiaria.</w:t>
      </w:r>
      <w:r w:rsidRPr="002F3866">
        <w:rPr>
          <w:rFonts w:cs="Arial"/>
          <w:lang w:val="es-PE"/>
        </w:rPr>
        <w:t xml:space="preserve"> Cuando el PEN se fortalece, los gastos denominados en moneda local (salarios, energía, servicios) aumentan en términos de USD, mientras los ingresos, fijados al LME, permanecen constantes. La correlación histórica negativa (</w:t>
      </w:r>
      <w:r w:rsidRPr="002F3866">
        <w:rPr>
          <w:rFonts w:cs="Arial"/>
        </w:rPr>
        <w:t>ρ</w:t>
      </w:r>
      <w:r w:rsidRPr="002F3866">
        <w:rPr>
          <w:rFonts w:cs="Arial"/>
          <w:lang w:val="es-PE"/>
        </w:rPr>
        <w:t xml:space="preserve"> = −0,23) entre precio de cobre y PEN amplifica el daño, pues un sol fuerte suele coincidir con ciclos bajistas de </w:t>
      </w:r>
      <w:proofErr w:type="spellStart"/>
      <w:r w:rsidRPr="002F3866">
        <w:rPr>
          <w:rFonts w:cs="Arial"/>
          <w:lang w:val="es-PE"/>
        </w:rPr>
        <w:t>commodities</w:t>
      </w:r>
      <w:proofErr w:type="spellEnd"/>
      <w:r w:rsidRPr="002F3866">
        <w:rPr>
          <w:rFonts w:cs="Arial"/>
          <w:lang w:val="es-PE"/>
        </w:rPr>
        <w:t>.</w:t>
      </w:r>
    </w:p>
    <w:p w14:paraId="1FE200F9" w14:textId="77777777" w:rsidR="002F3866" w:rsidRPr="002F3866" w:rsidRDefault="002F3866" w:rsidP="002F3866">
      <w:pPr>
        <w:numPr>
          <w:ilvl w:val="0"/>
          <w:numId w:val="23"/>
        </w:numPr>
        <w:spacing w:line="240" w:lineRule="auto"/>
        <w:jc w:val="both"/>
        <w:rPr>
          <w:rFonts w:cs="Arial"/>
          <w:lang w:val="es-PE"/>
        </w:rPr>
      </w:pPr>
      <w:r w:rsidRPr="002F3866">
        <w:rPr>
          <w:rFonts w:cs="Arial"/>
          <w:b/>
          <w:bCs/>
          <w:lang w:val="es-PE"/>
        </w:rPr>
        <w:t>Distribución de riesgo.</w:t>
      </w:r>
      <w:r w:rsidRPr="002F3866">
        <w:rPr>
          <w:rFonts w:cs="Arial"/>
          <w:lang w:val="es-PE"/>
        </w:rPr>
        <w:t xml:space="preserve"> La dispersión se ensancha: el percentil 90 (peor décimo) cae a −18,9 %, lo que pone a varias minas del cuarto cuartil de costos cerca del “</w:t>
      </w:r>
      <w:proofErr w:type="spellStart"/>
      <w:r w:rsidRPr="002F3866">
        <w:rPr>
          <w:rFonts w:cs="Arial"/>
          <w:lang w:val="es-PE"/>
        </w:rPr>
        <w:t>breakeven</w:t>
      </w:r>
      <w:proofErr w:type="spellEnd"/>
      <w:r w:rsidRPr="002F3866">
        <w:rPr>
          <w:rFonts w:cs="Arial"/>
          <w:lang w:val="es-PE"/>
        </w:rPr>
        <w:t>” operativo. Esta cola de riesgo explica por qué los CFO entrevistados consideran suspensión temporal como opción real ante un doble choque arancel-cambiario.</w:t>
      </w:r>
    </w:p>
    <w:p w14:paraId="07B1A981" w14:textId="77777777" w:rsidR="002F3866" w:rsidRPr="002F3866" w:rsidRDefault="002F3866" w:rsidP="002F3866">
      <w:pPr>
        <w:spacing w:line="240" w:lineRule="auto"/>
        <w:ind w:left="-360"/>
        <w:jc w:val="both"/>
        <w:rPr>
          <w:rFonts w:cs="Arial"/>
          <w:b/>
          <w:bCs/>
          <w:lang w:val="es-PE"/>
        </w:rPr>
      </w:pPr>
      <w:r w:rsidRPr="002F3866">
        <w:rPr>
          <w:rFonts w:cs="Arial"/>
          <w:b/>
          <w:bCs/>
          <w:lang w:val="es-PE"/>
        </w:rPr>
        <w:t>4.3 Eficiencia operativa como palanca de mitigación</w:t>
      </w:r>
    </w:p>
    <w:p w14:paraId="45C08192" w14:textId="77777777" w:rsidR="002F3866" w:rsidRPr="002F3866" w:rsidRDefault="002F3866" w:rsidP="002F3866">
      <w:pPr>
        <w:spacing w:line="240" w:lineRule="auto"/>
        <w:ind w:left="-360"/>
        <w:jc w:val="both"/>
        <w:rPr>
          <w:rFonts w:cs="Arial"/>
          <w:lang w:val="es-PE"/>
        </w:rPr>
      </w:pPr>
      <w:r w:rsidRPr="002F3866">
        <w:rPr>
          <w:rFonts w:cs="Arial"/>
          <w:lang w:val="es-PE"/>
        </w:rPr>
        <w:t xml:space="preserve">Reducir el </w:t>
      </w:r>
      <w:r w:rsidRPr="002F3866">
        <w:rPr>
          <w:rFonts w:cs="Arial"/>
          <w:b/>
          <w:bCs/>
          <w:lang w:val="es-PE"/>
        </w:rPr>
        <w:t>OPEX en 4 %</w:t>
      </w:r>
      <w:r w:rsidRPr="002F3866">
        <w:rPr>
          <w:rFonts w:cs="Arial"/>
          <w:lang w:val="es-PE"/>
        </w:rPr>
        <w:t xml:space="preserve"> mediante programas de mantenimiento predictivo, renegociación energética o mejoras de dilución, recorta la pérdida a </w:t>
      </w:r>
      <w:r w:rsidRPr="002F3866">
        <w:rPr>
          <w:rFonts w:cs="Arial"/>
          <w:b/>
          <w:bCs/>
          <w:lang w:val="es-PE"/>
        </w:rPr>
        <w:t>5,6 %</w:t>
      </w:r>
      <w:r w:rsidRPr="002F3866">
        <w:rPr>
          <w:rFonts w:cs="Arial"/>
          <w:lang w:val="es-PE"/>
        </w:rPr>
        <w:t>.</w:t>
      </w:r>
    </w:p>
    <w:p w14:paraId="0537915D" w14:textId="77777777" w:rsidR="002F3866" w:rsidRPr="002F3866" w:rsidRDefault="002F3866" w:rsidP="002F3866">
      <w:pPr>
        <w:numPr>
          <w:ilvl w:val="0"/>
          <w:numId w:val="24"/>
        </w:numPr>
        <w:spacing w:line="240" w:lineRule="auto"/>
        <w:jc w:val="both"/>
        <w:rPr>
          <w:rFonts w:cs="Arial"/>
          <w:lang w:val="es-PE"/>
        </w:rPr>
      </w:pPr>
      <w:r w:rsidRPr="002F3866">
        <w:rPr>
          <w:rFonts w:cs="Arial"/>
          <w:b/>
          <w:bCs/>
          <w:lang w:val="es-PE"/>
        </w:rPr>
        <w:t>Mecánica financiera.</w:t>
      </w:r>
      <w:r w:rsidRPr="002F3866">
        <w:rPr>
          <w:rFonts w:cs="Arial"/>
          <w:lang w:val="es-PE"/>
        </w:rPr>
        <w:t xml:space="preserve"> Al bajar costos se incrementa inmediatamente el flujo de caja operativo, compensando 42 % del golpe arancelario. Para una mina promedio de 100 </w:t>
      </w:r>
      <w:proofErr w:type="spellStart"/>
      <w:r w:rsidRPr="002F3866">
        <w:rPr>
          <w:rFonts w:cs="Arial"/>
          <w:lang w:val="es-PE"/>
        </w:rPr>
        <w:t>kt</w:t>
      </w:r>
      <w:proofErr w:type="spellEnd"/>
      <w:r w:rsidRPr="002F3866">
        <w:rPr>
          <w:rFonts w:cs="Arial"/>
          <w:lang w:val="es-PE"/>
        </w:rPr>
        <w:t xml:space="preserve"> Cu/a, el ahorro neto asciende a </w:t>
      </w:r>
      <w:r w:rsidRPr="002F3866">
        <w:rPr>
          <w:rFonts w:cs="Arial"/>
          <w:b/>
          <w:bCs/>
          <w:lang w:val="es-PE"/>
        </w:rPr>
        <w:t>36 M USD/año</w:t>
      </w:r>
      <w:r w:rsidRPr="002F3866">
        <w:rPr>
          <w:rFonts w:cs="Arial"/>
          <w:lang w:val="es-PE"/>
        </w:rPr>
        <w:t>, suficiente para mantener el VAN positivo bajo el arancel.</w:t>
      </w:r>
    </w:p>
    <w:p w14:paraId="3FD04FA9" w14:textId="77777777" w:rsidR="002F3866" w:rsidRPr="002F3866" w:rsidRDefault="002F3866" w:rsidP="002F3866">
      <w:pPr>
        <w:numPr>
          <w:ilvl w:val="0"/>
          <w:numId w:val="24"/>
        </w:numPr>
        <w:spacing w:line="240" w:lineRule="auto"/>
        <w:jc w:val="both"/>
        <w:rPr>
          <w:rFonts w:cs="Arial"/>
          <w:lang w:val="es-PE"/>
        </w:rPr>
      </w:pPr>
      <w:r w:rsidRPr="002F3866">
        <w:rPr>
          <w:rFonts w:cs="Arial"/>
          <w:b/>
          <w:bCs/>
          <w:lang w:val="es-PE"/>
        </w:rPr>
        <w:t>Frontera de resiliencia.</w:t>
      </w:r>
      <w:r w:rsidRPr="002F3866">
        <w:rPr>
          <w:rFonts w:cs="Arial"/>
          <w:lang w:val="es-PE"/>
        </w:rPr>
        <w:t xml:space="preserve"> El análisis de superficie NER-FX-OPEX revela la regla empírica: </w:t>
      </w:r>
      <w:r w:rsidRPr="002F3866">
        <w:rPr>
          <w:rFonts w:cs="Arial"/>
          <w:i/>
          <w:iCs/>
          <w:lang w:val="es-PE"/>
        </w:rPr>
        <w:t>“Eficiencia ≥ 2,3 × shock cambiario”</w:t>
      </w:r>
      <w:r w:rsidRPr="002F3866">
        <w:rPr>
          <w:rFonts w:cs="Arial"/>
          <w:lang w:val="es-PE"/>
        </w:rPr>
        <w:t>. Así, si el PEN volviera a apreciarse 3 %, una reducción adicional de 7 % en OPEX neutralizaría el impacto.</w:t>
      </w:r>
    </w:p>
    <w:p w14:paraId="0DEA5779" w14:textId="77777777" w:rsidR="002F3866" w:rsidRPr="002F3866" w:rsidRDefault="002F3866" w:rsidP="002F3866">
      <w:pPr>
        <w:spacing w:line="240" w:lineRule="auto"/>
        <w:ind w:left="-360"/>
        <w:jc w:val="both"/>
        <w:rPr>
          <w:rFonts w:cs="Arial"/>
          <w:b/>
          <w:bCs/>
          <w:lang w:val="es-PE"/>
        </w:rPr>
      </w:pPr>
      <w:r w:rsidRPr="002F3866">
        <w:rPr>
          <w:rFonts w:cs="Arial"/>
          <w:b/>
          <w:bCs/>
          <w:lang w:val="es-PE"/>
        </w:rPr>
        <w:t>4.4 Consecuencias fiscales y redistributivas</w:t>
      </w:r>
    </w:p>
    <w:p w14:paraId="722A87CF" w14:textId="77777777" w:rsidR="002F3866" w:rsidRPr="002F3866" w:rsidRDefault="002F3866" w:rsidP="002F3866">
      <w:pPr>
        <w:spacing w:line="240" w:lineRule="auto"/>
        <w:ind w:left="-360"/>
        <w:jc w:val="both"/>
        <w:rPr>
          <w:rFonts w:cs="Arial"/>
          <w:lang w:val="es-PE"/>
        </w:rPr>
      </w:pPr>
      <w:r w:rsidRPr="002F3866">
        <w:rPr>
          <w:rFonts w:cs="Arial"/>
          <w:lang w:val="es-PE"/>
        </w:rPr>
        <w:t>El recorte de NER reduce la base de la regalía ad-</w:t>
      </w:r>
      <w:proofErr w:type="spellStart"/>
      <w:r w:rsidRPr="002F3866">
        <w:rPr>
          <w:rFonts w:cs="Arial"/>
          <w:lang w:val="es-PE"/>
        </w:rPr>
        <w:t>valorem</w:t>
      </w:r>
      <w:proofErr w:type="spellEnd"/>
      <w:r w:rsidRPr="002F3866">
        <w:rPr>
          <w:rFonts w:cs="Arial"/>
          <w:lang w:val="es-PE"/>
        </w:rPr>
        <w:t xml:space="preserve"> (7 %) en </w:t>
      </w:r>
      <w:r w:rsidRPr="002F3866">
        <w:rPr>
          <w:rFonts w:cs="Arial"/>
          <w:b/>
          <w:bCs/>
          <w:lang w:val="es-PE"/>
        </w:rPr>
        <w:t>1 893 M USD</w:t>
      </w:r>
      <w:r w:rsidRPr="002F3866">
        <w:rPr>
          <w:rFonts w:cs="Arial"/>
          <w:lang w:val="es-PE"/>
        </w:rPr>
        <w:t>.</w:t>
      </w:r>
    </w:p>
    <w:p w14:paraId="64A8FBA5" w14:textId="77777777" w:rsidR="002F3866" w:rsidRPr="002F3866" w:rsidRDefault="002F3866" w:rsidP="002F3866">
      <w:pPr>
        <w:numPr>
          <w:ilvl w:val="0"/>
          <w:numId w:val="25"/>
        </w:numPr>
        <w:spacing w:line="240" w:lineRule="auto"/>
        <w:jc w:val="both"/>
        <w:rPr>
          <w:rFonts w:cs="Arial"/>
          <w:lang w:val="es-PE"/>
        </w:rPr>
      </w:pPr>
      <w:r w:rsidRPr="002F3866">
        <w:rPr>
          <w:rFonts w:cs="Arial"/>
          <w:b/>
          <w:bCs/>
          <w:lang w:val="es-PE"/>
        </w:rPr>
        <w:t>Déficit regional.</w:t>
      </w:r>
      <w:r w:rsidRPr="002F3866">
        <w:rPr>
          <w:rFonts w:cs="Arial"/>
          <w:lang w:val="es-PE"/>
        </w:rPr>
        <w:t xml:space="preserve"> Traducido al canon, las transferencias a gobiernos locales se reducen en </w:t>
      </w:r>
      <w:r w:rsidRPr="002F3866">
        <w:rPr>
          <w:rFonts w:cs="Arial"/>
          <w:b/>
          <w:bCs/>
          <w:lang w:val="es-PE"/>
        </w:rPr>
        <w:t>134 M USD/año</w:t>
      </w:r>
      <w:r w:rsidRPr="002F3866">
        <w:rPr>
          <w:rFonts w:cs="Arial"/>
          <w:lang w:val="es-PE"/>
        </w:rPr>
        <w:t xml:space="preserve">. regiones como </w:t>
      </w:r>
      <w:r w:rsidRPr="002F3866">
        <w:rPr>
          <w:rFonts w:cs="Arial"/>
          <w:b/>
          <w:bCs/>
          <w:lang w:val="es-PE"/>
        </w:rPr>
        <w:t>Cajamarca</w:t>
      </w:r>
      <w:r w:rsidRPr="002F3866">
        <w:rPr>
          <w:rFonts w:cs="Arial"/>
          <w:lang w:val="es-PE"/>
        </w:rPr>
        <w:t xml:space="preserve"> y </w:t>
      </w:r>
      <w:r w:rsidRPr="002F3866">
        <w:rPr>
          <w:rFonts w:cs="Arial"/>
          <w:b/>
          <w:bCs/>
          <w:lang w:val="es-PE"/>
        </w:rPr>
        <w:t>Apurímac</w:t>
      </w:r>
      <w:r w:rsidRPr="002F3866">
        <w:rPr>
          <w:rFonts w:cs="Arial"/>
          <w:lang w:val="es-PE"/>
        </w:rPr>
        <w:t xml:space="preserve"> pierden S/ 197 M y S/ 168 M, respectivamente—más del presupuesto anual de mantenimiento vial departamental.</w:t>
      </w:r>
    </w:p>
    <w:p w14:paraId="41CAD510" w14:textId="77777777" w:rsidR="002F3866" w:rsidRPr="002F3866" w:rsidRDefault="002F3866" w:rsidP="002F3866">
      <w:pPr>
        <w:numPr>
          <w:ilvl w:val="0"/>
          <w:numId w:val="25"/>
        </w:numPr>
        <w:spacing w:line="240" w:lineRule="auto"/>
        <w:jc w:val="both"/>
        <w:rPr>
          <w:rFonts w:cs="Arial"/>
          <w:lang w:val="es-PE"/>
        </w:rPr>
      </w:pPr>
      <w:r w:rsidRPr="002F3866">
        <w:rPr>
          <w:rFonts w:cs="Arial"/>
          <w:b/>
          <w:bCs/>
          <w:lang w:val="es-PE"/>
        </w:rPr>
        <w:t>Efecto multiplicador.</w:t>
      </w:r>
      <w:r w:rsidRPr="002F3866">
        <w:rPr>
          <w:rFonts w:cs="Arial"/>
          <w:lang w:val="es-PE"/>
        </w:rPr>
        <w:t xml:space="preserve"> Cada millón de USD de canon perdido implica 5,8 km menos de carretera o 60 becas de ingeniería minera que dejan de financiarse. El choque es, por tanto, regresivo: golpea a zonas </w:t>
      </w:r>
      <w:proofErr w:type="gramStart"/>
      <w:r w:rsidRPr="002F3866">
        <w:rPr>
          <w:rFonts w:cs="Arial"/>
          <w:lang w:val="es-PE"/>
        </w:rPr>
        <w:t>alto-andinas</w:t>
      </w:r>
      <w:proofErr w:type="gramEnd"/>
      <w:r w:rsidRPr="002F3866">
        <w:rPr>
          <w:rFonts w:cs="Arial"/>
          <w:lang w:val="es-PE"/>
        </w:rPr>
        <w:t xml:space="preserve"> con menor diversificación económica.</w:t>
      </w:r>
    </w:p>
    <w:p w14:paraId="055E14B0" w14:textId="77777777" w:rsidR="002F3866" w:rsidRPr="002F3866" w:rsidRDefault="002F3866" w:rsidP="002F3866">
      <w:pPr>
        <w:spacing w:line="240" w:lineRule="auto"/>
        <w:ind w:left="-360"/>
        <w:jc w:val="both"/>
        <w:rPr>
          <w:rFonts w:cs="Arial"/>
          <w:b/>
          <w:bCs/>
          <w:lang w:val="es-PE"/>
        </w:rPr>
      </w:pPr>
      <w:r w:rsidRPr="002F3866">
        <w:rPr>
          <w:rFonts w:cs="Arial"/>
          <w:b/>
          <w:bCs/>
          <w:lang w:val="es-PE"/>
        </w:rPr>
        <w:t>4.5 Descomposición econométrica (OLS robusta)</w:t>
      </w:r>
    </w:p>
    <w:p w14:paraId="054C5120" w14:textId="77777777" w:rsidR="002F3866" w:rsidRPr="002F3866" w:rsidRDefault="002F3866" w:rsidP="002F3866">
      <w:pPr>
        <w:spacing w:line="240" w:lineRule="auto"/>
        <w:ind w:left="-360"/>
        <w:rPr>
          <w:rFonts w:cs="Arial"/>
          <w:lang w:val="es-PE"/>
        </w:rPr>
      </w:pPr>
      <w:r w:rsidRPr="002F3866">
        <w:rPr>
          <w:rFonts w:cs="Arial"/>
          <w:lang w:val="es-PE"/>
        </w:rPr>
        <w:t xml:space="preserve">El modelo </w:t>
      </w:r>
      <w:r w:rsidRPr="002F3866">
        <w:rPr>
          <w:rFonts w:cs="Arial"/>
        </w:rPr>
        <w:t>Δ</w:t>
      </w:r>
      <w:r w:rsidRPr="002F3866">
        <w:rPr>
          <w:rFonts w:cs="Arial"/>
          <w:lang w:val="es-PE"/>
        </w:rPr>
        <w:t>NER=</w:t>
      </w:r>
      <w:r w:rsidRPr="002F3866">
        <w:rPr>
          <w:rFonts w:cs="Arial"/>
        </w:rPr>
        <w:t>β</w:t>
      </w:r>
      <w:r w:rsidRPr="002F3866">
        <w:rPr>
          <w:rFonts w:cs="Arial"/>
          <w:lang w:val="es-PE"/>
        </w:rPr>
        <w:t>0+</w:t>
      </w:r>
      <w:r w:rsidRPr="002F3866">
        <w:rPr>
          <w:rFonts w:cs="Arial"/>
        </w:rPr>
        <w:t>β</w:t>
      </w:r>
      <w:r w:rsidRPr="002F3866">
        <w:rPr>
          <w:rFonts w:cs="Arial"/>
          <w:lang w:val="es-PE"/>
        </w:rPr>
        <w:t>1scaleSmall+</w:t>
      </w:r>
      <w:r w:rsidRPr="002F3866">
        <w:rPr>
          <w:rFonts w:cs="Arial"/>
        </w:rPr>
        <w:t>β</w:t>
      </w:r>
      <w:r w:rsidRPr="002F3866">
        <w:rPr>
          <w:rFonts w:cs="Arial"/>
          <w:lang w:val="es-PE"/>
        </w:rPr>
        <w:t>2costShare+</w:t>
      </w:r>
      <w:r w:rsidRPr="002F3866">
        <w:rPr>
          <w:rFonts w:cs="Arial"/>
        </w:rPr>
        <w:t>β</w:t>
      </w:r>
      <w:r w:rsidRPr="002F3866">
        <w:rPr>
          <w:rFonts w:cs="Arial"/>
          <w:lang w:val="es-PE"/>
        </w:rPr>
        <w:t>3tariffEff\Delta NER = \beta_0 + \beta_1 \</w:t>
      </w:r>
      <w:proofErr w:type="spellStart"/>
      <w:r w:rsidRPr="002F3866">
        <w:rPr>
          <w:rFonts w:cs="Arial"/>
          <w:lang w:val="es-PE"/>
        </w:rPr>
        <w:t>text</w:t>
      </w:r>
      <w:proofErr w:type="spellEnd"/>
      <w:r w:rsidRPr="002F3866">
        <w:rPr>
          <w:rFonts w:cs="Arial"/>
          <w:lang w:val="es-PE"/>
        </w:rPr>
        <w:t>{</w:t>
      </w:r>
      <w:proofErr w:type="spellStart"/>
      <w:r w:rsidRPr="002F3866">
        <w:rPr>
          <w:rFonts w:cs="Arial"/>
          <w:lang w:val="es-PE"/>
        </w:rPr>
        <w:t>scaleSmall</w:t>
      </w:r>
      <w:proofErr w:type="spellEnd"/>
      <w:r w:rsidRPr="002F3866">
        <w:rPr>
          <w:rFonts w:cs="Arial"/>
          <w:lang w:val="es-PE"/>
        </w:rPr>
        <w:t>} + \beta_2 \</w:t>
      </w:r>
      <w:proofErr w:type="spellStart"/>
      <w:r w:rsidRPr="002F3866">
        <w:rPr>
          <w:rFonts w:cs="Arial"/>
          <w:lang w:val="es-PE"/>
        </w:rPr>
        <w:t>text</w:t>
      </w:r>
      <w:proofErr w:type="spellEnd"/>
      <w:r w:rsidRPr="002F3866">
        <w:rPr>
          <w:rFonts w:cs="Arial"/>
          <w:lang w:val="es-PE"/>
        </w:rPr>
        <w:t>{</w:t>
      </w:r>
      <w:proofErr w:type="spellStart"/>
      <w:r w:rsidRPr="002F3866">
        <w:rPr>
          <w:rFonts w:cs="Arial"/>
          <w:lang w:val="es-PE"/>
        </w:rPr>
        <w:t>costShare</w:t>
      </w:r>
      <w:proofErr w:type="spellEnd"/>
      <w:r w:rsidRPr="002F3866">
        <w:rPr>
          <w:rFonts w:cs="Arial"/>
          <w:lang w:val="es-PE"/>
        </w:rPr>
        <w:t>} + \beta_3 \</w:t>
      </w:r>
      <w:proofErr w:type="spellStart"/>
      <w:r w:rsidRPr="002F3866">
        <w:rPr>
          <w:rFonts w:cs="Arial"/>
          <w:lang w:val="es-PE"/>
        </w:rPr>
        <w:t>text</w:t>
      </w:r>
      <w:proofErr w:type="spellEnd"/>
      <w:r w:rsidRPr="002F3866">
        <w:rPr>
          <w:rFonts w:cs="Arial"/>
          <w:lang w:val="es-PE"/>
        </w:rPr>
        <w:t>{</w:t>
      </w:r>
      <w:proofErr w:type="spellStart"/>
      <w:r w:rsidRPr="002F3866">
        <w:rPr>
          <w:rFonts w:cs="Arial"/>
          <w:lang w:val="es-PE"/>
        </w:rPr>
        <w:t>tariffEff</w:t>
      </w:r>
      <w:proofErr w:type="spellEnd"/>
      <w:r w:rsidRPr="002F3866">
        <w:rPr>
          <w:rFonts w:cs="Arial"/>
          <w:lang w:val="es-PE"/>
        </w:rPr>
        <w:t>}</w:t>
      </w:r>
      <w:r w:rsidRPr="002F3866">
        <w:rPr>
          <w:rFonts w:cs="Arial"/>
        </w:rPr>
        <w:t>Δ</w:t>
      </w:r>
      <w:r w:rsidRPr="002F3866">
        <w:rPr>
          <w:rFonts w:cs="Arial"/>
          <w:lang w:val="es-PE"/>
        </w:rPr>
        <w:t>NER=</w:t>
      </w:r>
      <w:r w:rsidRPr="002F3866">
        <w:rPr>
          <w:rFonts w:cs="Arial"/>
        </w:rPr>
        <w:t>β</w:t>
      </w:r>
      <w:r w:rsidRPr="002F3866">
        <w:rPr>
          <w:rFonts w:cs="Arial"/>
          <w:lang w:val="es-PE"/>
        </w:rPr>
        <w:t>0​+</w:t>
      </w:r>
      <w:r w:rsidRPr="002F3866">
        <w:rPr>
          <w:rFonts w:cs="Arial"/>
        </w:rPr>
        <w:t>β</w:t>
      </w:r>
      <w:r w:rsidRPr="002F3866">
        <w:rPr>
          <w:rFonts w:cs="Arial"/>
          <w:lang w:val="es-PE"/>
        </w:rPr>
        <w:t>1​</w:t>
      </w:r>
      <w:proofErr w:type="spellStart"/>
      <w:r w:rsidRPr="002F3866">
        <w:rPr>
          <w:rFonts w:cs="Arial"/>
          <w:lang w:val="es-PE"/>
        </w:rPr>
        <w:t>scaleSmall</w:t>
      </w:r>
      <w:proofErr w:type="spellEnd"/>
      <w:r w:rsidRPr="002F3866">
        <w:rPr>
          <w:rFonts w:cs="Arial"/>
          <w:lang w:val="es-PE"/>
        </w:rPr>
        <w:t>+</w:t>
      </w:r>
      <w:r w:rsidRPr="002F3866">
        <w:rPr>
          <w:rFonts w:cs="Arial"/>
        </w:rPr>
        <w:t>β</w:t>
      </w:r>
      <w:r w:rsidRPr="002F3866">
        <w:rPr>
          <w:rFonts w:cs="Arial"/>
          <w:lang w:val="es-PE"/>
        </w:rPr>
        <w:t>2​</w:t>
      </w:r>
      <w:proofErr w:type="spellStart"/>
      <w:r w:rsidRPr="002F3866">
        <w:rPr>
          <w:rFonts w:cs="Arial"/>
          <w:lang w:val="es-PE"/>
        </w:rPr>
        <w:t>costShare</w:t>
      </w:r>
      <w:proofErr w:type="spellEnd"/>
      <w:r w:rsidRPr="002F3866">
        <w:rPr>
          <w:rFonts w:cs="Arial"/>
          <w:lang w:val="es-PE"/>
        </w:rPr>
        <w:t>+</w:t>
      </w:r>
      <w:r w:rsidRPr="002F3866">
        <w:rPr>
          <w:rFonts w:cs="Arial"/>
        </w:rPr>
        <w:t>β</w:t>
      </w:r>
      <w:r w:rsidRPr="002F3866">
        <w:rPr>
          <w:rFonts w:cs="Arial"/>
          <w:lang w:val="es-PE"/>
        </w:rPr>
        <w:t>3​</w:t>
      </w:r>
      <w:proofErr w:type="spellStart"/>
      <w:r w:rsidRPr="002F3866">
        <w:rPr>
          <w:rFonts w:cs="Arial"/>
          <w:lang w:val="es-PE"/>
        </w:rPr>
        <w:t>tariffEff</w:t>
      </w:r>
      <w:proofErr w:type="spellEnd"/>
      <w:r w:rsidRPr="002F3866">
        <w:rPr>
          <w:rFonts w:cs="Arial"/>
          <w:lang w:val="es-PE"/>
        </w:rPr>
        <w:t xml:space="preserve"> explica </w:t>
      </w:r>
      <w:r w:rsidRPr="002F3866">
        <w:rPr>
          <w:rFonts w:cs="Arial"/>
          <w:b/>
          <w:bCs/>
          <w:lang w:val="es-PE"/>
        </w:rPr>
        <w:t>95 %</w:t>
      </w:r>
      <w:r w:rsidRPr="002F3866">
        <w:rPr>
          <w:rFonts w:cs="Arial"/>
          <w:lang w:val="es-PE"/>
        </w:rPr>
        <w:t xml:space="preserve"> de la varianza observada.</w:t>
      </w:r>
    </w:p>
    <w:p w14:paraId="5BD0DA0B" w14:textId="77777777" w:rsidR="002F3866" w:rsidRPr="002F3866" w:rsidRDefault="002F3866" w:rsidP="002F3866">
      <w:pPr>
        <w:numPr>
          <w:ilvl w:val="0"/>
          <w:numId w:val="26"/>
        </w:numPr>
        <w:spacing w:line="240" w:lineRule="auto"/>
        <w:jc w:val="both"/>
        <w:rPr>
          <w:rFonts w:cs="Arial"/>
        </w:rPr>
      </w:pPr>
      <w:proofErr w:type="spellStart"/>
      <w:r w:rsidRPr="002F3866">
        <w:rPr>
          <w:rFonts w:cs="Arial"/>
          <w:b/>
          <w:bCs/>
        </w:rPr>
        <w:t>Coeficientes</w:t>
      </w:r>
      <w:proofErr w:type="spellEnd"/>
      <w:r w:rsidRPr="002F3866">
        <w:rPr>
          <w:rFonts w:cs="Arial"/>
          <w:b/>
          <w:bCs/>
        </w:rPr>
        <w:t xml:space="preserve"> clave.</w:t>
      </w:r>
    </w:p>
    <w:p w14:paraId="7649B248" w14:textId="77777777" w:rsidR="002F3866" w:rsidRPr="002F3866" w:rsidRDefault="002F3866" w:rsidP="002F3866">
      <w:pPr>
        <w:numPr>
          <w:ilvl w:val="1"/>
          <w:numId w:val="26"/>
        </w:numPr>
        <w:spacing w:line="240" w:lineRule="auto"/>
        <w:jc w:val="both"/>
        <w:rPr>
          <w:rFonts w:cs="Arial"/>
          <w:lang w:val="es-PE"/>
        </w:rPr>
      </w:pPr>
      <w:r w:rsidRPr="002F3866">
        <w:rPr>
          <w:rFonts w:cs="Arial"/>
          <w:b/>
          <w:bCs/>
        </w:rPr>
        <w:t>β</w:t>
      </w:r>
      <w:r w:rsidRPr="002F3866">
        <w:rPr>
          <w:rFonts w:ascii="Cambria Math" w:hAnsi="Cambria Math" w:cs="Cambria Math"/>
          <w:b/>
          <w:bCs/>
          <w:lang w:val="es-PE"/>
        </w:rPr>
        <w:t>₁</w:t>
      </w:r>
      <w:r w:rsidRPr="002F3866">
        <w:rPr>
          <w:rFonts w:cs="Arial"/>
          <w:b/>
          <w:bCs/>
          <w:lang w:val="es-PE"/>
        </w:rPr>
        <w:t xml:space="preserve"> = +0,037</w:t>
      </w:r>
      <w:r w:rsidRPr="002F3866">
        <w:rPr>
          <w:rFonts w:cs="Arial"/>
          <w:lang w:val="es-PE"/>
        </w:rPr>
        <w:t xml:space="preserve"> → ser mina pequeña añade 3,7 p.p. a la pérdida, incluso tras controlar por OPEX y arancel.</w:t>
      </w:r>
    </w:p>
    <w:p w14:paraId="04496FA4" w14:textId="77777777" w:rsidR="002F3866" w:rsidRPr="002F3866" w:rsidRDefault="002F3866" w:rsidP="002F3866">
      <w:pPr>
        <w:numPr>
          <w:ilvl w:val="1"/>
          <w:numId w:val="26"/>
        </w:numPr>
        <w:spacing w:line="240" w:lineRule="auto"/>
        <w:jc w:val="both"/>
        <w:rPr>
          <w:rFonts w:cs="Arial"/>
          <w:lang w:val="es-PE"/>
        </w:rPr>
      </w:pPr>
      <w:r w:rsidRPr="002F3866">
        <w:rPr>
          <w:rFonts w:cs="Arial"/>
          <w:b/>
          <w:bCs/>
        </w:rPr>
        <w:t>β</w:t>
      </w:r>
      <w:r w:rsidRPr="002F3866">
        <w:rPr>
          <w:rFonts w:ascii="Cambria Math" w:hAnsi="Cambria Math" w:cs="Cambria Math"/>
          <w:b/>
          <w:bCs/>
          <w:lang w:val="es-PE"/>
        </w:rPr>
        <w:t>₂</w:t>
      </w:r>
      <w:r w:rsidRPr="002F3866">
        <w:rPr>
          <w:rFonts w:cs="Arial"/>
          <w:b/>
          <w:bCs/>
          <w:lang w:val="es-PE"/>
        </w:rPr>
        <w:t xml:space="preserve"> = +0,080</w:t>
      </w:r>
      <w:r w:rsidRPr="002F3866">
        <w:rPr>
          <w:rFonts w:cs="Arial"/>
          <w:lang w:val="es-PE"/>
        </w:rPr>
        <w:t xml:space="preserve"> → cada punto de OPEX/ventas empeora la merma un 0,08 p.p.</w:t>
      </w:r>
    </w:p>
    <w:p w14:paraId="104CA73F" w14:textId="77777777" w:rsidR="002F3866" w:rsidRPr="002F3866" w:rsidRDefault="002F3866" w:rsidP="002F3866">
      <w:pPr>
        <w:numPr>
          <w:ilvl w:val="1"/>
          <w:numId w:val="26"/>
        </w:numPr>
        <w:spacing w:line="240" w:lineRule="auto"/>
        <w:jc w:val="both"/>
        <w:rPr>
          <w:rFonts w:cs="Arial"/>
          <w:lang w:val="es-PE"/>
        </w:rPr>
      </w:pPr>
      <w:r w:rsidRPr="002F3866">
        <w:rPr>
          <w:rFonts w:cs="Arial"/>
          <w:b/>
          <w:bCs/>
        </w:rPr>
        <w:t>β</w:t>
      </w:r>
      <w:r w:rsidRPr="002F3866">
        <w:rPr>
          <w:rFonts w:ascii="Cambria Math" w:hAnsi="Cambria Math" w:cs="Cambria Math"/>
          <w:b/>
          <w:bCs/>
          <w:lang w:val="es-PE"/>
        </w:rPr>
        <w:t>₃</w:t>
      </w:r>
      <w:r w:rsidRPr="002F3866">
        <w:rPr>
          <w:rFonts w:cs="Arial"/>
          <w:b/>
          <w:bCs/>
          <w:lang w:val="es-PE"/>
        </w:rPr>
        <w:t xml:space="preserve"> = +1,018</w:t>
      </w:r>
      <w:r w:rsidRPr="002F3866">
        <w:rPr>
          <w:rFonts w:cs="Arial"/>
          <w:lang w:val="es-PE"/>
        </w:rPr>
        <w:t xml:space="preserve"> → un arancel 1 p.p. mayor se traduce casi 1 p.p. de margen perdido.</w:t>
      </w:r>
    </w:p>
    <w:p w14:paraId="67B8C5FF" w14:textId="77777777" w:rsidR="002F3866" w:rsidRPr="002F3866" w:rsidRDefault="002F3866" w:rsidP="002F3866">
      <w:pPr>
        <w:numPr>
          <w:ilvl w:val="0"/>
          <w:numId w:val="26"/>
        </w:numPr>
        <w:spacing w:line="240" w:lineRule="auto"/>
        <w:jc w:val="both"/>
        <w:rPr>
          <w:rFonts w:cs="Arial"/>
          <w:lang w:val="es-PE"/>
        </w:rPr>
      </w:pPr>
      <w:r w:rsidRPr="002F3866">
        <w:rPr>
          <w:rFonts w:cs="Arial"/>
          <w:b/>
          <w:bCs/>
          <w:lang w:val="es-PE"/>
        </w:rPr>
        <w:t>Validez estadística.</w:t>
      </w:r>
      <w:r w:rsidRPr="002F3866">
        <w:rPr>
          <w:rFonts w:cs="Arial"/>
          <w:lang w:val="es-PE"/>
        </w:rPr>
        <w:t xml:space="preserve"> Jarque-</w:t>
      </w:r>
      <w:proofErr w:type="spellStart"/>
      <w:r w:rsidRPr="002F3866">
        <w:rPr>
          <w:rFonts w:cs="Arial"/>
          <w:lang w:val="es-PE"/>
        </w:rPr>
        <w:t>Bera</w:t>
      </w:r>
      <w:proofErr w:type="spellEnd"/>
      <w:r w:rsidRPr="002F3866">
        <w:rPr>
          <w:rFonts w:cs="Arial"/>
          <w:lang w:val="es-PE"/>
        </w:rPr>
        <w:t xml:space="preserve"> (p = 0,13) confirma normalidad; </w:t>
      </w:r>
      <w:proofErr w:type="spellStart"/>
      <w:r w:rsidRPr="002F3866">
        <w:rPr>
          <w:rFonts w:cs="Arial"/>
          <w:lang w:val="es-PE"/>
        </w:rPr>
        <w:t>Breusch</w:t>
      </w:r>
      <w:proofErr w:type="spellEnd"/>
      <w:r w:rsidRPr="002F3866">
        <w:rPr>
          <w:rFonts w:cs="Arial"/>
          <w:lang w:val="es-PE"/>
        </w:rPr>
        <w:t>-Pagan (p = 0,27) descarta heteroscedasticidad, reforzando la robustez de los coeficientes.</w:t>
      </w:r>
    </w:p>
    <w:p w14:paraId="6CD402A4" w14:textId="77777777" w:rsidR="002F3866" w:rsidRPr="002F3866" w:rsidRDefault="002F3866" w:rsidP="002F3866">
      <w:pPr>
        <w:spacing w:line="240" w:lineRule="auto"/>
        <w:ind w:left="-360"/>
        <w:jc w:val="both"/>
        <w:rPr>
          <w:rFonts w:cs="Arial"/>
          <w:b/>
          <w:bCs/>
          <w:lang w:val="es-PE"/>
        </w:rPr>
      </w:pPr>
      <w:r w:rsidRPr="002F3866">
        <w:rPr>
          <w:rFonts w:cs="Arial"/>
          <w:b/>
          <w:bCs/>
          <w:lang w:val="es-PE"/>
        </w:rPr>
        <w:t>4.6 Reacciones del mercado de capitales</w:t>
      </w:r>
    </w:p>
    <w:p w14:paraId="1C7644B7" w14:textId="77777777" w:rsidR="002F3866" w:rsidRPr="002F3866" w:rsidRDefault="002F3866" w:rsidP="002F3866">
      <w:pPr>
        <w:spacing w:line="240" w:lineRule="auto"/>
        <w:ind w:left="-360"/>
        <w:jc w:val="both"/>
        <w:rPr>
          <w:rFonts w:cs="Arial"/>
          <w:lang w:val="es-PE"/>
        </w:rPr>
      </w:pPr>
      <w:r w:rsidRPr="002F3866">
        <w:rPr>
          <w:rFonts w:cs="Arial"/>
          <w:lang w:val="es-PE"/>
        </w:rPr>
        <w:t xml:space="preserve">Un módulo binomial de decisión inversora, alimentado con los flujos de caja simulados, proyecta que </w:t>
      </w:r>
      <w:r w:rsidRPr="002F3866">
        <w:rPr>
          <w:rFonts w:cs="Arial"/>
          <w:b/>
          <w:bCs/>
          <w:lang w:val="es-PE"/>
        </w:rPr>
        <w:t>37,8 %</w:t>
      </w:r>
      <w:r w:rsidRPr="002F3866">
        <w:rPr>
          <w:rFonts w:cs="Arial"/>
          <w:lang w:val="es-PE"/>
        </w:rPr>
        <w:t xml:space="preserve"> de los proyectos </w:t>
      </w:r>
      <w:proofErr w:type="spellStart"/>
      <w:r w:rsidRPr="002F3866">
        <w:rPr>
          <w:rFonts w:cs="Arial"/>
          <w:lang w:val="es-PE"/>
        </w:rPr>
        <w:t>brownfield</w:t>
      </w:r>
      <w:proofErr w:type="spellEnd"/>
      <w:r w:rsidRPr="002F3866">
        <w:rPr>
          <w:rFonts w:cs="Arial"/>
          <w:lang w:val="es-PE"/>
        </w:rPr>
        <w:t xml:space="preserve"> ≥ 250 M USD se posponen bajo el escenario “arancel + PEN + 5 %”.</w:t>
      </w:r>
    </w:p>
    <w:p w14:paraId="0036F321" w14:textId="77777777" w:rsidR="002F3866" w:rsidRPr="002F3866" w:rsidRDefault="002F3866" w:rsidP="002F3866">
      <w:pPr>
        <w:numPr>
          <w:ilvl w:val="0"/>
          <w:numId w:val="27"/>
        </w:numPr>
        <w:spacing w:line="240" w:lineRule="auto"/>
        <w:jc w:val="both"/>
        <w:rPr>
          <w:rFonts w:cs="Arial"/>
          <w:lang w:val="es-PE"/>
        </w:rPr>
      </w:pPr>
      <w:r w:rsidRPr="002F3866">
        <w:rPr>
          <w:rFonts w:cs="Arial"/>
          <w:b/>
          <w:bCs/>
          <w:lang w:val="es-PE"/>
        </w:rPr>
        <w:t>Reubicación de CAPEX.</w:t>
      </w:r>
      <w:r w:rsidRPr="002F3866">
        <w:rPr>
          <w:rFonts w:cs="Arial"/>
          <w:lang w:val="es-PE"/>
        </w:rPr>
        <w:t xml:space="preserve"> Entrevistas con gestores de fondos indican que esos recursos se redirigirían a </w:t>
      </w:r>
      <w:r w:rsidRPr="002F3866">
        <w:rPr>
          <w:rFonts w:cs="Arial"/>
          <w:b/>
          <w:bCs/>
          <w:lang w:val="es-PE"/>
        </w:rPr>
        <w:t>Canadá</w:t>
      </w:r>
      <w:r w:rsidRPr="002F3866">
        <w:rPr>
          <w:rFonts w:cs="Arial"/>
          <w:lang w:val="es-PE"/>
        </w:rPr>
        <w:t xml:space="preserve"> y </w:t>
      </w:r>
      <w:r w:rsidRPr="002F3866">
        <w:rPr>
          <w:rFonts w:cs="Arial"/>
          <w:b/>
          <w:bCs/>
          <w:lang w:val="es-PE"/>
        </w:rPr>
        <w:t>México</w:t>
      </w:r>
      <w:r w:rsidRPr="002F3866">
        <w:rPr>
          <w:rFonts w:cs="Arial"/>
          <w:lang w:val="es-PE"/>
        </w:rPr>
        <w:t xml:space="preserve">, donde existen TLC consolidados y estabilidad arancelaria, reduciendo la cartera peruana de expansión en </w:t>
      </w:r>
      <w:r w:rsidRPr="002F3866">
        <w:rPr>
          <w:rFonts w:cs="Arial"/>
          <w:b/>
          <w:bCs/>
          <w:lang w:val="es-PE"/>
        </w:rPr>
        <w:t>3,8 G USD</w:t>
      </w:r>
      <w:r w:rsidRPr="002F3866">
        <w:rPr>
          <w:rFonts w:cs="Arial"/>
          <w:lang w:val="es-PE"/>
        </w:rPr>
        <w:t xml:space="preserve"> para 2026-2030.</w:t>
      </w:r>
    </w:p>
    <w:p w14:paraId="5719F9E0" w14:textId="77777777" w:rsidR="002F3866" w:rsidRPr="002F3866" w:rsidRDefault="002F3866" w:rsidP="002F3866">
      <w:pPr>
        <w:numPr>
          <w:ilvl w:val="0"/>
          <w:numId w:val="27"/>
        </w:numPr>
        <w:spacing w:line="240" w:lineRule="auto"/>
        <w:jc w:val="both"/>
        <w:rPr>
          <w:rFonts w:cs="Arial"/>
          <w:lang w:val="es-PE"/>
        </w:rPr>
      </w:pPr>
      <w:r w:rsidRPr="002F3866">
        <w:rPr>
          <w:rFonts w:cs="Arial"/>
          <w:b/>
          <w:bCs/>
          <w:lang w:val="es-PE"/>
        </w:rPr>
        <w:t>Prima de riesgo.</w:t>
      </w:r>
      <w:r w:rsidRPr="002F3866">
        <w:rPr>
          <w:rFonts w:cs="Arial"/>
          <w:lang w:val="es-PE"/>
        </w:rPr>
        <w:t xml:space="preserve"> El costo de capital para proyectos peruanos (WACC real) subiría unos 90 pb, erosionando aún más la competitividad de nuevas inversiones </w:t>
      </w:r>
      <w:proofErr w:type="spellStart"/>
      <w:r w:rsidRPr="002F3866">
        <w:rPr>
          <w:rFonts w:cs="Arial"/>
          <w:lang w:val="es-PE"/>
        </w:rPr>
        <w:t>greenfield</w:t>
      </w:r>
      <w:proofErr w:type="spellEnd"/>
      <w:r w:rsidRPr="002F3866">
        <w:rPr>
          <w:rFonts w:cs="Arial"/>
          <w:lang w:val="es-PE"/>
        </w:rPr>
        <w:t>.</w:t>
      </w:r>
    </w:p>
    <w:p w14:paraId="2A9DF93E" w14:textId="77777777" w:rsidR="002F3866" w:rsidRPr="002F3866" w:rsidRDefault="002F3866" w:rsidP="002F3866">
      <w:pPr>
        <w:spacing w:line="240" w:lineRule="auto"/>
        <w:ind w:left="-360"/>
        <w:jc w:val="both"/>
        <w:rPr>
          <w:rFonts w:cs="Arial"/>
          <w:b/>
          <w:bCs/>
          <w:lang w:val="es-PE"/>
        </w:rPr>
      </w:pPr>
      <w:r w:rsidRPr="002F3866">
        <w:rPr>
          <w:rFonts w:cs="Arial"/>
          <w:b/>
          <w:bCs/>
          <w:lang w:val="es-PE"/>
        </w:rPr>
        <w:t>4.7 Robustez y sensibilidad complementaria</w:t>
      </w:r>
    </w:p>
    <w:p w14:paraId="096F9BD7" w14:textId="77777777" w:rsidR="002F3866" w:rsidRPr="002F3866" w:rsidRDefault="002F3866" w:rsidP="002F3866">
      <w:pPr>
        <w:spacing w:line="240" w:lineRule="auto"/>
        <w:ind w:left="-360"/>
        <w:jc w:val="both"/>
        <w:rPr>
          <w:rFonts w:cs="Arial"/>
          <w:lang w:val="es-PE"/>
        </w:rPr>
      </w:pPr>
      <w:r w:rsidRPr="002F3866">
        <w:rPr>
          <w:rFonts w:cs="Arial"/>
          <w:lang w:val="es-PE"/>
        </w:rPr>
        <w:t>Cuatro ejercicios confirman la estabilidad de los hallazgos:</w:t>
      </w:r>
    </w:p>
    <w:p w14:paraId="19BA3231" w14:textId="77777777" w:rsidR="002F3866" w:rsidRPr="002F3866" w:rsidRDefault="002F3866" w:rsidP="002F3866">
      <w:pPr>
        <w:numPr>
          <w:ilvl w:val="0"/>
          <w:numId w:val="28"/>
        </w:numPr>
        <w:spacing w:line="240" w:lineRule="auto"/>
        <w:jc w:val="both"/>
        <w:rPr>
          <w:rFonts w:cs="Arial"/>
        </w:rPr>
      </w:pPr>
      <w:r w:rsidRPr="002F3866">
        <w:rPr>
          <w:rFonts w:cs="Arial"/>
          <w:b/>
          <w:bCs/>
        </w:rPr>
        <w:t>Back-test 2015-2019</w:t>
      </w:r>
      <w:r w:rsidRPr="002F3866">
        <w:rPr>
          <w:rFonts w:cs="Arial"/>
        </w:rPr>
        <w:t xml:space="preserve"> con </w:t>
      </w:r>
      <w:proofErr w:type="spellStart"/>
      <w:r w:rsidRPr="002F3866">
        <w:rPr>
          <w:rFonts w:cs="Arial"/>
        </w:rPr>
        <w:t>arancel</w:t>
      </w:r>
      <w:proofErr w:type="spellEnd"/>
      <w:r w:rsidRPr="002F3866">
        <w:rPr>
          <w:rFonts w:cs="Arial"/>
        </w:rPr>
        <w:t xml:space="preserve"> 6 % → error medio ≤ 0,4 p.p.</w:t>
      </w:r>
    </w:p>
    <w:p w14:paraId="1724464A" w14:textId="77777777" w:rsidR="002F3866" w:rsidRPr="002F3866" w:rsidRDefault="002F3866" w:rsidP="002F3866">
      <w:pPr>
        <w:numPr>
          <w:ilvl w:val="0"/>
          <w:numId w:val="28"/>
        </w:numPr>
        <w:spacing w:line="240" w:lineRule="auto"/>
        <w:jc w:val="both"/>
        <w:rPr>
          <w:rFonts w:cs="Arial"/>
          <w:lang w:val="es-PE"/>
        </w:rPr>
      </w:pPr>
      <w:r w:rsidRPr="002F3866">
        <w:rPr>
          <w:rFonts w:cs="Arial"/>
          <w:b/>
          <w:bCs/>
          <w:lang w:val="es-PE"/>
        </w:rPr>
        <w:t>Stress logístico</w:t>
      </w:r>
      <w:r w:rsidRPr="002F3866">
        <w:rPr>
          <w:rFonts w:cs="Arial"/>
          <w:lang w:val="es-PE"/>
        </w:rPr>
        <w:t xml:space="preserve"> +15 % en fletes → variación adicional &lt; 1,3 p.p.</w:t>
      </w:r>
    </w:p>
    <w:p w14:paraId="65A9391B" w14:textId="77777777" w:rsidR="002F3866" w:rsidRPr="002F3866" w:rsidRDefault="002F3866" w:rsidP="002F3866">
      <w:pPr>
        <w:numPr>
          <w:ilvl w:val="0"/>
          <w:numId w:val="28"/>
        </w:numPr>
        <w:spacing w:line="240" w:lineRule="auto"/>
        <w:jc w:val="both"/>
        <w:rPr>
          <w:rFonts w:cs="Arial"/>
          <w:lang w:val="es-PE"/>
        </w:rPr>
      </w:pPr>
      <w:r w:rsidRPr="002F3866">
        <w:rPr>
          <w:rFonts w:cs="Arial"/>
          <w:b/>
          <w:bCs/>
          <w:lang w:val="es-PE"/>
        </w:rPr>
        <w:t>Cola pesada (t-</w:t>
      </w:r>
      <w:proofErr w:type="spellStart"/>
      <w:r w:rsidRPr="002F3866">
        <w:rPr>
          <w:rFonts w:cs="Arial"/>
          <w:b/>
          <w:bCs/>
          <w:lang w:val="es-PE"/>
        </w:rPr>
        <w:t>Student</w:t>
      </w:r>
      <w:proofErr w:type="spellEnd"/>
      <w:r w:rsidRPr="002F3866">
        <w:rPr>
          <w:rFonts w:cs="Arial"/>
          <w:b/>
          <w:bCs/>
          <w:lang w:val="es-PE"/>
        </w:rPr>
        <w:t xml:space="preserve"> </w:t>
      </w:r>
      <w:r w:rsidRPr="002F3866">
        <w:rPr>
          <w:rFonts w:cs="Arial"/>
          <w:b/>
          <w:bCs/>
        </w:rPr>
        <w:t>ν</w:t>
      </w:r>
      <w:r w:rsidRPr="002F3866">
        <w:rPr>
          <w:rFonts w:cs="Arial"/>
          <w:b/>
          <w:bCs/>
          <w:lang w:val="es-PE"/>
        </w:rPr>
        <w:t xml:space="preserve"> = 4)</w:t>
      </w:r>
      <w:r w:rsidRPr="002F3866">
        <w:rPr>
          <w:rFonts w:cs="Arial"/>
          <w:lang w:val="es-PE"/>
        </w:rPr>
        <w:t xml:space="preserve"> → curtosis +0,6; media estable.</w:t>
      </w:r>
    </w:p>
    <w:p w14:paraId="2800B1CD" w14:textId="77777777" w:rsidR="002F3866" w:rsidRPr="002F3866" w:rsidRDefault="002F3866" w:rsidP="002F3866">
      <w:pPr>
        <w:numPr>
          <w:ilvl w:val="0"/>
          <w:numId w:val="28"/>
        </w:numPr>
        <w:spacing w:line="240" w:lineRule="auto"/>
        <w:jc w:val="both"/>
        <w:rPr>
          <w:rFonts w:cs="Arial"/>
          <w:lang w:val="es-PE"/>
        </w:rPr>
      </w:pPr>
      <w:proofErr w:type="spellStart"/>
      <w:r w:rsidRPr="002F3866">
        <w:rPr>
          <w:rFonts w:cs="Arial"/>
          <w:b/>
          <w:bCs/>
          <w:lang w:val="es-PE"/>
        </w:rPr>
        <w:t>Winsorización</w:t>
      </w:r>
      <w:proofErr w:type="spellEnd"/>
      <w:r w:rsidRPr="002F3866">
        <w:rPr>
          <w:rFonts w:cs="Arial"/>
          <w:b/>
          <w:bCs/>
          <w:lang w:val="es-PE"/>
        </w:rPr>
        <w:t xml:space="preserve"> al P97</w:t>
      </w:r>
      <w:r w:rsidRPr="002F3866">
        <w:rPr>
          <w:rFonts w:cs="Arial"/>
          <w:lang w:val="es-PE"/>
        </w:rPr>
        <w:t xml:space="preserve"> → la desviación y curtosis quedan dentro de 2,5-3,8.</w:t>
      </w:r>
    </w:p>
    <w:p w14:paraId="5792858E" w14:textId="77777777" w:rsidR="002F3866" w:rsidRPr="002F3866" w:rsidRDefault="002F3866" w:rsidP="002F3866">
      <w:pPr>
        <w:pStyle w:val="NormalWeb"/>
        <w:jc w:val="both"/>
        <w:rPr>
          <w:rFonts w:ascii="Arial" w:hAnsi="Arial" w:cs="Arial"/>
          <w:sz w:val="22"/>
          <w:szCs w:val="22"/>
          <w:lang w:val="es-PE"/>
        </w:rPr>
      </w:pPr>
      <w:r w:rsidRPr="002F3866">
        <w:rPr>
          <w:rFonts w:ascii="Arial" w:hAnsi="Arial" w:cs="Arial"/>
          <w:sz w:val="22"/>
          <w:szCs w:val="22"/>
          <w:lang w:val="es-PE"/>
        </w:rPr>
        <w:t>En conjunto, los resultados muestran que el arancel de 10 % prende una “triple alarma”: reduce el margen de exportación casi 10 %, castiga más a la pequeña minería e imposibilita que programas regionales de infraestructura alcancen sus metas. El riesgo se duplica con un sol fuerte, pero puede recortarse a la mitad con planes de eficiencia bien ejecutados. Cualquier política pública o corporativa que ignore estos números corre el riesgo de erosionar la ventaja competitiva del Perú como proveedor estratégico de cobre en la transición energética global.</w:t>
      </w:r>
    </w:p>
    <w:p w14:paraId="062E7130" w14:textId="77777777" w:rsidR="00672446" w:rsidRPr="009B4C89" w:rsidRDefault="00672446" w:rsidP="009B4C89">
      <w:pPr>
        <w:spacing w:line="240" w:lineRule="auto"/>
        <w:ind w:left="-360"/>
        <w:jc w:val="both"/>
        <w:rPr>
          <w:rFonts w:cs="Arial"/>
          <w:lang w:val="es-PE"/>
        </w:rPr>
      </w:pPr>
    </w:p>
    <w:p w14:paraId="70CF762E" w14:textId="77777777" w:rsidR="002E350E" w:rsidRPr="002F3866" w:rsidRDefault="00000000" w:rsidP="009B4C89">
      <w:pPr>
        <w:pStyle w:val="Heading1"/>
        <w:spacing w:line="240" w:lineRule="auto"/>
        <w:rPr>
          <w:rFonts w:ascii="Arial" w:hAnsi="Arial" w:cs="Arial"/>
          <w:sz w:val="22"/>
          <w:szCs w:val="22"/>
          <w:lang w:val="es-PE"/>
        </w:rPr>
      </w:pPr>
      <w:r w:rsidRPr="002F3866">
        <w:rPr>
          <w:rFonts w:ascii="Arial" w:hAnsi="Arial" w:cs="Arial"/>
          <w:sz w:val="22"/>
          <w:szCs w:val="22"/>
          <w:lang w:val="es-PE"/>
        </w:rPr>
        <w:t>5. Conclusiones</w:t>
      </w:r>
    </w:p>
    <w:p w14:paraId="1FB9189C" w14:textId="3BC773FD" w:rsidR="002F3866" w:rsidRDefault="002F3866" w:rsidP="002F3866">
      <w:pPr>
        <w:pStyle w:val="ListBullet"/>
        <w:numPr>
          <w:ilvl w:val="0"/>
          <w:numId w:val="0"/>
        </w:numPr>
        <w:spacing w:line="240" w:lineRule="auto"/>
        <w:jc w:val="both"/>
        <w:rPr>
          <w:rFonts w:cs="Arial"/>
          <w:lang w:val="es-PE"/>
        </w:rPr>
      </w:pPr>
      <w:r w:rsidRPr="002F3866">
        <w:rPr>
          <w:rFonts w:cs="Arial"/>
          <w:lang w:val="es-PE"/>
        </w:rPr>
        <w:t xml:space="preserve">Los resultados cuantitativos —basados en 10 000 simulaciones Monte Carlo, dos shocks de sensibilidad y un modelo econométrico con R² = 0,95— permiten extraer conclusiones sólidas sobre la magnitud, las causas y la mitigación del impacto arancelario. A </w:t>
      </w:r>
      <w:proofErr w:type="gramStart"/>
      <w:r w:rsidRPr="002F3866">
        <w:rPr>
          <w:rFonts w:cs="Arial"/>
          <w:lang w:val="es-PE"/>
        </w:rPr>
        <w:t>continuación</w:t>
      </w:r>
      <w:proofErr w:type="gramEnd"/>
      <w:r w:rsidRPr="002F3866">
        <w:rPr>
          <w:rFonts w:cs="Arial"/>
          <w:lang w:val="es-PE"/>
        </w:rPr>
        <w:t xml:space="preserve"> se presentan cinco conclusiones detalladas, vinculadas de forma directa con los hallazgos de la Sección 4.</w:t>
      </w:r>
    </w:p>
    <w:p w14:paraId="6D8EB97B" w14:textId="77777777" w:rsidR="002F3866" w:rsidRDefault="002F3866" w:rsidP="002F3866">
      <w:pPr>
        <w:pStyle w:val="ListBullet"/>
        <w:numPr>
          <w:ilvl w:val="0"/>
          <w:numId w:val="0"/>
        </w:numPr>
        <w:spacing w:line="240" w:lineRule="auto"/>
        <w:ind w:left="360" w:hanging="360"/>
        <w:rPr>
          <w:rFonts w:cs="Arial"/>
          <w:lang w:val="es-PE"/>
        </w:rPr>
      </w:pPr>
    </w:p>
    <w:p w14:paraId="1871933A" w14:textId="51DE7069" w:rsidR="002F3866" w:rsidRPr="002F3866" w:rsidRDefault="002F3866" w:rsidP="002F3866">
      <w:pPr>
        <w:pStyle w:val="ListBullet"/>
        <w:spacing w:line="240" w:lineRule="auto"/>
        <w:rPr>
          <w:rFonts w:cs="Arial"/>
        </w:rPr>
      </w:pPr>
      <w:proofErr w:type="spellStart"/>
      <w:r w:rsidRPr="002F3866">
        <w:rPr>
          <w:rFonts w:cs="Arial"/>
          <w:b/>
          <w:bCs/>
        </w:rPr>
        <w:t>Caída</w:t>
      </w:r>
      <w:proofErr w:type="spellEnd"/>
      <w:r w:rsidRPr="002F3866">
        <w:rPr>
          <w:rFonts w:cs="Arial"/>
          <w:b/>
          <w:bCs/>
        </w:rPr>
        <w:t xml:space="preserve"> </w:t>
      </w:r>
      <w:proofErr w:type="spellStart"/>
      <w:r w:rsidRPr="002F3866">
        <w:rPr>
          <w:rFonts w:cs="Arial"/>
          <w:b/>
          <w:bCs/>
        </w:rPr>
        <w:t>estructural</w:t>
      </w:r>
      <w:proofErr w:type="spellEnd"/>
      <w:r w:rsidRPr="002F3866">
        <w:rPr>
          <w:rFonts w:cs="Arial"/>
          <w:b/>
          <w:bCs/>
        </w:rPr>
        <w:t xml:space="preserve"> de </w:t>
      </w:r>
      <w:proofErr w:type="spellStart"/>
      <w:r w:rsidRPr="002F3866">
        <w:rPr>
          <w:rFonts w:cs="Arial"/>
          <w:b/>
          <w:bCs/>
        </w:rPr>
        <w:t>competitividad</w:t>
      </w:r>
      <w:proofErr w:type="spellEnd"/>
      <w:r w:rsidRPr="002F3866">
        <w:rPr>
          <w:rFonts w:cs="Arial"/>
          <w:b/>
          <w:bCs/>
        </w:rPr>
        <w:t xml:space="preserve"> (−9,7 %).</w:t>
      </w:r>
    </w:p>
    <w:p w14:paraId="5829D07D" w14:textId="77777777" w:rsidR="002F3866" w:rsidRPr="002F3866" w:rsidRDefault="002F3866" w:rsidP="00297161">
      <w:pPr>
        <w:pStyle w:val="ListBullet"/>
        <w:tabs>
          <w:tab w:val="num" w:pos="1897"/>
        </w:tabs>
        <w:ind w:left="720"/>
        <w:rPr>
          <w:lang w:val="es-PE"/>
        </w:rPr>
      </w:pPr>
      <w:r w:rsidRPr="002F3866">
        <w:rPr>
          <w:lang w:val="es-PE"/>
        </w:rPr>
        <w:t xml:space="preserve">El arancel del 10 % reduce el ingreso neto de exportación (NER) promedio en </w:t>
      </w:r>
      <w:r w:rsidRPr="002F3866">
        <w:rPr>
          <w:b/>
          <w:bCs/>
          <w:lang w:val="es-PE"/>
        </w:rPr>
        <w:t>9,7 %</w:t>
      </w:r>
      <w:r w:rsidRPr="002F3866">
        <w:rPr>
          <w:lang w:val="es-PE"/>
        </w:rPr>
        <w:t>.</w:t>
      </w:r>
    </w:p>
    <w:p w14:paraId="573042FF" w14:textId="77777777" w:rsidR="002F3866" w:rsidRPr="002F3866" w:rsidRDefault="002F3866" w:rsidP="00297161">
      <w:pPr>
        <w:pStyle w:val="ListBullet"/>
        <w:tabs>
          <w:tab w:val="num" w:pos="1897"/>
        </w:tabs>
        <w:ind w:left="720"/>
        <w:rPr>
          <w:lang w:val="es-PE"/>
        </w:rPr>
      </w:pPr>
      <w:r w:rsidRPr="002F3866">
        <w:rPr>
          <w:lang w:val="es-PE"/>
        </w:rPr>
        <w:t xml:space="preserve">Minas pequeñas (20–50 </w:t>
      </w:r>
      <w:proofErr w:type="spellStart"/>
      <w:r w:rsidRPr="002F3866">
        <w:rPr>
          <w:lang w:val="es-PE"/>
        </w:rPr>
        <w:t>kt</w:t>
      </w:r>
      <w:proofErr w:type="spellEnd"/>
      <w:r w:rsidRPr="002F3866">
        <w:rPr>
          <w:lang w:val="es-PE"/>
        </w:rPr>
        <w:t xml:space="preserve"> Cu/a) registran una merma de </w:t>
      </w:r>
      <w:r w:rsidRPr="002F3866">
        <w:rPr>
          <w:b/>
          <w:bCs/>
          <w:lang w:val="es-PE"/>
        </w:rPr>
        <w:t>12,4 %</w:t>
      </w:r>
      <w:r w:rsidRPr="002F3866">
        <w:rPr>
          <w:lang w:val="es-PE"/>
        </w:rPr>
        <w:t xml:space="preserve">, 40 % superior al impacto en la gran minería </w:t>
      </w:r>
      <w:r w:rsidRPr="002F3866">
        <w:rPr>
          <w:b/>
          <w:bCs/>
          <w:lang w:val="es-PE"/>
        </w:rPr>
        <w:t>(8,7 %)</w:t>
      </w:r>
      <w:r w:rsidRPr="002F3866">
        <w:rPr>
          <w:lang w:val="es-PE"/>
        </w:rPr>
        <w:t>, debido a su mayor proporción de costos fijos y menor poder de negociación logística.</w:t>
      </w:r>
    </w:p>
    <w:p w14:paraId="71870694" w14:textId="70763431" w:rsidR="002F3866" w:rsidRPr="002F3866" w:rsidRDefault="002F3866" w:rsidP="002F3866">
      <w:pPr>
        <w:pStyle w:val="ListBullet"/>
        <w:spacing w:line="240" w:lineRule="auto"/>
        <w:jc w:val="both"/>
        <w:rPr>
          <w:rFonts w:cs="Arial"/>
          <w:lang w:val="es-PE"/>
        </w:rPr>
      </w:pPr>
      <w:r w:rsidRPr="002F3866">
        <w:rPr>
          <w:rFonts w:cs="Arial"/>
          <w:b/>
          <w:bCs/>
          <w:lang w:val="es-PE"/>
        </w:rPr>
        <w:t>Riesgo cambiario amplificador y rol de la eficiencia.</w:t>
      </w:r>
    </w:p>
    <w:p w14:paraId="641442B7" w14:textId="77777777" w:rsidR="002F3866" w:rsidRPr="002F3866" w:rsidRDefault="002F3866" w:rsidP="002F3866">
      <w:pPr>
        <w:pStyle w:val="ListBullet"/>
        <w:numPr>
          <w:ilvl w:val="0"/>
          <w:numId w:val="30"/>
        </w:numPr>
        <w:spacing w:line="240" w:lineRule="auto"/>
        <w:jc w:val="both"/>
        <w:rPr>
          <w:rFonts w:cs="Arial"/>
          <w:lang w:val="es-PE"/>
        </w:rPr>
      </w:pPr>
      <w:r w:rsidRPr="002F3866">
        <w:rPr>
          <w:rFonts w:cs="Arial"/>
          <w:lang w:val="es-PE"/>
        </w:rPr>
        <w:t xml:space="preserve">Una apreciación simultánea del </w:t>
      </w:r>
      <w:r w:rsidRPr="002F3866">
        <w:rPr>
          <w:rFonts w:cs="Arial"/>
          <w:b/>
          <w:bCs/>
          <w:lang w:val="es-PE"/>
        </w:rPr>
        <w:t>PEN en 5 %</w:t>
      </w:r>
      <w:r w:rsidRPr="002F3866">
        <w:rPr>
          <w:rFonts w:cs="Arial"/>
          <w:lang w:val="es-PE"/>
        </w:rPr>
        <w:t xml:space="preserve"> eleva la pérdida media a </w:t>
      </w:r>
      <w:r w:rsidRPr="002F3866">
        <w:rPr>
          <w:rFonts w:cs="Arial"/>
          <w:b/>
          <w:bCs/>
          <w:lang w:val="es-PE"/>
        </w:rPr>
        <w:t>14 %</w:t>
      </w:r>
      <w:r w:rsidRPr="002F3866">
        <w:rPr>
          <w:rFonts w:cs="Arial"/>
          <w:lang w:val="es-PE"/>
        </w:rPr>
        <w:t>, al encarecer en dólares los costos denominados en moneda local.</w:t>
      </w:r>
    </w:p>
    <w:p w14:paraId="7850567F" w14:textId="77777777" w:rsidR="002F3866" w:rsidRPr="002F3866" w:rsidRDefault="002F3866" w:rsidP="002F3866">
      <w:pPr>
        <w:pStyle w:val="ListBullet"/>
        <w:numPr>
          <w:ilvl w:val="0"/>
          <w:numId w:val="30"/>
        </w:numPr>
        <w:spacing w:line="240" w:lineRule="auto"/>
        <w:jc w:val="both"/>
        <w:rPr>
          <w:rFonts w:cs="Arial"/>
          <w:lang w:val="es-PE"/>
        </w:rPr>
      </w:pPr>
      <w:r w:rsidRPr="002F3866">
        <w:rPr>
          <w:rFonts w:cs="Arial"/>
          <w:lang w:val="es-PE"/>
        </w:rPr>
        <w:t xml:space="preserve">Un programa de eficiencia que reduzca el OPEX </w:t>
      </w:r>
      <w:r w:rsidRPr="002F3866">
        <w:rPr>
          <w:rFonts w:cs="Arial"/>
          <w:b/>
          <w:bCs/>
          <w:lang w:val="es-PE"/>
        </w:rPr>
        <w:t>en 4 %</w:t>
      </w:r>
      <w:r w:rsidRPr="002F3866">
        <w:rPr>
          <w:rFonts w:cs="Arial"/>
          <w:lang w:val="es-PE"/>
        </w:rPr>
        <w:t xml:space="preserve"> mitiga el daño a </w:t>
      </w:r>
      <w:r w:rsidRPr="002F3866">
        <w:rPr>
          <w:rFonts w:cs="Arial"/>
          <w:b/>
          <w:bCs/>
          <w:lang w:val="es-PE"/>
        </w:rPr>
        <w:t>5,6 %</w:t>
      </w:r>
      <w:r w:rsidRPr="002F3866">
        <w:rPr>
          <w:rFonts w:cs="Arial"/>
          <w:lang w:val="es-PE"/>
        </w:rPr>
        <w:t xml:space="preserve">, recuperando ~42 % del margen perdido y fijando la regla práctica: </w:t>
      </w:r>
      <w:r w:rsidRPr="002F3866">
        <w:rPr>
          <w:rFonts w:cs="Arial"/>
          <w:i/>
          <w:iCs/>
          <w:lang w:val="es-PE"/>
        </w:rPr>
        <w:t>“Eficiencia (%) ≥ 2,3 × Shock FX (%)”</w:t>
      </w:r>
      <w:r w:rsidRPr="002F3866">
        <w:rPr>
          <w:rFonts w:cs="Arial"/>
          <w:lang w:val="es-PE"/>
        </w:rPr>
        <w:t xml:space="preserve"> para neutralizar el efecto combinado de arancel y tipo de cambio.</w:t>
      </w:r>
    </w:p>
    <w:p w14:paraId="3D13352E" w14:textId="3E984C8B" w:rsidR="002F3866" w:rsidRPr="002F3866" w:rsidRDefault="002F3866" w:rsidP="002F3866">
      <w:pPr>
        <w:pStyle w:val="ListBullet"/>
        <w:spacing w:line="240" w:lineRule="auto"/>
        <w:jc w:val="both"/>
        <w:rPr>
          <w:rFonts w:cs="Arial"/>
          <w:lang w:val="es-PE"/>
        </w:rPr>
      </w:pPr>
      <w:r w:rsidRPr="002F3866">
        <w:rPr>
          <w:rFonts w:cs="Arial"/>
          <w:b/>
          <w:bCs/>
          <w:lang w:val="es-PE"/>
        </w:rPr>
        <w:t>Impacto fiscal regresivo (–134 M USD/año).</w:t>
      </w:r>
    </w:p>
    <w:p w14:paraId="24EC070B" w14:textId="77777777" w:rsidR="002F3866" w:rsidRPr="002F3866" w:rsidRDefault="002F3866" w:rsidP="002F3866">
      <w:pPr>
        <w:pStyle w:val="ListBullet"/>
        <w:numPr>
          <w:ilvl w:val="0"/>
          <w:numId w:val="31"/>
        </w:numPr>
        <w:spacing w:line="240" w:lineRule="auto"/>
        <w:jc w:val="both"/>
        <w:rPr>
          <w:rFonts w:cs="Arial"/>
          <w:lang w:val="es-PE"/>
        </w:rPr>
      </w:pPr>
      <w:r w:rsidRPr="002F3866">
        <w:rPr>
          <w:rFonts w:cs="Arial"/>
          <w:lang w:val="es-PE"/>
        </w:rPr>
        <w:t xml:space="preserve">La contracción del NER disminuye la base imponible de la regalía (7 %) en </w:t>
      </w:r>
      <w:r w:rsidRPr="002F3866">
        <w:rPr>
          <w:rFonts w:cs="Arial"/>
          <w:b/>
          <w:bCs/>
          <w:lang w:val="es-PE"/>
        </w:rPr>
        <w:t>1 893 M USD</w:t>
      </w:r>
      <w:r w:rsidRPr="002F3866">
        <w:rPr>
          <w:rFonts w:cs="Arial"/>
          <w:lang w:val="es-PE"/>
        </w:rPr>
        <w:t xml:space="preserve">, originando un déficit de </w:t>
      </w:r>
      <w:r w:rsidRPr="002F3866">
        <w:rPr>
          <w:rFonts w:cs="Arial"/>
          <w:b/>
          <w:bCs/>
          <w:lang w:val="es-PE"/>
        </w:rPr>
        <w:t>134 M USD</w:t>
      </w:r>
      <w:r w:rsidRPr="002F3866">
        <w:rPr>
          <w:rFonts w:cs="Arial"/>
          <w:lang w:val="es-PE"/>
        </w:rPr>
        <w:t xml:space="preserve"> anuales en canon y regalías.</w:t>
      </w:r>
    </w:p>
    <w:p w14:paraId="0DD708F7" w14:textId="77777777" w:rsidR="002F3866" w:rsidRPr="002F3866" w:rsidRDefault="002F3866" w:rsidP="002F3866">
      <w:pPr>
        <w:pStyle w:val="ListBullet"/>
        <w:numPr>
          <w:ilvl w:val="0"/>
          <w:numId w:val="31"/>
        </w:numPr>
        <w:spacing w:line="240" w:lineRule="auto"/>
        <w:jc w:val="both"/>
        <w:rPr>
          <w:rFonts w:cs="Arial"/>
          <w:lang w:val="es-PE"/>
        </w:rPr>
      </w:pPr>
      <w:r w:rsidRPr="002F3866">
        <w:rPr>
          <w:rFonts w:cs="Arial"/>
          <w:lang w:val="es-PE"/>
        </w:rPr>
        <w:t xml:space="preserve">Regiones </w:t>
      </w:r>
      <w:proofErr w:type="gramStart"/>
      <w:r w:rsidRPr="002F3866">
        <w:rPr>
          <w:rFonts w:cs="Arial"/>
          <w:lang w:val="es-PE"/>
        </w:rPr>
        <w:t>alto-andinas</w:t>
      </w:r>
      <w:proofErr w:type="gramEnd"/>
      <w:r w:rsidRPr="002F3866">
        <w:rPr>
          <w:rFonts w:cs="Arial"/>
          <w:lang w:val="es-PE"/>
        </w:rPr>
        <w:t xml:space="preserve"> como </w:t>
      </w:r>
      <w:r w:rsidRPr="002F3866">
        <w:rPr>
          <w:rFonts w:cs="Arial"/>
          <w:b/>
          <w:bCs/>
          <w:lang w:val="es-PE"/>
        </w:rPr>
        <w:t>Cajamarca</w:t>
      </w:r>
      <w:r w:rsidRPr="002F3866">
        <w:rPr>
          <w:rFonts w:cs="Arial"/>
          <w:lang w:val="es-PE"/>
        </w:rPr>
        <w:t xml:space="preserve"> y </w:t>
      </w:r>
      <w:r w:rsidRPr="002F3866">
        <w:rPr>
          <w:rFonts w:cs="Arial"/>
          <w:b/>
          <w:bCs/>
          <w:lang w:val="es-PE"/>
        </w:rPr>
        <w:t>Apurímac</w:t>
      </w:r>
      <w:r w:rsidRPr="002F3866">
        <w:rPr>
          <w:rFonts w:cs="Arial"/>
          <w:lang w:val="es-PE"/>
        </w:rPr>
        <w:t xml:space="preserve"> ven caer sus transferencias en S/ 197 M y S/ 168 M, respectivamente —equivalente a &gt; 100 % de sus programas viales anuales.</w:t>
      </w:r>
    </w:p>
    <w:p w14:paraId="0D7FA8A7" w14:textId="09EAF0A5" w:rsidR="002F3866" w:rsidRPr="002F3866" w:rsidRDefault="002F3866" w:rsidP="002F3866">
      <w:pPr>
        <w:pStyle w:val="ListBullet"/>
        <w:spacing w:line="240" w:lineRule="auto"/>
        <w:jc w:val="both"/>
        <w:rPr>
          <w:rFonts w:cs="Arial"/>
          <w:lang w:val="es-PE"/>
        </w:rPr>
      </w:pPr>
      <w:r w:rsidRPr="002F3866">
        <w:rPr>
          <w:rFonts w:cs="Arial"/>
          <w:b/>
          <w:bCs/>
          <w:lang w:val="es-PE"/>
        </w:rPr>
        <w:t>Tripleta explicativa de la pérdida (95 % de varianza).</w:t>
      </w:r>
    </w:p>
    <w:p w14:paraId="7575B5A1" w14:textId="77777777" w:rsidR="002F3866" w:rsidRPr="002F3866" w:rsidRDefault="002F3866" w:rsidP="002F3866">
      <w:pPr>
        <w:pStyle w:val="ListBullet"/>
        <w:numPr>
          <w:ilvl w:val="0"/>
          <w:numId w:val="32"/>
        </w:numPr>
        <w:spacing w:line="240" w:lineRule="auto"/>
        <w:jc w:val="both"/>
        <w:rPr>
          <w:rFonts w:cs="Arial"/>
          <w:lang w:val="es-PE"/>
        </w:rPr>
      </w:pPr>
      <w:r w:rsidRPr="002F3866">
        <w:rPr>
          <w:rFonts w:cs="Arial"/>
          <w:lang w:val="es-PE"/>
        </w:rPr>
        <w:t>La regresión OLS identifica tres palancas:</w:t>
      </w:r>
    </w:p>
    <w:p w14:paraId="3FC5CCB6" w14:textId="77777777" w:rsidR="002F3866" w:rsidRPr="002F3866" w:rsidRDefault="002F3866" w:rsidP="002F3866">
      <w:pPr>
        <w:pStyle w:val="ListBullet"/>
        <w:numPr>
          <w:ilvl w:val="1"/>
          <w:numId w:val="32"/>
        </w:numPr>
        <w:spacing w:line="240" w:lineRule="auto"/>
        <w:jc w:val="both"/>
        <w:rPr>
          <w:rFonts w:cs="Arial"/>
          <w:lang w:val="es-PE"/>
        </w:rPr>
      </w:pPr>
      <w:r w:rsidRPr="002F3866">
        <w:rPr>
          <w:rFonts w:cs="Arial"/>
          <w:b/>
          <w:bCs/>
          <w:lang w:val="es-PE"/>
        </w:rPr>
        <w:t>Escala operativa</w:t>
      </w:r>
      <w:r w:rsidRPr="002F3866">
        <w:rPr>
          <w:rFonts w:cs="Arial"/>
          <w:lang w:val="es-PE"/>
        </w:rPr>
        <w:t xml:space="preserve"> (</w:t>
      </w:r>
      <w:r w:rsidRPr="002F3866">
        <w:rPr>
          <w:rFonts w:cs="Arial"/>
        </w:rPr>
        <w:t>β</w:t>
      </w:r>
      <w:r w:rsidRPr="002F3866">
        <w:rPr>
          <w:rFonts w:cs="Arial"/>
          <w:lang w:val="es-PE"/>
        </w:rPr>
        <w:t xml:space="preserve"> = +0,037) — ser mina pequeña agrega 3,7 p.p. de pérdida.</w:t>
      </w:r>
    </w:p>
    <w:p w14:paraId="224B3943" w14:textId="77777777" w:rsidR="002F3866" w:rsidRPr="002F3866" w:rsidRDefault="002F3866" w:rsidP="002F3866">
      <w:pPr>
        <w:pStyle w:val="ListBullet"/>
        <w:numPr>
          <w:ilvl w:val="1"/>
          <w:numId w:val="32"/>
        </w:numPr>
        <w:spacing w:line="240" w:lineRule="auto"/>
        <w:jc w:val="both"/>
        <w:rPr>
          <w:rFonts w:cs="Arial"/>
          <w:lang w:val="es-PE"/>
        </w:rPr>
      </w:pPr>
      <w:r w:rsidRPr="002F3866">
        <w:rPr>
          <w:rFonts w:cs="Arial"/>
          <w:b/>
          <w:bCs/>
          <w:lang w:val="es-PE"/>
        </w:rPr>
        <w:t>Participación de costos</w:t>
      </w:r>
      <w:r w:rsidRPr="002F3866">
        <w:rPr>
          <w:rFonts w:cs="Arial"/>
          <w:lang w:val="es-PE"/>
        </w:rPr>
        <w:t xml:space="preserve"> (</w:t>
      </w:r>
      <w:r w:rsidRPr="002F3866">
        <w:rPr>
          <w:rFonts w:cs="Arial"/>
        </w:rPr>
        <w:t>β</w:t>
      </w:r>
      <w:r w:rsidRPr="002F3866">
        <w:rPr>
          <w:rFonts w:cs="Arial"/>
          <w:lang w:val="es-PE"/>
        </w:rPr>
        <w:t xml:space="preserve"> = +0,080) — cada punto de OPEX/ventas eleva el impacto 0,08 p.p.</w:t>
      </w:r>
    </w:p>
    <w:p w14:paraId="3AE07C55" w14:textId="77777777" w:rsidR="002F3866" w:rsidRPr="002F3866" w:rsidRDefault="002F3866" w:rsidP="002F3866">
      <w:pPr>
        <w:pStyle w:val="ListBullet"/>
        <w:numPr>
          <w:ilvl w:val="1"/>
          <w:numId w:val="32"/>
        </w:numPr>
        <w:spacing w:line="240" w:lineRule="auto"/>
        <w:jc w:val="both"/>
        <w:rPr>
          <w:rFonts w:cs="Arial"/>
          <w:lang w:val="es-PE"/>
        </w:rPr>
      </w:pPr>
      <w:r w:rsidRPr="002F3866">
        <w:rPr>
          <w:rFonts w:cs="Arial"/>
          <w:b/>
          <w:bCs/>
          <w:lang w:val="es-PE"/>
        </w:rPr>
        <w:t>Tasa arancelaria efectiva</w:t>
      </w:r>
      <w:r w:rsidRPr="002F3866">
        <w:rPr>
          <w:rFonts w:cs="Arial"/>
          <w:lang w:val="es-PE"/>
        </w:rPr>
        <w:t xml:space="preserve"> (</w:t>
      </w:r>
      <w:r w:rsidRPr="002F3866">
        <w:rPr>
          <w:rFonts w:cs="Arial"/>
        </w:rPr>
        <w:t>β</w:t>
      </w:r>
      <w:r w:rsidRPr="002F3866">
        <w:rPr>
          <w:rFonts w:cs="Arial"/>
          <w:lang w:val="es-PE"/>
        </w:rPr>
        <w:t xml:space="preserve"> = +1,018) — transmisión prácticamente </w:t>
      </w:r>
      <w:proofErr w:type="gramStart"/>
      <w:r w:rsidRPr="002F3866">
        <w:rPr>
          <w:rFonts w:cs="Arial"/>
          <w:lang w:val="es-PE"/>
        </w:rPr>
        <w:t>1 :</w:t>
      </w:r>
      <w:proofErr w:type="gramEnd"/>
      <w:r w:rsidRPr="002F3866">
        <w:rPr>
          <w:rFonts w:cs="Arial"/>
          <w:lang w:val="es-PE"/>
        </w:rPr>
        <w:t xml:space="preserve"> 1 al margen.</w:t>
      </w:r>
    </w:p>
    <w:p w14:paraId="510E9D2C" w14:textId="77777777" w:rsidR="002F3866" w:rsidRPr="002F3866" w:rsidRDefault="002F3866" w:rsidP="002F3866">
      <w:pPr>
        <w:pStyle w:val="ListBullet"/>
        <w:numPr>
          <w:ilvl w:val="0"/>
          <w:numId w:val="32"/>
        </w:numPr>
        <w:spacing w:line="240" w:lineRule="auto"/>
        <w:jc w:val="both"/>
        <w:rPr>
          <w:rFonts w:cs="Arial"/>
          <w:lang w:val="es-PE"/>
        </w:rPr>
      </w:pPr>
      <w:r w:rsidRPr="002F3866">
        <w:rPr>
          <w:rFonts w:cs="Arial"/>
          <w:lang w:val="es-PE"/>
        </w:rPr>
        <w:t xml:space="preserve">Juntas explican </w:t>
      </w:r>
      <w:r w:rsidRPr="002F3866">
        <w:rPr>
          <w:rFonts w:cs="Arial"/>
          <w:b/>
          <w:bCs/>
          <w:lang w:val="es-PE"/>
        </w:rPr>
        <w:t>95 %</w:t>
      </w:r>
      <w:r w:rsidRPr="002F3866">
        <w:rPr>
          <w:rFonts w:cs="Arial"/>
          <w:lang w:val="es-PE"/>
        </w:rPr>
        <w:t xml:space="preserve"> de la variabilidad de los resultados, lo que las convierte en dianas prioritarias para la política pública y la gestión corporativa.</w:t>
      </w:r>
    </w:p>
    <w:p w14:paraId="38B08816" w14:textId="18CAF087" w:rsidR="002F3866" w:rsidRPr="002F3866" w:rsidRDefault="002F3866" w:rsidP="002F3866">
      <w:pPr>
        <w:pStyle w:val="ListBullet"/>
        <w:spacing w:line="240" w:lineRule="auto"/>
        <w:jc w:val="both"/>
        <w:rPr>
          <w:rFonts w:cs="Arial"/>
          <w:lang w:val="es-PE"/>
        </w:rPr>
      </w:pPr>
      <w:r w:rsidRPr="002F3866">
        <w:rPr>
          <w:rFonts w:cs="Arial"/>
          <w:b/>
          <w:bCs/>
          <w:lang w:val="es-PE"/>
        </w:rPr>
        <w:t>Recomendaciones de política y gestión.</w:t>
      </w:r>
    </w:p>
    <w:p w14:paraId="67618B6E" w14:textId="77777777" w:rsidR="002F3866" w:rsidRPr="002F3866" w:rsidRDefault="002F3866" w:rsidP="002F3866">
      <w:pPr>
        <w:pStyle w:val="ListBullet"/>
        <w:numPr>
          <w:ilvl w:val="0"/>
          <w:numId w:val="33"/>
        </w:numPr>
        <w:spacing w:line="240" w:lineRule="auto"/>
        <w:jc w:val="both"/>
        <w:rPr>
          <w:rFonts w:cs="Arial"/>
          <w:lang w:val="es-PE"/>
        </w:rPr>
      </w:pPr>
      <w:r w:rsidRPr="002F3866">
        <w:rPr>
          <w:rFonts w:cs="Arial"/>
          <w:b/>
          <w:bCs/>
          <w:lang w:val="es-PE"/>
        </w:rPr>
        <w:t>Créditos tributarios verdes</w:t>
      </w:r>
      <w:r w:rsidRPr="002F3866">
        <w:rPr>
          <w:rFonts w:cs="Arial"/>
          <w:lang w:val="es-PE"/>
        </w:rPr>
        <w:t>: otorgar una deducción adicional del 50 % sobre inversiones que reduzcan OPEX ≥ 4 % o emisiones de GEI; el incentivo amortigua el choque sin comprometer recaudación neta.</w:t>
      </w:r>
    </w:p>
    <w:p w14:paraId="242EFA31" w14:textId="77777777" w:rsidR="002F3866" w:rsidRPr="002F3866" w:rsidRDefault="002F3866" w:rsidP="002F3866">
      <w:pPr>
        <w:pStyle w:val="ListBullet"/>
        <w:numPr>
          <w:ilvl w:val="0"/>
          <w:numId w:val="33"/>
        </w:numPr>
        <w:spacing w:line="240" w:lineRule="auto"/>
        <w:jc w:val="both"/>
        <w:rPr>
          <w:rFonts w:cs="Arial"/>
          <w:lang w:val="es-PE"/>
        </w:rPr>
      </w:pPr>
      <w:proofErr w:type="spellStart"/>
      <w:r w:rsidRPr="002F3866">
        <w:rPr>
          <w:rFonts w:cs="Arial"/>
          <w:b/>
          <w:bCs/>
          <w:lang w:val="es-PE"/>
        </w:rPr>
        <w:t>Fast-track</w:t>
      </w:r>
      <w:proofErr w:type="spellEnd"/>
      <w:r w:rsidRPr="002F3866">
        <w:rPr>
          <w:rFonts w:cs="Arial"/>
          <w:b/>
          <w:bCs/>
          <w:lang w:val="es-PE"/>
        </w:rPr>
        <w:t xml:space="preserve"> de devolución de IGV en exploración</w:t>
      </w:r>
      <w:r w:rsidRPr="002F3866">
        <w:rPr>
          <w:rFonts w:cs="Arial"/>
          <w:lang w:val="es-PE"/>
        </w:rPr>
        <w:t>: acortar el ciclo de 13 a 3 meses mejora el VAN de nuevos proyectos en 2-3 %, compensando parte del aumento de arancel.</w:t>
      </w:r>
    </w:p>
    <w:p w14:paraId="3940ED9D" w14:textId="77777777" w:rsidR="002F3866" w:rsidRPr="002F3866" w:rsidRDefault="002F3866" w:rsidP="002F3866">
      <w:pPr>
        <w:pStyle w:val="ListBullet"/>
        <w:numPr>
          <w:ilvl w:val="0"/>
          <w:numId w:val="33"/>
        </w:numPr>
        <w:jc w:val="both"/>
        <w:rPr>
          <w:rFonts w:cs="Arial"/>
          <w:lang w:val="es-PE"/>
        </w:rPr>
      </w:pPr>
      <w:r w:rsidRPr="002F3866">
        <w:rPr>
          <w:rFonts w:cs="Arial"/>
          <w:b/>
          <w:bCs/>
          <w:lang w:val="es-PE"/>
        </w:rPr>
        <w:t>Refuerzo de tratados bilaterales y cláusulas de estabilidad</w:t>
      </w:r>
      <w:r w:rsidRPr="002F3866">
        <w:rPr>
          <w:rFonts w:cs="Arial"/>
          <w:lang w:val="es-PE"/>
        </w:rPr>
        <w:t xml:space="preserve">: integrar al TLC con EE. UU. un capítulo de minerales críticos que excluya nuevos gravámenes, evitando el desplazamiento de CAPEX estimado en </w:t>
      </w:r>
      <w:r w:rsidRPr="002F3866">
        <w:rPr>
          <w:rFonts w:cs="Arial"/>
          <w:b/>
          <w:bCs/>
          <w:lang w:val="es-PE"/>
        </w:rPr>
        <w:t>3,8 G USD</w:t>
      </w:r>
      <w:r w:rsidRPr="002F3866">
        <w:rPr>
          <w:rFonts w:cs="Arial"/>
          <w:lang w:val="es-PE"/>
        </w:rPr>
        <w:t xml:space="preserve"> hacia Canadá y México.</w:t>
      </w:r>
    </w:p>
    <w:p w14:paraId="0A0253AE" w14:textId="77777777" w:rsidR="002F3866" w:rsidRDefault="002F3866" w:rsidP="002F3866">
      <w:pPr>
        <w:pStyle w:val="ListBullet"/>
        <w:numPr>
          <w:ilvl w:val="0"/>
          <w:numId w:val="0"/>
        </w:numPr>
        <w:spacing w:line="240" w:lineRule="auto"/>
        <w:ind w:left="360" w:hanging="360"/>
        <w:jc w:val="both"/>
        <w:rPr>
          <w:rFonts w:cs="Arial"/>
          <w:lang w:val="es-PE"/>
        </w:rPr>
      </w:pPr>
    </w:p>
    <w:p w14:paraId="374EA8C6" w14:textId="77777777" w:rsidR="002F3866" w:rsidRPr="002F3866" w:rsidRDefault="002F3866" w:rsidP="002F3866">
      <w:pPr>
        <w:pStyle w:val="ListBullet"/>
        <w:numPr>
          <w:ilvl w:val="0"/>
          <w:numId w:val="0"/>
        </w:numPr>
        <w:spacing w:line="240" w:lineRule="auto"/>
        <w:jc w:val="both"/>
        <w:rPr>
          <w:rFonts w:cs="Arial"/>
          <w:lang w:val="es-PE"/>
        </w:rPr>
      </w:pPr>
      <w:r w:rsidRPr="002F3866">
        <w:rPr>
          <w:rFonts w:cs="Arial"/>
          <w:lang w:val="es-PE"/>
        </w:rPr>
        <w:t>En conjunto, estas conclusiones confirman que el arancel del 10 % —sin amortiguadores— erosiona la competitividad del cobre peruano, agrava la vulnerabilidad de la pequeña minería y compromete recursos fiscales esenciales para el desarrollo regional. No obstante, una combinación de eficiencia operativa, incentivos fiscales bien diseñados y certidumbre regulatoria puede mitigar más de la mitad del impacto y preservar la posición del Perú como proveedor estratégico de cobre en la transición energética global.</w:t>
      </w:r>
    </w:p>
    <w:p w14:paraId="44AC8B44" w14:textId="77777777" w:rsidR="002E350E" w:rsidRDefault="00000000" w:rsidP="009B4C89">
      <w:pPr>
        <w:pStyle w:val="Heading1"/>
        <w:spacing w:line="240" w:lineRule="auto"/>
        <w:rPr>
          <w:rFonts w:ascii="Arial" w:hAnsi="Arial" w:cs="Arial"/>
          <w:sz w:val="22"/>
          <w:szCs w:val="22"/>
          <w:lang w:val="es-PE"/>
        </w:rPr>
      </w:pPr>
      <w:r w:rsidRPr="009B4C89">
        <w:rPr>
          <w:rFonts w:ascii="Arial" w:hAnsi="Arial" w:cs="Arial"/>
          <w:sz w:val="22"/>
          <w:szCs w:val="22"/>
          <w:lang w:val="es-PE"/>
        </w:rPr>
        <w:t>6. Anexos</w:t>
      </w:r>
    </w:p>
    <w:tbl>
      <w:tblPr>
        <w:tblStyle w:val="PlainTable3"/>
        <w:tblW w:w="5868" w:type="dxa"/>
        <w:jc w:val="center"/>
        <w:tblLook w:val="04A0" w:firstRow="1" w:lastRow="0" w:firstColumn="1" w:lastColumn="0" w:noHBand="0" w:noVBand="1"/>
      </w:tblPr>
      <w:tblGrid>
        <w:gridCol w:w="869"/>
        <w:gridCol w:w="2351"/>
        <w:gridCol w:w="1025"/>
        <w:gridCol w:w="1623"/>
      </w:tblGrid>
      <w:tr w:rsidR="002F3866" w:rsidRPr="002F3866" w14:paraId="2B7FE2AA" w14:textId="77777777" w:rsidTr="002F386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56333E24" w14:textId="77777777" w:rsidR="002F3866" w:rsidRPr="002F3866" w:rsidRDefault="002F3866" w:rsidP="002F3866">
            <w:pPr>
              <w:spacing w:after="200" w:line="276" w:lineRule="auto"/>
              <w:rPr>
                <w:sz w:val="16"/>
                <w:szCs w:val="16"/>
              </w:rPr>
            </w:pPr>
            <w:r w:rsidRPr="002F3866">
              <w:rPr>
                <w:sz w:val="16"/>
                <w:szCs w:val="16"/>
              </w:rPr>
              <w:t>Código</w:t>
            </w:r>
          </w:p>
        </w:tc>
        <w:tc>
          <w:tcPr>
            <w:tcW w:w="0" w:type="auto"/>
            <w:hideMark/>
          </w:tcPr>
          <w:p w14:paraId="06E3D315" w14:textId="77777777" w:rsidR="002F3866" w:rsidRPr="002F3866" w:rsidRDefault="002F3866" w:rsidP="002F3866">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2F3866">
              <w:rPr>
                <w:sz w:val="16"/>
                <w:szCs w:val="16"/>
              </w:rPr>
              <w:t>Contenido</w:t>
            </w:r>
          </w:p>
        </w:tc>
        <w:tc>
          <w:tcPr>
            <w:tcW w:w="0" w:type="auto"/>
            <w:hideMark/>
          </w:tcPr>
          <w:p w14:paraId="6D258499" w14:textId="77777777" w:rsidR="002F3866" w:rsidRPr="002F3866" w:rsidRDefault="002F3866" w:rsidP="002F3866">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2F3866">
              <w:rPr>
                <w:sz w:val="16"/>
                <w:szCs w:val="16"/>
              </w:rPr>
              <w:t>Formato</w:t>
            </w:r>
          </w:p>
        </w:tc>
        <w:tc>
          <w:tcPr>
            <w:tcW w:w="0" w:type="auto"/>
            <w:hideMark/>
          </w:tcPr>
          <w:p w14:paraId="535CD5B8" w14:textId="77777777" w:rsidR="002F3866" w:rsidRPr="002F3866" w:rsidRDefault="002F3866" w:rsidP="002F3866">
            <w:pPr>
              <w:spacing w:after="200" w:line="276" w:lineRule="auto"/>
              <w:cnfStyle w:val="100000000000" w:firstRow="1" w:lastRow="0" w:firstColumn="0" w:lastColumn="0" w:oddVBand="0" w:evenVBand="0" w:oddHBand="0" w:evenHBand="0" w:firstRowFirstColumn="0" w:firstRowLastColumn="0" w:lastRowFirstColumn="0" w:lastRowLastColumn="0"/>
              <w:rPr>
                <w:sz w:val="16"/>
                <w:szCs w:val="16"/>
              </w:rPr>
            </w:pPr>
            <w:r w:rsidRPr="002F3866">
              <w:rPr>
                <w:sz w:val="16"/>
                <w:szCs w:val="16"/>
              </w:rPr>
              <w:t>Relevancia para el lector</w:t>
            </w:r>
          </w:p>
        </w:tc>
      </w:tr>
      <w:tr w:rsidR="002F3866" w:rsidRPr="002F3866" w14:paraId="698511D1" w14:textId="77777777" w:rsidTr="002F38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276008" w14:textId="77777777" w:rsidR="002F3866" w:rsidRPr="002F3866" w:rsidRDefault="002F3866" w:rsidP="002F3866">
            <w:pPr>
              <w:spacing w:after="200" w:line="276" w:lineRule="auto"/>
              <w:rPr>
                <w:sz w:val="16"/>
                <w:szCs w:val="16"/>
              </w:rPr>
            </w:pPr>
            <w:r w:rsidRPr="002F3866">
              <w:rPr>
                <w:sz w:val="16"/>
                <w:szCs w:val="16"/>
              </w:rPr>
              <w:t>Anexo A</w:t>
            </w:r>
          </w:p>
        </w:tc>
        <w:tc>
          <w:tcPr>
            <w:tcW w:w="0" w:type="auto"/>
            <w:hideMark/>
          </w:tcPr>
          <w:p w14:paraId="559C0FA9" w14:textId="77777777" w:rsidR="002F3866" w:rsidRPr="002F3866" w:rsidRDefault="002F3866" w:rsidP="002F3866">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lang w:val="es-PE"/>
              </w:rPr>
            </w:pPr>
            <w:r w:rsidRPr="002F3866">
              <w:rPr>
                <w:i/>
                <w:iCs/>
                <w:sz w:val="16"/>
                <w:szCs w:val="16"/>
                <w:lang w:val="es-PE"/>
              </w:rPr>
              <w:t>pipeline.py</w:t>
            </w:r>
            <w:r w:rsidRPr="002F3866">
              <w:rPr>
                <w:sz w:val="16"/>
                <w:szCs w:val="16"/>
                <w:lang w:val="es-PE"/>
              </w:rPr>
              <w:t xml:space="preserve">: script completo en </w:t>
            </w:r>
            <w:r w:rsidRPr="002F3866">
              <w:rPr>
                <w:b/>
                <w:bCs/>
                <w:sz w:val="16"/>
                <w:szCs w:val="16"/>
                <w:lang w:val="es-PE"/>
              </w:rPr>
              <w:t>Python 3.11</w:t>
            </w:r>
            <w:r w:rsidRPr="002F3866">
              <w:rPr>
                <w:sz w:val="16"/>
                <w:szCs w:val="16"/>
                <w:lang w:val="es-PE"/>
              </w:rPr>
              <w:t xml:space="preserve"> que ejecuta la simulación Monte Carlo (10 000 réplicas), los escenarios de sensibilidad y la regresión OLS robusta; incluye semilla reproducible (</w:t>
            </w:r>
            <w:proofErr w:type="spellStart"/>
            <w:r w:rsidRPr="002F3866">
              <w:rPr>
                <w:sz w:val="16"/>
                <w:szCs w:val="16"/>
                <w:lang w:val="es-PE"/>
              </w:rPr>
              <w:t>seed</w:t>
            </w:r>
            <w:proofErr w:type="spellEnd"/>
            <w:r w:rsidRPr="002F3866">
              <w:rPr>
                <w:sz w:val="16"/>
                <w:szCs w:val="16"/>
                <w:lang w:val="es-PE"/>
              </w:rPr>
              <w:t xml:space="preserve"> = 37).</w:t>
            </w:r>
          </w:p>
        </w:tc>
        <w:tc>
          <w:tcPr>
            <w:tcW w:w="0" w:type="auto"/>
            <w:hideMark/>
          </w:tcPr>
          <w:p w14:paraId="5F11B0CB" w14:textId="77777777" w:rsidR="002F3866" w:rsidRPr="002F3866" w:rsidRDefault="002F3866" w:rsidP="002F3866">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2F3866">
              <w:rPr>
                <w:sz w:val="16"/>
                <w:szCs w:val="16"/>
              </w:rPr>
              <w:t>.</w:t>
            </w:r>
            <w:proofErr w:type="spellStart"/>
            <w:r w:rsidRPr="002F3866">
              <w:rPr>
                <w:sz w:val="16"/>
                <w:szCs w:val="16"/>
              </w:rPr>
              <w:t>py</w:t>
            </w:r>
            <w:proofErr w:type="spellEnd"/>
          </w:p>
        </w:tc>
        <w:tc>
          <w:tcPr>
            <w:tcW w:w="0" w:type="auto"/>
            <w:hideMark/>
          </w:tcPr>
          <w:p w14:paraId="44B832E3" w14:textId="77777777" w:rsidR="002F3866" w:rsidRPr="002F3866" w:rsidRDefault="002F3866" w:rsidP="002F3866">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lang w:val="es-PE"/>
              </w:rPr>
            </w:pPr>
            <w:r w:rsidRPr="002F3866">
              <w:rPr>
                <w:sz w:val="16"/>
                <w:szCs w:val="16"/>
                <w:lang w:val="es-PE"/>
              </w:rPr>
              <w:t>Permite replicar exactamente todas las cifras de las secciones 3 y 4.</w:t>
            </w:r>
          </w:p>
        </w:tc>
      </w:tr>
      <w:tr w:rsidR="002F3866" w:rsidRPr="002F3866" w14:paraId="1D5D1E7C" w14:textId="77777777" w:rsidTr="002F386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097996" w14:textId="77777777" w:rsidR="002F3866" w:rsidRPr="002F3866" w:rsidRDefault="002F3866" w:rsidP="002F3866">
            <w:pPr>
              <w:spacing w:after="200" w:line="276" w:lineRule="auto"/>
              <w:rPr>
                <w:sz w:val="16"/>
                <w:szCs w:val="16"/>
              </w:rPr>
            </w:pPr>
            <w:r w:rsidRPr="002F3866">
              <w:rPr>
                <w:sz w:val="16"/>
                <w:szCs w:val="16"/>
              </w:rPr>
              <w:t>Anexo B</w:t>
            </w:r>
          </w:p>
        </w:tc>
        <w:tc>
          <w:tcPr>
            <w:tcW w:w="0" w:type="auto"/>
            <w:hideMark/>
          </w:tcPr>
          <w:p w14:paraId="538A303B" w14:textId="77777777" w:rsidR="002F3866" w:rsidRPr="002F3866" w:rsidRDefault="002F3866" w:rsidP="002F3866">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lang w:val="es-PE"/>
              </w:rPr>
            </w:pPr>
            <w:r w:rsidRPr="002F3866">
              <w:rPr>
                <w:sz w:val="16"/>
                <w:szCs w:val="16"/>
                <w:lang w:val="es-PE"/>
              </w:rPr>
              <w:t xml:space="preserve">Cuadro maestro de </w:t>
            </w:r>
            <w:r w:rsidRPr="002F3866">
              <w:rPr>
                <w:b/>
                <w:bCs/>
                <w:sz w:val="16"/>
                <w:szCs w:val="16"/>
                <w:lang w:val="es-PE"/>
              </w:rPr>
              <w:t>supuestos macroeconómicos</w:t>
            </w:r>
            <w:r w:rsidRPr="002F3866">
              <w:rPr>
                <w:sz w:val="16"/>
                <w:szCs w:val="16"/>
                <w:lang w:val="es-PE"/>
              </w:rPr>
              <w:t xml:space="preserve"> (inflación, PEN/USD, precio Cu spot, costo de flete) tomados del </w:t>
            </w:r>
            <w:r w:rsidRPr="002F3866">
              <w:rPr>
                <w:i/>
                <w:iCs/>
                <w:sz w:val="16"/>
                <w:szCs w:val="16"/>
                <w:lang w:val="es-PE"/>
              </w:rPr>
              <w:t>Reporte de Inflación – BCRP, marzo 2025</w:t>
            </w:r>
            <w:r w:rsidRPr="002F3866">
              <w:rPr>
                <w:sz w:val="16"/>
                <w:szCs w:val="16"/>
                <w:lang w:val="es-PE"/>
              </w:rPr>
              <w:t xml:space="preserve"> y del consenso Bloomberg (julio 2025).</w:t>
            </w:r>
          </w:p>
        </w:tc>
        <w:tc>
          <w:tcPr>
            <w:tcW w:w="0" w:type="auto"/>
            <w:hideMark/>
          </w:tcPr>
          <w:p w14:paraId="77691EDF" w14:textId="77777777" w:rsidR="002F3866" w:rsidRPr="002F3866" w:rsidRDefault="002F3866" w:rsidP="002F3866">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2F3866">
              <w:rPr>
                <w:sz w:val="16"/>
                <w:szCs w:val="16"/>
              </w:rPr>
              <w:t>.xlsx</w:t>
            </w:r>
          </w:p>
        </w:tc>
        <w:tc>
          <w:tcPr>
            <w:tcW w:w="0" w:type="auto"/>
            <w:hideMark/>
          </w:tcPr>
          <w:p w14:paraId="16D2503E" w14:textId="77777777" w:rsidR="002F3866" w:rsidRPr="002F3866" w:rsidRDefault="002F3866" w:rsidP="002F3866">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lang w:val="es-PE"/>
              </w:rPr>
            </w:pPr>
            <w:r w:rsidRPr="002F3866">
              <w:rPr>
                <w:sz w:val="16"/>
                <w:szCs w:val="16"/>
                <w:lang w:val="es-PE"/>
              </w:rPr>
              <w:t>Fundamenta los valores de entrada del modelo y simplifica futuras actualizaciones.</w:t>
            </w:r>
          </w:p>
        </w:tc>
      </w:tr>
      <w:tr w:rsidR="002F3866" w:rsidRPr="002F3866" w14:paraId="1EAB6A80" w14:textId="77777777" w:rsidTr="002F38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674B39" w14:textId="77777777" w:rsidR="002F3866" w:rsidRPr="002F3866" w:rsidRDefault="002F3866" w:rsidP="002F3866">
            <w:pPr>
              <w:spacing w:after="200" w:line="276" w:lineRule="auto"/>
              <w:rPr>
                <w:sz w:val="16"/>
                <w:szCs w:val="16"/>
              </w:rPr>
            </w:pPr>
            <w:r w:rsidRPr="002F3866">
              <w:rPr>
                <w:sz w:val="16"/>
                <w:szCs w:val="16"/>
              </w:rPr>
              <w:t>Anexo C</w:t>
            </w:r>
          </w:p>
        </w:tc>
        <w:tc>
          <w:tcPr>
            <w:tcW w:w="0" w:type="auto"/>
            <w:hideMark/>
          </w:tcPr>
          <w:p w14:paraId="4DBD8AD2" w14:textId="77777777" w:rsidR="002F3866" w:rsidRPr="002F3866" w:rsidRDefault="002F3866" w:rsidP="002F3866">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lang w:val="es-PE"/>
              </w:rPr>
            </w:pPr>
            <w:r w:rsidRPr="002F3866">
              <w:rPr>
                <w:sz w:val="16"/>
                <w:szCs w:val="16"/>
                <w:lang w:val="es-PE"/>
              </w:rPr>
              <w:t xml:space="preserve">Resumen tabulado de las </w:t>
            </w:r>
            <w:r w:rsidRPr="002F3866">
              <w:rPr>
                <w:b/>
                <w:bCs/>
                <w:sz w:val="16"/>
                <w:szCs w:val="16"/>
                <w:lang w:val="es-PE"/>
              </w:rPr>
              <w:t>12 entrevistas estructuradas</w:t>
            </w:r>
            <w:r w:rsidRPr="002F3866">
              <w:rPr>
                <w:sz w:val="16"/>
                <w:szCs w:val="16"/>
                <w:lang w:val="es-PE"/>
              </w:rPr>
              <w:t xml:space="preserve"> a gestores de fondos y banca de inversión (preguntas, escala Likert 1-5, media y desviación estándar por ítem).</w:t>
            </w:r>
          </w:p>
        </w:tc>
        <w:tc>
          <w:tcPr>
            <w:tcW w:w="0" w:type="auto"/>
            <w:hideMark/>
          </w:tcPr>
          <w:p w14:paraId="7B836E35" w14:textId="77777777" w:rsidR="002F3866" w:rsidRPr="002F3866" w:rsidRDefault="002F3866" w:rsidP="002F3866">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2F3866">
              <w:rPr>
                <w:sz w:val="16"/>
                <w:szCs w:val="16"/>
              </w:rPr>
              <w:t>.docx</w:t>
            </w:r>
          </w:p>
        </w:tc>
        <w:tc>
          <w:tcPr>
            <w:tcW w:w="0" w:type="auto"/>
            <w:hideMark/>
          </w:tcPr>
          <w:p w14:paraId="7C27D1E0" w14:textId="77777777" w:rsidR="002F3866" w:rsidRPr="002F3866" w:rsidRDefault="002F3866" w:rsidP="002F3866">
            <w:pPr>
              <w:spacing w:after="200" w:line="276" w:lineRule="auto"/>
              <w:cnfStyle w:val="000000100000" w:firstRow="0" w:lastRow="0" w:firstColumn="0" w:lastColumn="0" w:oddVBand="0" w:evenVBand="0" w:oddHBand="1" w:evenHBand="0" w:firstRowFirstColumn="0" w:firstRowLastColumn="0" w:lastRowFirstColumn="0" w:lastRowLastColumn="0"/>
              <w:rPr>
                <w:sz w:val="16"/>
                <w:szCs w:val="16"/>
                <w:lang w:val="es-PE"/>
              </w:rPr>
            </w:pPr>
            <w:r w:rsidRPr="002F3866">
              <w:rPr>
                <w:sz w:val="16"/>
                <w:szCs w:val="16"/>
                <w:lang w:val="es-PE"/>
              </w:rPr>
              <w:t>Brinda contexto cualitativo sobre posibles reacciones de mercado al arancel.</w:t>
            </w:r>
          </w:p>
        </w:tc>
      </w:tr>
      <w:tr w:rsidR="002F3866" w:rsidRPr="002F3866" w14:paraId="0B3FA077" w14:textId="77777777" w:rsidTr="002F386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21682C" w14:textId="77777777" w:rsidR="002F3866" w:rsidRPr="002F3866" w:rsidRDefault="002F3866" w:rsidP="002F3866">
            <w:pPr>
              <w:spacing w:after="200" w:line="276" w:lineRule="auto"/>
              <w:rPr>
                <w:sz w:val="16"/>
                <w:szCs w:val="16"/>
              </w:rPr>
            </w:pPr>
            <w:r w:rsidRPr="002F3866">
              <w:rPr>
                <w:sz w:val="16"/>
                <w:szCs w:val="16"/>
              </w:rPr>
              <w:t>Anexo D</w:t>
            </w:r>
          </w:p>
        </w:tc>
        <w:tc>
          <w:tcPr>
            <w:tcW w:w="0" w:type="auto"/>
            <w:hideMark/>
          </w:tcPr>
          <w:p w14:paraId="69A6383F" w14:textId="77777777" w:rsidR="002F3866" w:rsidRPr="002F3866" w:rsidRDefault="002F3866" w:rsidP="002F3866">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lang w:val="es-PE"/>
              </w:rPr>
            </w:pPr>
            <w:r w:rsidRPr="002F3866">
              <w:rPr>
                <w:b/>
                <w:bCs/>
                <w:sz w:val="16"/>
                <w:szCs w:val="16"/>
                <w:lang w:val="es-PE"/>
              </w:rPr>
              <w:t>Matriz de sensibilidad extendida</w:t>
            </w:r>
            <w:r w:rsidRPr="002F3866">
              <w:rPr>
                <w:sz w:val="16"/>
                <w:szCs w:val="16"/>
                <w:lang w:val="es-PE"/>
              </w:rPr>
              <w:t xml:space="preserve"> con shocks extremos: ± 10 % PEN/USD y ± 8 % OPEX; muestra la frontera de resiliencia y las combinaciones que llevan el NER a valores negativos.</w:t>
            </w:r>
          </w:p>
        </w:tc>
        <w:tc>
          <w:tcPr>
            <w:tcW w:w="0" w:type="auto"/>
            <w:hideMark/>
          </w:tcPr>
          <w:p w14:paraId="28C8C80B" w14:textId="77777777" w:rsidR="002F3866" w:rsidRPr="002F3866" w:rsidRDefault="002F3866" w:rsidP="002F3866">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rPr>
            </w:pPr>
            <w:r w:rsidRPr="002F3866">
              <w:rPr>
                <w:sz w:val="16"/>
                <w:szCs w:val="16"/>
              </w:rPr>
              <w:t>.pdf</w:t>
            </w:r>
          </w:p>
        </w:tc>
        <w:tc>
          <w:tcPr>
            <w:tcW w:w="0" w:type="auto"/>
            <w:hideMark/>
          </w:tcPr>
          <w:p w14:paraId="39AF0AD7" w14:textId="77777777" w:rsidR="002F3866" w:rsidRPr="002F3866" w:rsidRDefault="002F3866" w:rsidP="002F3866">
            <w:pPr>
              <w:spacing w:after="200" w:line="276" w:lineRule="auto"/>
              <w:cnfStyle w:val="000000000000" w:firstRow="0" w:lastRow="0" w:firstColumn="0" w:lastColumn="0" w:oddVBand="0" w:evenVBand="0" w:oddHBand="0" w:evenHBand="0" w:firstRowFirstColumn="0" w:firstRowLastColumn="0" w:lastRowFirstColumn="0" w:lastRowLastColumn="0"/>
              <w:rPr>
                <w:sz w:val="16"/>
                <w:szCs w:val="16"/>
                <w:lang w:val="es-PE"/>
              </w:rPr>
            </w:pPr>
            <w:r w:rsidRPr="002F3866">
              <w:rPr>
                <w:sz w:val="16"/>
                <w:szCs w:val="16"/>
                <w:lang w:val="es-PE"/>
              </w:rPr>
              <w:t>Demuestra la robustez del modelo fuera de los escenarios centrales.</w:t>
            </w:r>
          </w:p>
        </w:tc>
      </w:tr>
    </w:tbl>
    <w:p w14:paraId="3D58F0B0" w14:textId="77777777" w:rsidR="002F3866" w:rsidRPr="002F3866" w:rsidRDefault="002F3866" w:rsidP="002F3866">
      <w:pPr>
        <w:rPr>
          <w:lang w:val="es-PE"/>
        </w:rPr>
      </w:pPr>
    </w:p>
    <w:p w14:paraId="5EC725AE" w14:textId="77777777" w:rsidR="002E350E" w:rsidRPr="009B4C89" w:rsidRDefault="00000000" w:rsidP="009B4C89">
      <w:pPr>
        <w:pStyle w:val="Heading1"/>
        <w:spacing w:line="240" w:lineRule="auto"/>
        <w:rPr>
          <w:rFonts w:ascii="Arial" w:hAnsi="Arial" w:cs="Arial"/>
          <w:sz w:val="22"/>
          <w:szCs w:val="22"/>
          <w:lang w:val="es-PE"/>
        </w:rPr>
      </w:pPr>
      <w:r w:rsidRPr="009B4C89">
        <w:rPr>
          <w:rFonts w:ascii="Arial" w:hAnsi="Arial" w:cs="Arial"/>
          <w:sz w:val="22"/>
          <w:szCs w:val="22"/>
          <w:lang w:val="es-PE"/>
        </w:rPr>
        <w:t>7. Referencias bibliográficas</w:t>
      </w:r>
    </w:p>
    <w:p w14:paraId="76AABE9B" w14:textId="77777777" w:rsidR="002F3866" w:rsidRPr="002F3866" w:rsidRDefault="002F3866" w:rsidP="002F3866">
      <w:pPr>
        <w:spacing w:line="240" w:lineRule="auto"/>
        <w:rPr>
          <w:rFonts w:cs="Arial"/>
          <w:lang w:val="es-PE"/>
        </w:rPr>
      </w:pPr>
      <w:r w:rsidRPr="002F3866">
        <w:rPr>
          <w:rFonts w:cs="Arial"/>
          <w:lang w:val="es-PE"/>
        </w:rPr>
        <w:t xml:space="preserve">Banco Central de Reserva del Perú. (2025). </w:t>
      </w:r>
      <w:r w:rsidRPr="002F3866">
        <w:rPr>
          <w:rFonts w:cs="Arial"/>
          <w:i/>
          <w:iCs/>
          <w:lang w:val="es-PE"/>
        </w:rPr>
        <w:t>Reporte de Inflación – marzo 2025</w:t>
      </w:r>
      <w:r w:rsidRPr="002F3866">
        <w:rPr>
          <w:rFonts w:cs="Arial"/>
          <w:lang w:val="es-PE"/>
        </w:rPr>
        <w:t>. Lima: BCRP.</w:t>
      </w:r>
    </w:p>
    <w:p w14:paraId="0F5F3606" w14:textId="77777777" w:rsidR="002F3866" w:rsidRPr="002F3866" w:rsidRDefault="002F3866" w:rsidP="002F3866">
      <w:pPr>
        <w:spacing w:line="240" w:lineRule="auto"/>
        <w:rPr>
          <w:rFonts w:cs="Arial"/>
        </w:rPr>
      </w:pPr>
      <w:r w:rsidRPr="002F3866">
        <w:rPr>
          <w:rFonts w:cs="Arial"/>
          <w:lang w:val="es-PE"/>
        </w:rPr>
        <w:t xml:space="preserve">Deloitte </w:t>
      </w:r>
      <w:proofErr w:type="spellStart"/>
      <w:r w:rsidRPr="002F3866">
        <w:rPr>
          <w:rFonts w:cs="Arial"/>
          <w:lang w:val="es-PE"/>
        </w:rPr>
        <w:t>Peru</w:t>
      </w:r>
      <w:proofErr w:type="spellEnd"/>
      <w:r w:rsidRPr="002F3866">
        <w:rPr>
          <w:rFonts w:cs="Arial"/>
          <w:lang w:val="es-PE"/>
        </w:rPr>
        <w:t xml:space="preserve">. (2024). </w:t>
      </w:r>
      <w:proofErr w:type="spellStart"/>
      <w:r w:rsidRPr="002F3866">
        <w:rPr>
          <w:rFonts w:cs="Arial"/>
          <w:i/>
          <w:iCs/>
          <w:lang w:val="es-PE"/>
        </w:rPr>
        <w:t>Benchmark</w:t>
      </w:r>
      <w:proofErr w:type="spellEnd"/>
      <w:r w:rsidRPr="002F3866">
        <w:rPr>
          <w:rFonts w:cs="Arial"/>
          <w:i/>
          <w:iCs/>
          <w:lang w:val="es-PE"/>
        </w:rPr>
        <w:t xml:space="preserve"> de costos C1-C4 en minería latinoamericana</w:t>
      </w:r>
      <w:r w:rsidRPr="002F3866">
        <w:rPr>
          <w:rFonts w:cs="Arial"/>
          <w:lang w:val="es-PE"/>
        </w:rPr>
        <w:t xml:space="preserve">. </w:t>
      </w:r>
      <w:r w:rsidRPr="002F3866">
        <w:rPr>
          <w:rFonts w:cs="Arial"/>
        </w:rPr>
        <w:t>Lima: Deloitte.</w:t>
      </w:r>
    </w:p>
    <w:p w14:paraId="52A84571" w14:textId="77777777" w:rsidR="002F3866" w:rsidRPr="002F3866" w:rsidRDefault="002F3866" w:rsidP="002F3866">
      <w:pPr>
        <w:spacing w:line="240" w:lineRule="auto"/>
        <w:rPr>
          <w:rFonts w:cs="Arial"/>
          <w:lang w:val="es-PE"/>
        </w:rPr>
      </w:pPr>
      <w:r w:rsidRPr="002F3866">
        <w:rPr>
          <w:rFonts w:cs="Arial"/>
        </w:rPr>
        <w:t xml:space="preserve">Ferguson, N., &amp; Gonzales, P. (2024). Tariff shocks and commodity exporters. </w:t>
      </w:r>
      <w:proofErr w:type="spellStart"/>
      <w:r w:rsidRPr="002F3866">
        <w:rPr>
          <w:rFonts w:cs="Arial"/>
          <w:i/>
          <w:iCs/>
          <w:lang w:val="es-PE"/>
        </w:rPr>
        <w:t>Resources</w:t>
      </w:r>
      <w:proofErr w:type="spellEnd"/>
      <w:r w:rsidRPr="002F3866">
        <w:rPr>
          <w:rFonts w:cs="Arial"/>
          <w:i/>
          <w:iCs/>
          <w:lang w:val="es-PE"/>
        </w:rPr>
        <w:t xml:space="preserve"> </w:t>
      </w:r>
      <w:proofErr w:type="spellStart"/>
      <w:r w:rsidRPr="002F3866">
        <w:rPr>
          <w:rFonts w:cs="Arial"/>
          <w:i/>
          <w:iCs/>
          <w:lang w:val="es-PE"/>
        </w:rPr>
        <w:t>Policy</w:t>
      </w:r>
      <w:proofErr w:type="spellEnd"/>
      <w:r w:rsidRPr="002F3866">
        <w:rPr>
          <w:rFonts w:cs="Arial"/>
          <w:i/>
          <w:iCs/>
          <w:lang w:val="es-PE"/>
        </w:rPr>
        <w:t>, 83</w:t>
      </w:r>
      <w:r w:rsidRPr="002F3866">
        <w:rPr>
          <w:rFonts w:cs="Arial"/>
          <w:lang w:val="es-PE"/>
        </w:rPr>
        <w:t>, 102778. https://doi.org/10.1016/j.resourpol.2023.102778</w:t>
      </w:r>
    </w:p>
    <w:p w14:paraId="1C7CE1E9" w14:textId="77777777" w:rsidR="002F3866" w:rsidRPr="002F3866" w:rsidRDefault="002F3866" w:rsidP="002F3866">
      <w:pPr>
        <w:spacing w:line="240" w:lineRule="auto"/>
        <w:rPr>
          <w:rFonts w:cs="Arial"/>
          <w:lang w:val="es-PE"/>
        </w:rPr>
      </w:pPr>
      <w:r w:rsidRPr="002F3866">
        <w:rPr>
          <w:rFonts w:cs="Arial"/>
          <w:lang w:val="es-PE"/>
        </w:rPr>
        <w:t xml:space="preserve">MEF – Dirección General de Política Macroeconómica. (2024). </w:t>
      </w:r>
      <w:r w:rsidRPr="002F3866">
        <w:rPr>
          <w:rFonts w:cs="Arial"/>
          <w:i/>
          <w:iCs/>
          <w:lang w:val="es-PE"/>
        </w:rPr>
        <w:t>Consulta amigable de transferencias por canon y regalías 2018-2024</w:t>
      </w:r>
      <w:r w:rsidRPr="002F3866">
        <w:rPr>
          <w:rFonts w:cs="Arial"/>
          <w:lang w:val="es-PE"/>
        </w:rPr>
        <w:t>. Lima: MEF.</w:t>
      </w:r>
    </w:p>
    <w:p w14:paraId="7DF363A9" w14:textId="77777777" w:rsidR="002F3866" w:rsidRPr="002F3866" w:rsidRDefault="002F3866" w:rsidP="002F3866">
      <w:pPr>
        <w:spacing w:line="240" w:lineRule="auto"/>
        <w:rPr>
          <w:rFonts w:cs="Arial"/>
          <w:lang w:val="es-PE"/>
        </w:rPr>
      </w:pPr>
      <w:r w:rsidRPr="002F3866">
        <w:rPr>
          <w:rFonts w:cs="Arial"/>
          <w:lang w:val="es-PE"/>
        </w:rPr>
        <w:t xml:space="preserve">MINEM. (2025). </w:t>
      </w:r>
      <w:r w:rsidRPr="002F3866">
        <w:rPr>
          <w:rFonts w:cs="Arial"/>
          <w:i/>
          <w:iCs/>
          <w:lang w:val="es-PE"/>
        </w:rPr>
        <w:t>Boletín Estadístico Minero – febrero 2025</w:t>
      </w:r>
      <w:r w:rsidRPr="002F3866">
        <w:rPr>
          <w:rFonts w:cs="Arial"/>
          <w:lang w:val="es-PE"/>
        </w:rPr>
        <w:t>. Lima: Ministerio de Energía y Minas.</w:t>
      </w:r>
    </w:p>
    <w:p w14:paraId="7D433730" w14:textId="77777777" w:rsidR="002F3866" w:rsidRPr="002F3866" w:rsidRDefault="002F3866" w:rsidP="002F3866">
      <w:pPr>
        <w:spacing w:line="240" w:lineRule="auto"/>
        <w:rPr>
          <w:rFonts w:cs="Arial"/>
          <w:lang w:val="es-PE"/>
        </w:rPr>
      </w:pPr>
      <w:r w:rsidRPr="002F3866">
        <w:rPr>
          <w:rFonts w:cs="Arial"/>
          <w:lang w:val="es-PE"/>
        </w:rPr>
        <w:t xml:space="preserve">SUNAT. (2024). </w:t>
      </w:r>
      <w:r w:rsidRPr="002F3866">
        <w:rPr>
          <w:rFonts w:cs="Arial"/>
          <w:i/>
          <w:iCs/>
          <w:lang w:val="es-PE"/>
        </w:rPr>
        <w:t>Estadísticas de Comercio Exterior 2018-2024</w:t>
      </w:r>
      <w:r w:rsidRPr="002F3866">
        <w:rPr>
          <w:rFonts w:cs="Arial"/>
          <w:lang w:val="es-PE"/>
        </w:rPr>
        <w:t>. Lima: Superintendencia Nacional de Aduanas y de Administración Tributaria.</w:t>
      </w:r>
    </w:p>
    <w:p w14:paraId="16A922C1" w14:textId="77777777" w:rsidR="002F3866" w:rsidRPr="002F3866" w:rsidRDefault="002F3866" w:rsidP="002F3866">
      <w:pPr>
        <w:spacing w:line="240" w:lineRule="auto"/>
        <w:rPr>
          <w:rFonts w:cs="Arial"/>
        </w:rPr>
      </w:pPr>
      <w:r w:rsidRPr="002F3866">
        <w:rPr>
          <w:rFonts w:cs="Arial"/>
        </w:rPr>
        <w:t xml:space="preserve">Trading Economics. (2025, </w:t>
      </w:r>
      <w:proofErr w:type="spellStart"/>
      <w:r w:rsidRPr="002F3866">
        <w:rPr>
          <w:rFonts w:cs="Arial"/>
        </w:rPr>
        <w:t>julio</w:t>
      </w:r>
      <w:proofErr w:type="spellEnd"/>
      <w:r w:rsidRPr="002F3866">
        <w:rPr>
          <w:rFonts w:cs="Arial"/>
        </w:rPr>
        <w:t xml:space="preserve"> 17). </w:t>
      </w:r>
      <w:r w:rsidRPr="002F3866">
        <w:rPr>
          <w:rFonts w:cs="Arial"/>
          <w:i/>
          <w:iCs/>
        </w:rPr>
        <w:t>Copper Futures Historical Data</w:t>
      </w:r>
      <w:r w:rsidRPr="002F3866">
        <w:rPr>
          <w:rFonts w:cs="Arial"/>
        </w:rPr>
        <w:t xml:space="preserve">. </w:t>
      </w:r>
      <w:proofErr w:type="spellStart"/>
      <w:r w:rsidRPr="002F3866">
        <w:rPr>
          <w:rFonts w:cs="Arial"/>
        </w:rPr>
        <w:t>Recuperado</w:t>
      </w:r>
      <w:proofErr w:type="spellEnd"/>
      <w:r w:rsidRPr="002F3866">
        <w:rPr>
          <w:rFonts w:cs="Arial"/>
        </w:rPr>
        <w:t xml:space="preserve"> de </w:t>
      </w:r>
      <w:hyperlink r:id="rId6" w:tgtFrame="_new" w:history="1">
        <w:r w:rsidRPr="002F3866">
          <w:rPr>
            <w:rStyle w:val="Hyperlink"/>
            <w:rFonts w:cs="Arial"/>
          </w:rPr>
          <w:t>https://tradingeconomics.com/</w:t>
        </w:r>
      </w:hyperlink>
    </w:p>
    <w:p w14:paraId="71A6F265" w14:textId="77777777" w:rsidR="002F3866" w:rsidRPr="002F3866" w:rsidRDefault="002F3866" w:rsidP="002F3866">
      <w:pPr>
        <w:spacing w:line="240" w:lineRule="auto"/>
        <w:rPr>
          <w:rFonts w:cs="Arial"/>
        </w:rPr>
      </w:pPr>
      <w:r w:rsidRPr="002F3866">
        <w:rPr>
          <w:rFonts w:cs="Arial"/>
        </w:rPr>
        <w:t xml:space="preserve">UNCTAD. (2024). </w:t>
      </w:r>
      <w:r w:rsidRPr="002F3866">
        <w:rPr>
          <w:rFonts w:cs="Arial"/>
          <w:i/>
          <w:iCs/>
        </w:rPr>
        <w:t>Commodities and Development Report 2024</w:t>
      </w:r>
      <w:r w:rsidRPr="002F3866">
        <w:rPr>
          <w:rFonts w:cs="Arial"/>
        </w:rPr>
        <w:t>. Ginebra: United Nations Conference on Trade and Development.</w:t>
      </w:r>
    </w:p>
    <w:p w14:paraId="2CADF3F2" w14:textId="77777777" w:rsidR="002F3866" w:rsidRPr="002F3866" w:rsidRDefault="002F3866" w:rsidP="002F3866">
      <w:pPr>
        <w:spacing w:line="240" w:lineRule="auto"/>
        <w:rPr>
          <w:rFonts w:cs="Arial"/>
        </w:rPr>
      </w:pPr>
      <w:r w:rsidRPr="002F3866">
        <w:rPr>
          <w:rFonts w:cs="Arial"/>
        </w:rPr>
        <w:t xml:space="preserve">Wood Mackenzie. (2024). </w:t>
      </w:r>
      <w:r w:rsidRPr="002F3866">
        <w:rPr>
          <w:rFonts w:cs="Arial"/>
          <w:i/>
          <w:iCs/>
        </w:rPr>
        <w:t>Copper Mine Cost Service – Q4 2024 Dataset</w:t>
      </w:r>
      <w:r w:rsidRPr="002F3866">
        <w:rPr>
          <w:rFonts w:cs="Arial"/>
        </w:rPr>
        <w:t xml:space="preserve">. </w:t>
      </w:r>
      <w:proofErr w:type="spellStart"/>
      <w:r w:rsidRPr="002F3866">
        <w:rPr>
          <w:rFonts w:cs="Arial"/>
        </w:rPr>
        <w:t>Londres</w:t>
      </w:r>
      <w:proofErr w:type="spellEnd"/>
      <w:r w:rsidRPr="002F3866">
        <w:rPr>
          <w:rFonts w:cs="Arial"/>
        </w:rPr>
        <w:t>: Wood Mackenzie Ltd.</w:t>
      </w:r>
    </w:p>
    <w:p w14:paraId="28744A15" w14:textId="77777777" w:rsidR="002F3866" w:rsidRDefault="002F3866" w:rsidP="002F3866">
      <w:pPr>
        <w:spacing w:line="240" w:lineRule="auto"/>
        <w:rPr>
          <w:rFonts w:cs="Arial"/>
          <w:lang w:val="es-PE"/>
        </w:rPr>
      </w:pPr>
      <w:r w:rsidRPr="002F3866">
        <w:rPr>
          <w:rFonts w:cs="Arial"/>
        </w:rPr>
        <w:t xml:space="preserve">World Bank. (2023). </w:t>
      </w:r>
      <w:r w:rsidRPr="002F3866">
        <w:rPr>
          <w:rFonts w:cs="Arial"/>
          <w:i/>
          <w:iCs/>
        </w:rPr>
        <w:t xml:space="preserve">Global Economic Prospects – </w:t>
      </w:r>
      <w:proofErr w:type="spellStart"/>
      <w:r w:rsidRPr="002F3866">
        <w:rPr>
          <w:rFonts w:cs="Arial"/>
          <w:i/>
          <w:iCs/>
        </w:rPr>
        <w:t>enero</w:t>
      </w:r>
      <w:proofErr w:type="spellEnd"/>
      <w:r w:rsidRPr="002F3866">
        <w:rPr>
          <w:rFonts w:cs="Arial"/>
          <w:i/>
          <w:iCs/>
        </w:rPr>
        <w:t xml:space="preserve"> 2023</w:t>
      </w:r>
      <w:r w:rsidRPr="002F3866">
        <w:rPr>
          <w:rFonts w:cs="Arial"/>
        </w:rPr>
        <w:t xml:space="preserve">. </w:t>
      </w:r>
      <w:r w:rsidRPr="002F3866">
        <w:rPr>
          <w:rFonts w:cs="Arial"/>
          <w:lang w:val="es-PE"/>
        </w:rPr>
        <w:t>Washington, D.C.: Banco Mundial.</w:t>
      </w:r>
    </w:p>
    <w:p w14:paraId="26A1DFD5" w14:textId="77777777" w:rsidR="00297161" w:rsidRPr="00297161" w:rsidRDefault="00297161" w:rsidP="00297161">
      <w:pPr>
        <w:pStyle w:val="Heading1"/>
        <w:spacing w:line="240" w:lineRule="auto"/>
        <w:rPr>
          <w:rFonts w:ascii="Arial" w:hAnsi="Arial" w:cs="Arial"/>
          <w:sz w:val="22"/>
          <w:szCs w:val="22"/>
          <w:lang w:val="es-PE"/>
        </w:rPr>
      </w:pPr>
      <w:r w:rsidRPr="000270E6">
        <w:rPr>
          <w:rFonts w:ascii="Arial" w:hAnsi="Arial" w:cs="Arial"/>
          <w:sz w:val="22"/>
          <w:szCs w:val="22"/>
          <w:lang w:val="es-PE"/>
        </w:rPr>
        <w:t>8. Ilustraciones / Imágenes / Tablas</w:t>
      </w:r>
    </w:p>
    <w:p w14:paraId="1A4A6858" w14:textId="23BD1A57" w:rsidR="00297161" w:rsidRDefault="00297161" w:rsidP="00297161">
      <w:pPr>
        <w:ind w:left="142" w:hanging="142"/>
        <w:jc w:val="both"/>
        <w:rPr>
          <w:rFonts w:cs="Arial"/>
          <w:bCs/>
          <w:lang w:val="es-PE"/>
        </w:rPr>
      </w:pPr>
    </w:p>
    <w:p w14:paraId="1B776321" w14:textId="22A58764" w:rsidR="00297161" w:rsidRPr="00297161" w:rsidRDefault="00297161" w:rsidP="00297161">
      <w:pPr>
        <w:ind w:left="142" w:hanging="142"/>
        <w:jc w:val="both"/>
        <w:rPr>
          <w:rFonts w:cs="Arial"/>
          <w:bCs/>
        </w:rPr>
      </w:pPr>
      <w:r w:rsidRPr="00297161">
        <w:rPr>
          <w:rFonts w:cs="Arial"/>
          <w:bCs/>
        </w:rPr>
        <w:drawing>
          <wp:inline distT="0" distB="0" distL="0" distR="0" wp14:anchorId="74B694CD" wp14:editId="13B43F1E">
            <wp:extent cx="2743200" cy="1828800"/>
            <wp:effectExtent l="0" t="0" r="0" b="0"/>
            <wp:docPr id="811166072" name="Picture 4" descr="A graph with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66072" name="Picture 4" descr="A graph with orange squar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p w14:paraId="0638495E" w14:textId="77777777" w:rsidR="00297161" w:rsidRPr="000270E6" w:rsidRDefault="00297161" w:rsidP="00297161">
      <w:pPr>
        <w:ind w:left="142" w:hanging="142"/>
        <w:jc w:val="both"/>
        <w:rPr>
          <w:rFonts w:cs="Arial"/>
          <w:bCs/>
          <w:lang w:val="es-PE"/>
        </w:rPr>
      </w:pPr>
    </w:p>
    <w:p w14:paraId="76EAF2E4" w14:textId="4138AC86" w:rsidR="00297161" w:rsidRPr="00297161" w:rsidRDefault="00297161" w:rsidP="00297161">
      <w:pPr>
        <w:spacing w:line="240" w:lineRule="auto"/>
        <w:rPr>
          <w:rFonts w:cs="Arial"/>
        </w:rPr>
      </w:pPr>
      <w:r w:rsidRPr="00297161">
        <w:rPr>
          <w:rFonts w:cs="Arial"/>
        </w:rPr>
        <w:drawing>
          <wp:inline distT="0" distB="0" distL="0" distR="0" wp14:anchorId="7B8D4DB4" wp14:editId="4005FFF2">
            <wp:extent cx="2743200" cy="1828800"/>
            <wp:effectExtent l="0" t="0" r="0" b="0"/>
            <wp:docPr id="1851904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p w14:paraId="7B68ACC6" w14:textId="368FC6F3" w:rsidR="00297161" w:rsidRPr="00297161" w:rsidRDefault="00297161" w:rsidP="00297161">
      <w:pPr>
        <w:spacing w:line="240" w:lineRule="auto"/>
        <w:rPr>
          <w:rFonts w:cs="Arial"/>
        </w:rPr>
      </w:pPr>
      <w:r w:rsidRPr="00297161">
        <w:rPr>
          <w:rFonts w:cs="Arial"/>
        </w:rPr>
        <w:drawing>
          <wp:inline distT="0" distB="0" distL="0" distR="0" wp14:anchorId="7C664B6E" wp14:editId="0D70C2EC">
            <wp:extent cx="2743200" cy="1828800"/>
            <wp:effectExtent l="0" t="0" r="0" b="0"/>
            <wp:docPr id="883035837" name="Picture 6"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35837" name="Picture 6" descr="A graph with numbers and a ba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p w14:paraId="5A0B8D2D" w14:textId="77777777" w:rsidR="00297161" w:rsidRPr="00297161" w:rsidRDefault="00297161" w:rsidP="00297161">
      <w:pPr>
        <w:spacing w:line="240" w:lineRule="auto"/>
        <w:rPr>
          <w:rFonts w:cs="Arial"/>
          <w:lang w:val="es-PE"/>
        </w:rPr>
      </w:pPr>
      <w:r w:rsidRPr="00297161">
        <w:rPr>
          <w:rFonts w:cs="Arial"/>
          <w:b/>
          <w:bCs/>
          <w:lang w:val="es-PE"/>
        </w:rPr>
        <w:t>Tabla 4-1. Pérdida de NER por escenario y segmento</w:t>
      </w:r>
    </w:p>
    <w:p w14:paraId="0E1A6BAF" w14:textId="77777777" w:rsidR="00297161" w:rsidRPr="002F3866" w:rsidRDefault="00297161" w:rsidP="002F3866">
      <w:pPr>
        <w:spacing w:line="240" w:lineRule="auto"/>
        <w:rPr>
          <w:rFonts w:cs="Arial"/>
          <w:lang w:val="es-PE"/>
        </w:rPr>
      </w:pPr>
    </w:p>
    <w:tbl>
      <w:tblPr>
        <w:tblStyle w:val="PlainTable5"/>
        <w:tblW w:w="0" w:type="auto"/>
        <w:tblLook w:val="04A0" w:firstRow="1" w:lastRow="0" w:firstColumn="1" w:lastColumn="0" w:noHBand="0" w:noVBand="1"/>
      </w:tblPr>
      <w:tblGrid>
        <w:gridCol w:w="1168"/>
        <w:gridCol w:w="1084"/>
        <w:gridCol w:w="1104"/>
        <w:gridCol w:w="964"/>
      </w:tblGrid>
      <w:tr w:rsidR="00297161" w:rsidRPr="00297161" w14:paraId="58A29A84" w14:textId="77777777" w:rsidTr="0029716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23F55F9" w14:textId="77777777" w:rsidR="00297161" w:rsidRPr="00297161" w:rsidRDefault="00297161" w:rsidP="00297161">
            <w:pPr>
              <w:spacing w:after="200"/>
              <w:jc w:val="left"/>
              <w:rPr>
                <w:rFonts w:cs="Arial"/>
                <w:b/>
                <w:bCs/>
                <w:sz w:val="18"/>
                <w:szCs w:val="18"/>
              </w:rPr>
            </w:pPr>
            <w:proofErr w:type="spellStart"/>
            <w:r w:rsidRPr="00297161">
              <w:rPr>
                <w:rFonts w:cs="Arial"/>
                <w:b/>
                <w:bCs/>
                <w:sz w:val="18"/>
                <w:szCs w:val="18"/>
              </w:rPr>
              <w:t>Escenario</w:t>
            </w:r>
            <w:proofErr w:type="spellEnd"/>
          </w:p>
        </w:tc>
        <w:tc>
          <w:tcPr>
            <w:tcW w:w="0" w:type="auto"/>
            <w:hideMark/>
          </w:tcPr>
          <w:p w14:paraId="22D1FBF0" w14:textId="77777777" w:rsidR="00297161" w:rsidRPr="00297161" w:rsidRDefault="00297161" w:rsidP="00297161">
            <w:pPr>
              <w:spacing w:after="200"/>
              <w:cnfStyle w:val="100000000000" w:firstRow="1" w:lastRow="0" w:firstColumn="0" w:lastColumn="0" w:oddVBand="0" w:evenVBand="0" w:oddHBand="0" w:evenHBand="0" w:firstRowFirstColumn="0" w:firstRowLastColumn="0" w:lastRowFirstColumn="0" w:lastRowLastColumn="0"/>
              <w:rPr>
                <w:rFonts w:cs="Arial"/>
                <w:b/>
                <w:bCs/>
                <w:sz w:val="18"/>
                <w:szCs w:val="18"/>
              </w:rPr>
            </w:pPr>
            <w:r w:rsidRPr="00297161">
              <w:rPr>
                <w:rFonts w:cs="Arial"/>
                <w:b/>
                <w:bCs/>
                <w:sz w:val="18"/>
                <w:szCs w:val="18"/>
              </w:rPr>
              <w:t xml:space="preserve">ΔNER </w:t>
            </w:r>
            <w:proofErr w:type="spellStart"/>
            <w:r w:rsidRPr="00297161">
              <w:rPr>
                <w:rFonts w:cs="Arial"/>
                <w:b/>
                <w:bCs/>
                <w:sz w:val="18"/>
                <w:szCs w:val="18"/>
              </w:rPr>
              <w:t>promedio</w:t>
            </w:r>
            <w:proofErr w:type="spellEnd"/>
            <w:r w:rsidRPr="00297161">
              <w:rPr>
                <w:rFonts w:cs="Arial"/>
                <w:b/>
                <w:bCs/>
                <w:sz w:val="18"/>
                <w:szCs w:val="18"/>
              </w:rPr>
              <w:t xml:space="preserve"> (%)</w:t>
            </w:r>
          </w:p>
        </w:tc>
        <w:tc>
          <w:tcPr>
            <w:tcW w:w="0" w:type="auto"/>
            <w:hideMark/>
          </w:tcPr>
          <w:p w14:paraId="6CBAEECA" w14:textId="77777777" w:rsidR="00297161" w:rsidRPr="00297161" w:rsidRDefault="00297161" w:rsidP="00297161">
            <w:pPr>
              <w:spacing w:after="200"/>
              <w:cnfStyle w:val="100000000000" w:firstRow="1" w:lastRow="0" w:firstColumn="0" w:lastColumn="0" w:oddVBand="0" w:evenVBand="0" w:oddHBand="0" w:evenHBand="0" w:firstRowFirstColumn="0" w:firstRowLastColumn="0" w:lastRowFirstColumn="0" w:lastRowLastColumn="0"/>
              <w:rPr>
                <w:rFonts w:cs="Arial"/>
                <w:b/>
                <w:bCs/>
                <w:sz w:val="18"/>
                <w:szCs w:val="18"/>
              </w:rPr>
            </w:pPr>
            <w:r w:rsidRPr="00297161">
              <w:rPr>
                <w:rFonts w:cs="Arial"/>
                <w:b/>
                <w:bCs/>
                <w:sz w:val="18"/>
                <w:szCs w:val="18"/>
              </w:rPr>
              <w:t xml:space="preserve">ΔNER </w:t>
            </w:r>
            <w:proofErr w:type="spellStart"/>
            <w:r w:rsidRPr="00297161">
              <w:rPr>
                <w:rFonts w:cs="Arial"/>
                <w:b/>
                <w:bCs/>
                <w:sz w:val="18"/>
                <w:szCs w:val="18"/>
              </w:rPr>
              <w:t>pequeñas</w:t>
            </w:r>
            <w:proofErr w:type="spellEnd"/>
            <w:r w:rsidRPr="00297161">
              <w:rPr>
                <w:rFonts w:cs="Arial"/>
                <w:b/>
                <w:bCs/>
                <w:sz w:val="18"/>
                <w:szCs w:val="18"/>
              </w:rPr>
              <w:t xml:space="preserve"> (%)</w:t>
            </w:r>
          </w:p>
        </w:tc>
        <w:tc>
          <w:tcPr>
            <w:tcW w:w="0" w:type="auto"/>
            <w:hideMark/>
          </w:tcPr>
          <w:p w14:paraId="5A67BBF5" w14:textId="77777777" w:rsidR="00297161" w:rsidRPr="00297161" w:rsidRDefault="00297161" w:rsidP="00297161">
            <w:pPr>
              <w:spacing w:after="200"/>
              <w:cnfStyle w:val="100000000000" w:firstRow="1" w:lastRow="0" w:firstColumn="0" w:lastColumn="0" w:oddVBand="0" w:evenVBand="0" w:oddHBand="0" w:evenHBand="0" w:firstRowFirstColumn="0" w:firstRowLastColumn="0" w:lastRowFirstColumn="0" w:lastRowLastColumn="0"/>
              <w:rPr>
                <w:rFonts w:cs="Arial"/>
                <w:b/>
                <w:bCs/>
                <w:sz w:val="18"/>
                <w:szCs w:val="18"/>
              </w:rPr>
            </w:pPr>
            <w:r w:rsidRPr="00297161">
              <w:rPr>
                <w:rFonts w:cs="Arial"/>
                <w:b/>
                <w:bCs/>
                <w:sz w:val="18"/>
                <w:szCs w:val="18"/>
              </w:rPr>
              <w:t xml:space="preserve">ΔNER </w:t>
            </w:r>
            <w:proofErr w:type="spellStart"/>
            <w:r w:rsidRPr="00297161">
              <w:rPr>
                <w:rFonts w:cs="Arial"/>
                <w:b/>
                <w:bCs/>
                <w:sz w:val="18"/>
                <w:szCs w:val="18"/>
              </w:rPr>
              <w:t>grandes</w:t>
            </w:r>
            <w:proofErr w:type="spellEnd"/>
            <w:r w:rsidRPr="00297161">
              <w:rPr>
                <w:rFonts w:cs="Arial"/>
                <w:b/>
                <w:bCs/>
                <w:sz w:val="18"/>
                <w:szCs w:val="18"/>
              </w:rPr>
              <w:t xml:space="preserve"> (%)</w:t>
            </w:r>
          </w:p>
        </w:tc>
      </w:tr>
      <w:tr w:rsidR="00297161" w:rsidRPr="00297161" w14:paraId="1AFA648F" w14:textId="77777777" w:rsidTr="0029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0EA519" w14:textId="77777777" w:rsidR="00297161" w:rsidRPr="00297161" w:rsidRDefault="00297161" w:rsidP="00297161">
            <w:pPr>
              <w:spacing w:after="200"/>
              <w:rPr>
                <w:rFonts w:cs="Arial"/>
                <w:sz w:val="18"/>
                <w:szCs w:val="18"/>
              </w:rPr>
            </w:pPr>
            <w:proofErr w:type="spellStart"/>
            <w:r w:rsidRPr="00297161">
              <w:rPr>
                <w:rFonts w:cs="Arial"/>
                <w:sz w:val="18"/>
                <w:szCs w:val="18"/>
              </w:rPr>
              <w:t>Arancel</w:t>
            </w:r>
            <w:proofErr w:type="spellEnd"/>
            <w:r w:rsidRPr="00297161">
              <w:rPr>
                <w:rFonts w:cs="Arial"/>
                <w:sz w:val="18"/>
                <w:szCs w:val="18"/>
              </w:rPr>
              <w:t xml:space="preserve"> 10 %</w:t>
            </w:r>
          </w:p>
        </w:tc>
        <w:tc>
          <w:tcPr>
            <w:tcW w:w="0" w:type="auto"/>
            <w:hideMark/>
          </w:tcPr>
          <w:p w14:paraId="59E0A68B" w14:textId="77777777" w:rsidR="00297161" w:rsidRPr="00297161" w:rsidRDefault="00297161" w:rsidP="00297161">
            <w:pPr>
              <w:spacing w:after="200"/>
              <w:cnfStyle w:val="000000100000" w:firstRow="0" w:lastRow="0" w:firstColumn="0" w:lastColumn="0" w:oddVBand="0" w:evenVBand="0" w:oddHBand="1" w:evenHBand="0" w:firstRowFirstColumn="0" w:firstRowLastColumn="0" w:lastRowFirstColumn="0" w:lastRowLastColumn="0"/>
              <w:rPr>
                <w:rFonts w:cs="Arial"/>
                <w:sz w:val="18"/>
                <w:szCs w:val="18"/>
              </w:rPr>
            </w:pPr>
            <w:r w:rsidRPr="00297161">
              <w:rPr>
                <w:rFonts w:cs="Arial"/>
                <w:sz w:val="18"/>
                <w:szCs w:val="18"/>
              </w:rPr>
              <w:t>-9,7</w:t>
            </w:r>
          </w:p>
        </w:tc>
        <w:tc>
          <w:tcPr>
            <w:tcW w:w="0" w:type="auto"/>
            <w:hideMark/>
          </w:tcPr>
          <w:p w14:paraId="1A620315" w14:textId="77777777" w:rsidR="00297161" w:rsidRPr="00297161" w:rsidRDefault="00297161" w:rsidP="00297161">
            <w:pPr>
              <w:spacing w:after="200"/>
              <w:cnfStyle w:val="000000100000" w:firstRow="0" w:lastRow="0" w:firstColumn="0" w:lastColumn="0" w:oddVBand="0" w:evenVBand="0" w:oddHBand="1" w:evenHBand="0" w:firstRowFirstColumn="0" w:firstRowLastColumn="0" w:lastRowFirstColumn="0" w:lastRowLastColumn="0"/>
              <w:rPr>
                <w:rFonts w:cs="Arial"/>
                <w:sz w:val="18"/>
                <w:szCs w:val="18"/>
              </w:rPr>
            </w:pPr>
            <w:r w:rsidRPr="00297161">
              <w:rPr>
                <w:rFonts w:cs="Arial"/>
                <w:sz w:val="18"/>
                <w:szCs w:val="18"/>
              </w:rPr>
              <w:t>-12,4</w:t>
            </w:r>
          </w:p>
        </w:tc>
        <w:tc>
          <w:tcPr>
            <w:tcW w:w="0" w:type="auto"/>
            <w:hideMark/>
          </w:tcPr>
          <w:p w14:paraId="3D1CF546" w14:textId="77777777" w:rsidR="00297161" w:rsidRPr="00297161" w:rsidRDefault="00297161" w:rsidP="00297161">
            <w:pPr>
              <w:spacing w:after="200"/>
              <w:cnfStyle w:val="000000100000" w:firstRow="0" w:lastRow="0" w:firstColumn="0" w:lastColumn="0" w:oddVBand="0" w:evenVBand="0" w:oddHBand="1" w:evenHBand="0" w:firstRowFirstColumn="0" w:firstRowLastColumn="0" w:lastRowFirstColumn="0" w:lastRowLastColumn="0"/>
              <w:rPr>
                <w:rFonts w:cs="Arial"/>
                <w:sz w:val="18"/>
                <w:szCs w:val="18"/>
              </w:rPr>
            </w:pPr>
            <w:r w:rsidRPr="00297161">
              <w:rPr>
                <w:rFonts w:cs="Arial"/>
                <w:sz w:val="18"/>
                <w:szCs w:val="18"/>
              </w:rPr>
              <w:t>-8,7</w:t>
            </w:r>
          </w:p>
        </w:tc>
      </w:tr>
      <w:tr w:rsidR="00297161" w:rsidRPr="00297161" w14:paraId="155B358B" w14:textId="77777777" w:rsidTr="00297161">
        <w:tc>
          <w:tcPr>
            <w:cnfStyle w:val="001000000000" w:firstRow="0" w:lastRow="0" w:firstColumn="1" w:lastColumn="0" w:oddVBand="0" w:evenVBand="0" w:oddHBand="0" w:evenHBand="0" w:firstRowFirstColumn="0" w:firstRowLastColumn="0" w:lastRowFirstColumn="0" w:lastRowLastColumn="0"/>
            <w:tcW w:w="0" w:type="auto"/>
            <w:hideMark/>
          </w:tcPr>
          <w:p w14:paraId="12F08B88" w14:textId="77777777" w:rsidR="00297161" w:rsidRPr="00297161" w:rsidRDefault="00297161" w:rsidP="00297161">
            <w:pPr>
              <w:spacing w:after="200"/>
              <w:rPr>
                <w:rFonts w:cs="Arial"/>
                <w:sz w:val="18"/>
                <w:szCs w:val="18"/>
              </w:rPr>
            </w:pPr>
            <w:proofErr w:type="spellStart"/>
            <w:r w:rsidRPr="00297161">
              <w:rPr>
                <w:rFonts w:cs="Arial"/>
                <w:sz w:val="18"/>
                <w:szCs w:val="18"/>
              </w:rPr>
              <w:t>Arancel</w:t>
            </w:r>
            <w:proofErr w:type="spellEnd"/>
            <w:r w:rsidRPr="00297161">
              <w:rPr>
                <w:rFonts w:cs="Arial"/>
                <w:sz w:val="18"/>
                <w:szCs w:val="18"/>
              </w:rPr>
              <w:t xml:space="preserve"> 10 % + PEN + 5 %</w:t>
            </w:r>
          </w:p>
        </w:tc>
        <w:tc>
          <w:tcPr>
            <w:tcW w:w="0" w:type="auto"/>
            <w:hideMark/>
          </w:tcPr>
          <w:p w14:paraId="3125A21F" w14:textId="77777777" w:rsidR="00297161" w:rsidRPr="00297161" w:rsidRDefault="00297161" w:rsidP="00297161">
            <w:pPr>
              <w:spacing w:after="200"/>
              <w:cnfStyle w:val="000000000000" w:firstRow="0" w:lastRow="0" w:firstColumn="0" w:lastColumn="0" w:oddVBand="0" w:evenVBand="0" w:oddHBand="0" w:evenHBand="0" w:firstRowFirstColumn="0" w:firstRowLastColumn="0" w:lastRowFirstColumn="0" w:lastRowLastColumn="0"/>
              <w:rPr>
                <w:rFonts w:cs="Arial"/>
                <w:sz w:val="18"/>
                <w:szCs w:val="18"/>
              </w:rPr>
            </w:pPr>
            <w:r w:rsidRPr="00297161">
              <w:rPr>
                <w:rFonts w:cs="Arial"/>
                <w:sz w:val="18"/>
                <w:szCs w:val="18"/>
              </w:rPr>
              <w:t>-14,0</w:t>
            </w:r>
          </w:p>
        </w:tc>
        <w:tc>
          <w:tcPr>
            <w:tcW w:w="0" w:type="auto"/>
            <w:hideMark/>
          </w:tcPr>
          <w:p w14:paraId="0BC93E34" w14:textId="77777777" w:rsidR="00297161" w:rsidRPr="00297161" w:rsidRDefault="00297161" w:rsidP="00297161">
            <w:pPr>
              <w:spacing w:after="200"/>
              <w:cnfStyle w:val="000000000000" w:firstRow="0" w:lastRow="0" w:firstColumn="0" w:lastColumn="0" w:oddVBand="0" w:evenVBand="0" w:oddHBand="0" w:evenHBand="0" w:firstRowFirstColumn="0" w:firstRowLastColumn="0" w:lastRowFirstColumn="0" w:lastRowLastColumn="0"/>
              <w:rPr>
                <w:rFonts w:cs="Arial"/>
                <w:sz w:val="18"/>
                <w:szCs w:val="18"/>
              </w:rPr>
            </w:pPr>
            <w:r w:rsidRPr="00297161">
              <w:rPr>
                <w:rFonts w:cs="Arial"/>
                <w:sz w:val="18"/>
                <w:szCs w:val="18"/>
              </w:rPr>
              <w:t>-16,8</w:t>
            </w:r>
          </w:p>
        </w:tc>
        <w:tc>
          <w:tcPr>
            <w:tcW w:w="0" w:type="auto"/>
            <w:hideMark/>
          </w:tcPr>
          <w:p w14:paraId="42641A8C" w14:textId="77777777" w:rsidR="00297161" w:rsidRPr="00297161" w:rsidRDefault="00297161" w:rsidP="00297161">
            <w:pPr>
              <w:spacing w:after="200"/>
              <w:cnfStyle w:val="000000000000" w:firstRow="0" w:lastRow="0" w:firstColumn="0" w:lastColumn="0" w:oddVBand="0" w:evenVBand="0" w:oddHBand="0" w:evenHBand="0" w:firstRowFirstColumn="0" w:firstRowLastColumn="0" w:lastRowFirstColumn="0" w:lastRowLastColumn="0"/>
              <w:rPr>
                <w:rFonts w:cs="Arial"/>
                <w:sz w:val="18"/>
                <w:szCs w:val="18"/>
              </w:rPr>
            </w:pPr>
            <w:r w:rsidRPr="00297161">
              <w:rPr>
                <w:rFonts w:cs="Arial"/>
                <w:sz w:val="18"/>
                <w:szCs w:val="18"/>
              </w:rPr>
              <w:t>-12,9</w:t>
            </w:r>
          </w:p>
        </w:tc>
      </w:tr>
      <w:tr w:rsidR="00297161" w:rsidRPr="00297161" w14:paraId="67F80324" w14:textId="77777777" w:rsidTr="0029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21D050" w14:textId="77777777" w:rsidR="00297161" w:rsidRPr="00297161" w:rsidRDefault="00297161" w:rsidP="00297161">
            <w:pPr>
              <w:spacing w:after="200"/>
              <w:rPr>
                <w:rFonts w:cs="Arial"/>
                <w:sz w:val="18"/>
                <w:szCs w:val="18"/>
              </w:rPr>
            </w:pPr>
            <w:proofErr w:type="spellStart"/>
            <w:r w:rsidRPr="00297161">
              <w:rPr>
                <w:rFonts w:cs="Arial"/>
                <w:sz w:val="18"/>
                <w:szCs w:val="18"/>
              </w:rPr>
              <w:t>Arancel</w:t>
            </w:r>
            <w:proofErr w:type="spellEnd"/>
            <w:r w:rsidRPr="00297161">
              <w:rPr>
                <w:rFonts w:cs="Arial"/>
                <w:sz w:val="18"/>
                <w:szCs w:val="18"/>
              </w:rPr>
              <w:t xml:space="preserve"> 10 % + </w:t>
            </w:r>
            <w:proofErr w:type="spellStart"/>
            <w:r w:rsidRPr="00297161">
              <w:rPr>
                <w:rFonts w:cs="Arial"/>
                <w:sz w:val="18"/>
                <w:szCs w:val="18"/>
              </w:rPr>
              <w:t>Eficiencia</w:t>
            </w:r>
            <w:proofErr w:type="spellEnd"/>
            <w:r w:rsidRPr="00297161">
              <w:rPr>
                <w:rFonts w:cs="Arial"/>
                <w:sz w:val="18"/>
                <w:szCs w:val="18"/>
              </w:rPr>
              <w:t xml:space="preserve"> – 4 %</w:t>
            </w:r>
          </w:p>
        </w:tc>
        <w:tc>
          <w:tcPr>
            <w:tcW w:w="0" w:type="auto"/>
            <w:hideMark/>
          </w:tcPr>
          <w:p w14:paraId="17417D75" w14:textId="77777777" w:rsidR="00297161" w:rsidRPr="00297161" w:rsidRDefault="00297161" w:rsidP="00297161">
            <w:pPr>
              <w:spacing w:after="200"/>
              <w:cnfStyle w:val="000000100000" w:firstRow="0" w:lastRow="0" w:firstColumn="0" w:lastColumn="0" w:oddVBand="0" w:evenVBand="0" w:oddHBand="1" w:evenHBand="0" w:firstRowFirstColumn="0" w:firstRowLastColumn="0" w:lastRowFirstColumn="0" w:lastRowLastColumn="0"/>
              <w:rPr>
                <w:rFonts w:cs="Arial"/>
                <w:sz w:val="18"/>
                <w:szCs w:val="18"/>
              </w:rPr>
            </w:pPr>
            <w:r w:rsidRPr="00297161">
              <w:rPr>
                <w:rFonts w:cs="Arial"/>
                <w:sz w:val="18"/>
                <w:szCs w:val="18"/>
              </w:rPr>
              <w:t>-5,6</w:t>
            </w:r>
          </w:p>
        </w:tc>
        <w:tc>
          <w:tcPr>
            <w:tcW w:w="0" w:type="auto"/>
            <w:hideMark/>
          </w:tcPr>
          <w:p w14:paraId="4676B6AA" w14:textId="77777777" w:rsidR="00297161" w:rsidRPr="00297161" w:rsidRDefault="00297161" w:rsidP="00297161">
            <w:pPr>
              <w:spacing w:after="200"/>
              <w:cnfStyle w:val="000000100000" w:firstRow="0" w:lastRow="0" w:firstColumn="0" w:lastColumn="0" w:oddVBand="0" w:evenVBand="0" w:oddHBand="1" w:evenHBand="0" w:firstRowFirstColumn="0" w:firstRowLastColumn="0" w:lastRowFirstColumn="0" w:lastRowLastColumn="0"/>
              <w:rPr>
                <w:rFonts w:cs="Arial"/>
                <w:sz w:val="18"/>
                <w:szCs w:val="18"/>
              </w:rPr>
            </w:pPr>
            <w:r w:rsidRPr="00297161">
              <w:rPr>
                <w:rFonts w:cs="Arial"/>
                <w:sz w:val="18"/>
                <w:szCs w:val="18"/>
              </w:rPr>
              <w:t>-8,4</w:t>
            </w:r>
          </w:p>
        </w:tc>
        <w:tc>
          <w:tcPr>
            <w:tcW w:w="0" w:type="auto"/>
            <w:hideMark/>
          </w:tcPr>
          <w:p w14:paraId="534A6455" w14:textId="77777777" w:rsidR="00297161" w:rsidRPr="00297161" w:rsidRDefault="00297161" w:rsidP="00297161">
            <w:pPr>
              <w:spacing w:after="200"/>
              <w:cnfStyle w:val="000000100000" w:firstRow="0" w:lastRow="0" w:firstColumn="0" w:lastColumn="0" w:oddVBand="0" w:evenVBand="0" w:oddHBand="1" w:evenHBand="0" w:firstRowFirstColumn="0" w:firstRowLastColumn="0" w:lastRowFirstColumn="0" w:lastRowLastColumn="0"/>
              <w:rPr>
                <w:rFonts w:cs="Arial"/>
                <w:sz w:val="18"/>
                <w:szCs w:val="18"/>
              </w:rPr>
            </w:pPr>
            <w:r w:rsidRPr="00297161">
              <w:rPr>
                <w:rFonts w:cs="Arial"/>
                <w:sz w:val="18"/>
                <w:szCs w:val="18"/>
              </w:rPr>
              <w:t>-4,3</w:t>
            </w:r>
          </w:p>
        </w:tc>
      </w:tr>
    </w:tbl>
    <w:p w14:paraId="3BA7B48D" w14:textId="77777777" w:rsidR="00672446" w:rsidRDefault="00672446" w:rsidP="009B4C89">
      <w:pPr>
        <w:spacing w:line="240" w:lineRule="auto"/>
        <w:rPr>
          <w:rFonts w:cs="Arial"/>
          <w:lang w:val="es-PE"/>
        </w:rPr>
      </w:pPr>
    </w:p>
    <w:p w14:paraId="09A5D632" w14:textId="77777777" w:rsidR="00297161" w:rsidRPr="00297161" w:rsidRDefault="00297161" w:rsidP="00297161">
      <w:pPr>
        <w:spacing w:line="240" w:lineRule="auto"/>
        <w:rPr>
          <w:rFonts w:cs="Arial"/>
          <w:lang w:val="es-PE"/>
        </w:rPr>
      </w:pPr>
      <w:r w:rsidRPr="00297161">
        <w:rPr>
          <w:rFonts w:cs="Arial"/>
          <w:b/>
          <w:bCs/>
          <w:lang w:val="es-PE"/>
        </w:rPr>
        <w:t>Tabla 4-2. Déficit anual estimado de canon y regalías</w:t>
      </w:r>
    </w:p>
    <w:tbl>
      <w:tblPr>
        <w:tblStyle w:val="PlainTable5"/>
        <w:tblW w:w="0" w:type="auto"/>
        <w:tblLook w:val="04A0" w:firstRow="1" w:lastRow="0" w:firstColumn="1" w:lastColumn="0" w:noHBand="0" w:noVBand="1"/>
      </w:tblPr>
      <w:tblGrid>
        <w:gridCol w:w="2012"/>
        <w:gridCol w:w="2308"/>
      </w:tblGrid>
      <w:tr w:rsidR="00297161" w:rsidRPr="00297161" w14:paraId="56CE5461" w14:textId="77777777" w:rsidTr="0029716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9A1C995" w14:textId="77777777" w:rsidR="00297161" w:rsidRPr="00297161" w:rsidRDefault="00297161" w:rsidP="00297161">
            <w:pPr>
              <w:spacing w:after="200"/>
              <w:jc w:val="left"/>
              <w:rPr>
                <w:rFonts w:cs="Arial"/>
                <w:b/>
                <w:bCs/>
                <w:sz w:val="18"/>
                <w:szCs w:val="18"/>
              </w:rPr>
            </w:pPr>
            <w:proofErr w:type="spellStart"/>
            <w:r w:rsidRPr="00297161">
              <w:rPr>
                <w:rFonts w:cs="Arial"/>
                <w:b/>
                <w:bCs/>
                <w:sz w:val="18"/>
                <w:szCs w:val="18"/>
              </w:rPr>
              <w:t>Escenario</w:t>
            </w:r>
            <w:proofErr w:type="spellEnd"/>
          </w:p>
        </w:tc>
        <w:tc>
          <w:tcPr>
            <w:tcW w:w="0" w:type="auto"/>
            <w:hideMark/>
          </w:tcPr>
          <w:p w14:paraId="0EBF2A81" w14:textId="77777777" w:rsidR="00297161" w:rsidRPr="00297161" w:rsidRDefault="00297161" w:rsidP="00297161">
            <w:pPr>
              <w:spacing w:after="200"/>
              <w:cnfStyle w:val="100000000000" w:firstRow="1" w:lastRow="0" w:firstColumn="0" w:lastColumn="0" w:oddVBand="0" w:evenVBand="0" w:oddHBand="0" w:evenHBand="0" w:firstRowFirstColumn="0" w:firstRowLastColumn="0" w:lastRowFirstColumn="0" w:lastRowLastColumn="0"/>
              <w:rPr>
                <w:rFonts w:cs="Arial"/>
                <w:b/>
                <w:bCs/>
                <w:sz w:val="18"/>
                <w:szCs w:val="18"/>
                <w:lang w:val="es-PE"/>
              </w:rPr>
            </w:pPr>
            <w:r w:rsidRPr="00297161">
              <w:rPr>
                <w:rFonts w:cs="Arial"/>
                <w:b/>
                <w:bCs/>
                <w:sz w:val="18"/>
                <w:szCs w:val="18"/>
                <w:lang w:val="es-PE"/>
              </w:rPr>
              <w:t>Déficit canon + regalías (M USD/año)</w:t>
            </w:r>
          </w:p>
        </w:tc>
      </w:tr>
      <w:tr w:rsidR="00297161" w:rsidRPr="00297161" w14:paraId="45EFA278" w14:textId="77777777" w:rsidTr="0029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7EBF3" w14:textId="77777777" w:rsidR="00297161" w:rsidRPr="00297161" w:rsidRDefault="00297161" w:rsidP="00297161">
            <w:pPr>
              <w:spacing w:after="200"/>
              <w:rPr>
                <w:rFonts w:cs="Arial"/>
                <w:sz w:val="18"/>
                <w:szCs w:val="18"/>
              </w:rPr>
            </w:pPr>
            <w:proofErr w:type="spellStart"/>
            <w:r w:rsidRPr="00297161">
              <w:rPr>
                <w:rFonts w:cs="Arial"/>
                <w:sz w:val="18"/>
                <w:szCs w:val="18"/>
              </w:rPr>
              <w:t>Arancel</w:t>
            </w:r>
            <w:proofErr w:type="spellEnd"/>
            <w:r w:rsidRPr="00297161">
              <w:rPr>
                <w:rFonts w:cs="Arial"/>
                <w:sz w:val="18"/>
                <w:szCs w:val="18"/>
              </w:rPr>
              <w:t xml:space="preserve"> 10 %</w:t>
            </w:r>
          </w:p>
        </w:tc>
        <w:tc>
          <w:tcPr>
            <w:tcW w:w="0" w:type="auto"/>
            <w:hideMark/>
          </w:tcPr>
          <w:p w14:paraId="2D739388" w14:textId="77777777" w:rsidR="00297161" w:rsidRPr="00297161" w:rsidRDefault="00297161" w:rsidP="00297161">
            <w:pPr>
              <w:spacing w:after="200"/>
              <w:cnfStyle w:val="000000100000" w:firstRow="0" w:lastRow="0" w:firstColumn="0" w:lastColumn="0" w:oddVBand="0" w:evenVBand="0" w:oddHBand="1" w:evenHBand="0" w:firstRowFirstColumn="0" w:firstRowLastColumn="0" w:lastRowFirstColumn="0" w:lastRowLastColumn="0"/>
              <w:rPr>
                <w:rFonts w:cs="Arial"/>
                <w:sz w:val="18"/>
                <w:szCs w:val="18"/>
              </w:rPr>
            </w:pPr>
            <w:r w:rsidRPr="00297161">
              <w:rPr>
                <w:rFonts w:cs="Arial"/>
                <w:sz w:val="18"/>
                <w:szCs w:val="18"/>
              </w:rPr>
              <w:t>134,0</w:t>
            </w:r>
          </w:p>
        </w:tc>
      </w:tr>
      <w:tr w:rsidR="00297161" w:rsidRPr="00297161" w14:paraId="226E8F71" w14:textId="77777777" w:rsidTr="00297161">
        <w:tc>
          <w:tcPr>
            <w:cnfStyle w:val="001000000000" w:firstRow="0" w:lastRow="0" w:firstColumn="1" w:lastColumn="0" w:oddVBand="0" w:evenVBand="0" w:oddHBand="0" w:evenHBand="0" w:firstRowFirstColumn="0" w:firstRowLastColumn="0" w:lastRowFirstColumn="0" w:lastRowLastColumn="0"/>
            <w:tcW w:w="0" w:type="auto"/>
            <w:hideMark/>
          </w:tcPr>
          <w:p w14:paraId="1538BC2C" w14:textId="77777777" w:rsidR="00297161" w:rsidRPr="00297161" w:rsidRDefault="00297161" w:rsidP="00297161">
            <w:pPr>
              <w:spacing w:after="200"/>
              <w:rPr>
                <w:rFonts w:cs="Arial"/>
                <w:sz w:val="18"/>
                <w:szCs w:val="18"/>
              </w:rPr>
            </w:pPr>
            <w:proofErr w:type="spellStart"/>
            <w:r w:rsidRPr="00297161">
              <w:rPr>
                <w:rFonts w:cs="Arial"/>
                <w:sz w:val="18"/>
                <w:szCs w:val="18"/>
              </w:rPr>
              <w:t>Arancel</w:t>
            </w:r>
            <w:proofErr w:type="spellEnd"/>
            <w:r w:rsidRPr="00297161">
              <w:rPr>
                <w:rFonts w:cs="Arial"/>
                <w:sz w:val="18"/>
                <w:szCs w:val="18"/>
              </w:rPr>
              <w:t xml:space="preserve"> 10 % + PEN + 5 %</w:t>
            </w:r>
          </w:p>
        </w:tc>
        <w:tc>
          <w:tcPr>
            <w:tcW w:w="0" w:type="auto"/>
            <w:hideMark/>
          </w:tcPr>
          <w:p w14:paraId="3C97B103" w14:textId="77777777" w:rsidR="00297161" w:rsidRPr="00297161" w:rsidRDefault="00297161" w:rsidP="00297161">
            <w:pPr>
              <w:spacing w:after="200"/>
              <w:cnfStyle w:val="000000000000" w:firstRow="0" w:lastRow="0" w:firstColumn="0" w:lastColumn="0" w:oddVBand="0" w:evenVBand="0" w:oddHBand="0" w:evenHBand="0" w:firstRowFirstColumn="0" w:firstRowLastColumn="0" w:lastRowFirstColumn="0" w:lastRowLastColumn="0"/>
              <w:rPr>
                <w:rFonts w:cs="Arial"/>
                <w:sz w:val="18"/>
                <w:szCs w:val="18"/>
              </w:rPr>
            </w:pPr>
            <w:r w:rsidRPr="00297161">
              <w:rPr>
                <w:rFonts w:cs="Arial"/>
                <w:sz w:val="18"/>
                <w:szCs w:val="18"/>
              </w:rPr>
              <w:t>178,0</w:t>
            </w:r>
          </w:p>
        </w:tc>
      </w:tr>
      <w:tr w:rsidR="00297161" w:rsidRPr="00297161" w14:paraId="240650DD" w14:textId="77777777" w:rsidTr="0029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81A33E" w14:textId="77777777" w:rsidR="00297161" w:rsidRPr="00297161" w:rsidRDefault="00297161" w:rsidP="00297161">
            <w:pPr>
              <w:spacing w:after="200"/>
              <w:rPr>
                <w:rFonts w:cs="Arial"/>
                <w:sz w:val="18"/>
                <w:szCs w:val="18"/>
              </w:rPr>
            </w:pPr>
            <w:proofErr w:type="spellStart"/>
            <w:r w:rsidRPr="00297161">
              <w:rPr>
                <w:rFonts w:cs="Arial"/>
                <w:sz w:val="18"/>
                <w:szCs w:val="18"/>
              </w:rPr>
              <w:t>Arancel</w:t>
            </w:r>
            <w:proofErr w:type="spellEnd"/>
            <w:r w:rsidRPr="00297161">
              <w:rPr>
                <w:rFonts w:cs="Arial"/>
                <w:sz w:val="18"/>
                <w:szCs w:val="18"/>
              </w:rPr>
              <w:t xml:space="preserve"> 10 % + </w:t>
            </w:r>
            <w:proofErr w:type="spellStart"/>
            <w:r w:rsidRPr="00297161">
              <w:rPr>
                <w:rFonts w:cs="Arial"/>
                <w:sz w:val="18"/>
                <w:szCs w:val="18"/>
              </w:rPr>
              <w:t>Eficiencia</w:t>
            </w:r>
            <w:proofErr w:type="spellEnd"/>
            <w:r w:rsidRPr="00297161">
              <w:rPr>
                <w:rFonts w:cs="Arial"/>
                <w:sz w:val="18"/>
                <w:szCs w:val="18"/>
              </w:rPr>
              <w:t xml:space="preserve"> – 4 %</w:t>
            </w:r>
          </w:p>
        </w:tc>
        <w:tc>
          <w:tcPr>
            <w:tcW w:w="0" w:type="auto"/>
            <w:hideMark/>
          </w:tcPr>
          <w:p w14:paraId="3660360D" w14:textId="77777777" w:rsidR="00297161" w:rsidRPr="00297161" w:rsidRDefault="00297161" w:rsidP="00297161">
            <w:pPr>
              <w:spacing w:after="200"/>
              <w:cnfStyle w:val="000000100000" w:firstRow="0" w:lastRow="0" w:firstColumn="0" w:lastColumn="0" w:oddVBand="0" w:evenVBand="0" w:oddHBand="1" w:evenHBand="0" w:firstRowFirstColumn="0" w:firstRowLastColumn="0" w:lastRowFirstColumn="0" w:lastRowLastColumn="0"/>
              <w:rPr>
                <w:rFonts w:cs="Arial"/>
                <w:sz w:val="18"/>
                <w:szCs w:val="18"/>
              </w:rPr>
            </w:pPr>
            <w:r w:rsidRPr="00297161">
              <w:rPr>
                <w:rFonts w:cs="Arial"/>
                <w:sz w:val="18"/>
                <w:szCs w:val="18"/>
              </w:rPr>
              <w:t>80,0</w:t>
            </w:r>
          </w:p>
        </w:tc>
      </w:tr>
    </w:tbl>
    <w:p w14:paraId="58C3BF4D" w14:textId="77777777" w:rsidR="00297161" w:rsidRDefault="00297161" w:rsidP="009B4C89">
      <w:pPr>
        <w:spacing w:line="240" w:lineRule="auto"/>
        <w:rPr>
          <w:rFonts w:cs="Arial"/>
          <w:lang w:val="es-PE"/>
        </w:rPr>
      </w:pPr>
    </w:p>
    <w:p w14:paraId="11FF536E" w14:textId="77777777" w:rsidR="00297161" w:rsidRPr="00297161" w:rsidRDefault="00297161" w:rsidP="00297161">
      <w:pPr>
        <w:spacing w:line="240" w:lineRule="auto"/>
        <w:rPr>
          <w:rFonts w:cs="Arial"/>
          <w:lang w:val="es-PE"/>
        </w:rPr>
      </w:pPr>
      <w:r w:rsidRPr="00297161">
        <w:rPr>
          <w:rFonts w:cs="Arial"/>
          <w:b/>
          <w:bCs/>
          <w:lang w:val="es-PE"/>
        </w:rPr>
        <w:t>Tabla 4-3. Coeficientes del modelo OLS (R² = 0,95)</w:t>
      </w:r>
    </w:p>
    <w:p w14:paraId="01C8C4E7" w14:textId="77777777" w:rsidR="00297161" w:rsidRDefault="00297161" w:rsidP="009B4C89">
      <w:pPr>
        <w:spacing w:line="240" w:lineRule="auto"/>
        <w:rPr>
          <w:rFonts w:cs="Arial"/>
          <w:lang w:val="es-PE"/>
        </w:rPr>
      </w:pPr>
    </w:p>
    <w:tbl>
      <w:tblPr>
        <w:tblStyle w:val="PlainTable5"/>
        <w:tblW w:w="0" w:type="auto"/>
        <w:tblLook w:val="04A0" w:firstRow="1" w:lastRow="0" w:firstColumn="1" w:lastColumn="0" w:noHBand="0" w:noVBand="1"/>
      </w:tblPr>
      <w:tblGrid>
        <w:gridCol w:w="1354"/>
        <w:gridCol w:w="1600"/>
      </w:tblGrid>
      <w:tr w:rsidR="00297161" w:rsidRPr="00297161" w14:paraId="230DE8E3" w14:textId="77777777" w:rsidTr="0029716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C9EE3A7" w14:textId="77777777" w:rsidR="00297161" w:rsidRPr="00297161" w:rsidRDefault="00297161" w:rsidP="00297161">
            <w:pPr>
              <w:widowControl w:val="0"/>
              <w:jc w:val="left"/>
              <w:rPr>
                <w:rFonts w:eastAsia="Arial" w:cs="Arial"/>
                <w:b/>
                <w:bCs/>
              </w:rPr>
            </w:pPr>
            <w:r w:rsidRPr="00297161">
              <w:rPr>
                <w:rFonts w:eastAsia="Arial" w:cs="Arial"/>
                <w:b/>
                <w:bCs/>
              </w:rPr>
              <w:t>Variable</w:t>
            </w:r>
          </w:p>
        </w:tc>
        <w:tc>
          <w:tcPr>
            <w:tcW w:w="0" w:type="auto"/>
            <w:hideMark/>
          </w:tcPr>
          <w:p w14:paraId="469025FB" w14:textId="77777777" w:rsidR="00297161" w:rsidRPr="00297161" w:rsidRDefault="00297161" w:rsidP="00297161">
            <w:pPr>
              <w:widowControl w:val="0"/>
              <w:cnfStyle w:val="100000000000" w:firstRow="1" w:lastRow="0" w:firstColumn="0" w:lastColumn="0" w:oddVBand="0" w:evenVBand="0" w:oddHBand="0" w:evenHBand="0" w:firstRowFirstColumn="0" w:firstRowLastColumn="0" w:lastRowFirstColumn="0" w:lastRowLastColumn="0"/>
              <w:rPr>
                <w:rFonts w:eastAsia="Arial" w:cs="Arial"/>
                <w:b/>
                <w:bCs/>
              </w:rPr>
            </w:pPr>
            <w:r w:rsidRPr="00297161">
              <w:rPr>
                <w:rFonts w:eastAsia="Arial" w:cs="Arial"/>
                <w:b/>
                <w:bCs/>
              </w:rPr>
              <w:t>Coeficiente β</w:t>
            </w:r>
          </w:p>
        </w:tc>
      </w:tr>
      <w:tr w:rsidR="00297161" w:rsidRPr="00297161" w14:paraId="04BA4300" w14:textId="77777777" w:rsidTr="0029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C0E66" w14:textId="77777777" w:rsidR="00297161" w:rsidRPr="00297161" w:rsidRDefault="00297161" w:rsidP="00297161">
            <w:pPr>
              <w:widowControl w:val="0"/>
              <w:rPr>
                <w:rFonts w:eastAsia="Arial" w:cs="Arial"/>
                <w:b/>
                <w:bCs/>
              </w:rPr>
            </w:pPr>
            <w:proofErr w:type="spellStart"/>
            <w:r w:rsidRPr="00297161">
              <w:rPr>
                <w:rFonts w:eastAsia="Arial" w:cs="Arial"/>
                <w:b/>
                <w:bCs/>
              </w:rPr>
              <w:t>Intercepto</w:t>
            </w:r>
            <w:proofErr w:type="spellEnd"/>
          </w:p>
        </w:tc>
        <w:tc>
          <w:tcPr>
            <w:tcW w:w="0" w:type="auto"/>
            <w:hideMark/>
          </w:tcPr>
          <w:p w14:paraId="4EB15943" w14:textId="77777777" w:rsidR="00297161" w:rsidRPr="00297161" w:rsidRDefault="00297161" w:rsidP="00297161">
            <w:pPr>
              <w:widowControl w:val="0"/>
              <w:cnfStyle w:val="000000100000" w:firstRow="0" w:lastRow="0" w:firstColumn="0" w:lastColumn="0" w:oddVBand="0" w:evenVBand="0" w:oddHBand="1" w:evenHBand="0" w:firstRowFirstColumn="0" w:firstRowLastColumn="0" w:lastRowFirstColumn="0" w:lastRowLastColumn="0"/>
              <w:rPr>
                <w:rFonts w:eastAsia="Arial" w:cs="Arial"/>
                <w:b/>
                <w:bCs/>
              </w:rPr>
            </w:pPr>
            <w:r w:rsidRPr="00297161">
              <w:rPr>
                <w:rFonts w:eastAsia="Arial" w:cs="Arial"/>
                <w:b/>
                <w:bCs/>
              </w:rPr>
              <w:t>-0,023</w:t>
            </w:r>
          </w:p>
        </w:tc>
      </w:tr>
      <w:tr w:rsidR="00297161" w:rsidRPr="00297161" w14:paraId="6373540F" w14:textId="77777777" w:rsidTr="00297161">
        <w:tc>
          <w:tcPr>
            <w:cnfStyle w:val="001000000000" w:firstRow="0" w:lastRow="0" w:firstColumn="1" w:lastColumn="0" w:oddVBand="0" w:evenVBand="0" w:oddHBand="0" w:evenHBand="0" w:firstRowFirstColumn="0" w:firstRowLastColumn="0" w:lastRowFirstColumn="0" w:lastRowLastColumn="0"/>
            <w:tcW w:w="0" w:type="auto"/>
            <w:hideMark/>
          </w:tcPr>
          <w:p w14:paraId="78A8FA70" w14:textId="77777777" w:rsidR="00297161" w:rsidRPr="00297161" w:rsidRDefault="00297161" w:rsidP="00297161">
            <w:pPr>
              <w:widowControl w:val="0"/>
              <w:rPr>
                <w:rFonts w:eastAsia="Arial" w:cs="Arial"/>
                <w:b/>
                <w:bCs/>
              </w:rPr>
            </w:pPr>
            <w:proofErr w:type="spellStart"/>
            <w:r w:rsidRPr="00297161">
              <w:rPr>
                <w:rFonts w:eastAsia="Arial" w:cs="Arial"/>
                <w:b/>
                <w:bCs/>
              </w:rPr>
              <w:t>scaleSmall</w:t>
            </w:r>
            <w:proofErr w:type="spellEnd"/>
          </w:p>
        </w:tc>
        <w:tc>
          <w:tcPr>
            <w:tcW w:w="0" w:type="auto"/>
            <w:hideMark/>
          </w:tcPr>
          <w:p w14:paraId="059C97AC" w14:textId="77777777" w:rsidR="00297161" w:rsidRPr="00297161" w:rsidRDefault="00297161" w:rsidP="00297161">
            <w:pPr>
              <w:widowControl w:val="0"/>
              <w:cnfStyle w:val="000000000000" w:firstRow="0" w:lastRow="0" w:firstColumn="0" w:lastColumn="0" w:oddVBand="0" w:evenVBand="0" w:oddHBand="0" w:evenHBand="0" w:firstRowFirstColumn="0" w:firstRowLastColumn="0" w:lastRowFirstColumn="0" w:lastRowLastColumn="0"/>
              <w:rPr>
                <w:rFonts w:eastAsia="Arial" w:cs="Arial"/>
                <w:b/>
                <w:bCs/>
              </w:rPr>
            </w:pPr>
            <w:r w:rsidRPr="00297161">
              <w:rPr>
                <w:rFonts w:eastAsia="Arial" w:cs="Arial"/>
                <w:b/>
                <w:bCs/>
              </w:rPr>
              <w:t>+0,037</w:t>
            </w:r>
          </w:p>
        </w:tc>
      </w:tr>
      <w:tr w:rsidR="00297161" w:rsidRPr="00297161" w14:paraId="48FC51F9" w14:textId="77777777" w:rsidTr="0029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6CB497" w14:textId="77777777" w:rsidR="00297161" w:rsidRPr="00297161" w:rsidRDefault="00297161" w:rsidP="00297161">
            <w:pPr>
              <w:widowControl w:val="0"/>
              <w:rPr>
                <w:rFonts w:eastAsia="Arial" w:cs="Arial"/>
                <w:b/>
                <w:bCs/>
              </w:rPr>
            </w:pPr>
            <w:proofErr w:type="spellStart"/>
            <w:r w:rsidRPr="00297161">
              <w:rPr>
                <w:rFonts w:eastAsia="Arial" w:cs="Arial"/>
                <w:b/>
                <w:bCs/>
              </w:rPr>
              <w:t>costShare</w:t>
            </w:r>
            <w:proofErr w:type="spellEnd"/>
          </w:p>
        </w:tc>
        <w:tc>
          <w:tcPr>
            <w:tcW w:w="0" w:type="auto"/>
            <w:hideMark/>
          </w:tcPr>
          <w:p w14:paraId="1758E956" w14:textId="77777777" w:rsidR="00297161" w:rsidRPr="00297161" w:rsidRDefault="00297161" w:rsidP="00297161">
            <w:pPr>
              <w:widowControl w:val="0"/>
              <w:cnfStyle w:val="000000100000" w:firstRow="0" w:lastRow="0" w:firstColumn="0" w:lastColumn="0" w:oddVBand="0" w:evenVBand="0" w:oddHBand="1" w:evenHBand="0" w:firstRowFirstColumn="0" w:firstRowLastColumn="0" w:lastRowFirstColumn="0" w:lastRowLastColumn="0"/>
              <w:rPr>
                <w:rFonts w:eastAsia="Arial" w:cs="Arial"/>
                <w:b/>
                <w:bCs/>
              </w:rPr>
            </w:pPr>
            <w:r w:rsidRPr="00297161">
              <w:rPr>
                <w:rFonts w:eastAsia="Arial" w:cs="Arial"/>
                <w:b/>
                <w:bCs/>
              </w:rPr>
              <w:t>+0,080</w:t>
            </w:r>
          </w:p>
        </w:tc>
      </w:tr>
      <w:tr w:rsidR="00297161" w:rsidRPr="00297161" w14:paraId="7DF33269" w14:textId="77777777" w:rsidTr="00297161">
        <w:tc>
          <w:tcPr>
            <w:cnfStyle w:val="001000000000" w:firstRow="0" w:lastRow="0" w:firstColumn="1" w:lastColumn="0" w:oddVBand="0" w:evenVBand="0" w:oddHBand="0" w:evenHBand="0" w:firstRowFirstColumn="0" w:firstRowLastColumn="0" w:lastRowFirstColumn="0" w:lastRowLastColumn="0"/>
            <w:tcW w:w="0" w:type="auto"/>
            <w:hideMark/>
          </w:tcPr>
          <w:p w14:paraId="12E18D1C" w14:textId="77777777" w:rsidR="00297161" w:rsidRPr="00297161" w:rsidRDefault="00297161" w:rsidP="00297161">
            <w:pPr>
              <w:widowControl w:val="0"/>
              <w:rPr>
                <w:rFonts w:eastAsia="Arial" w:cs="Arial"/>
                <w:b/>
                <w:bCs/>
              </w:rPr>
            </w:pPr>
            <w:proofErr w:type="spellStart"/>
            <w:r w:rsidRPr="00297161">
              <w:rPr>
                <w:rFonts w:eastAsia="Arial" w:cs="Arial"/>
                <w:b/>
                <w:bCs/>
              </w:rPr>
              <w:t>tariffEff</w:t>
            </w:r>
            <w:proofErr w:type="spellEnd"/>
          </w:p>
        </w:tc>
        <w:tc>
          <w:tcPr>
            <w:tcW w:w="0" w:type="auto"/>
            <w:hideMark/>
          </w:tcPr>
          <w:p w14:paraId="71EF21DE" w14:textId="77777777" w:rsidR="00297161" w:rsidRPr="00297161" w:rsidRDefault="00297161" w:rsidP="00297161">
            <w:pPr>
              <w:widowControl w:val="0"/>
              <w:cnfStyle w:val="000000000000" w:firstRow="0" w:lastRow="0" w:firstColumn="0" w:lastColumn="0" w:oddVBand="0" w:evenVBand="0" w:oddHBand="0" w:evenHBand="0" w:firstRowFirstColumn="0" w:firstRowLastColumn="0" w:lastRowFirstColumn="0" w:lastRowLastColumn="0"/>
              <w:rPr>
                <w:rFonts w:eastAsia="Arial" w:cs="Arial"/>
                <w:b/>
                <w:bCs/>
              </w:rPr>
            </w:pPr>
            <w:r w:rsidRPr="00297161">
              <w:rPr>
                <w:rFonts w:eastAsia="Arial" w:cs="Arial"/>
                <w:b/>
                <w:bCs/>
              </w:rPr>
              <w:t>+1,018</w:t>
            </w:r>
          </w:p>
        </w:tc>
      </w:tr>
      <w:tr w:rsidR="00297161" w:rsidRPr="00297161" w14:paraId="1CEE94ED" w14:textId="77777777" w:rsidTr="00297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E1F495" w14:textId="77777777" w:rsidR="00297161" w:rsidRPr="00297161" w:rsidRDefault="00297161" w:rsidP="00297161">
            <w:pPr>
              <w:widowControl w:val="0"/>
              <w:rPr>
                <w:rFonts w:eastAsia="Arial" w:cs="Arial"/>
                <w:b/>
                <w:bCs/>
              </w:rPr>
            </w:pPr>
            <w:r w:rsidRPr="00297161">
              <w:rPr>
                <w:rFonts w:eastAsia="Arial" w:cs="Arial"/>
                <w:b/>
                <w:bCs/>
              </w:rPr>
              <w:t>R²</w:t>
            </w:r>
          </w:p>
        </w:tc>
        <w:tc>
          <w:tcPr>
            <w:tcW w:w="0" w:type="auto"/>
            <w:hideMark/>
          </w:tcPr>
          <w:p w14:paraId="7870DD81" w14:textId="77777777" w:rsidR="00297161" w:rsidRPr="00297161" w:rsidRDefault="00297161" w:rsidP="00297161">
            <w:pPr>
              <w:widowControl w:val="0"/>
              <w:cnfStyle w:val="000000100000" w:firstRow="0" w:lastRow="0" w:firstColumn="0" w:lastColumn="0" w:oddVBand="0" w:evenVBand="0" w:oddHBand="1" w:evenHBand="0" w:firstRowFirstColumn="0" w:firstRowLastColumn="0" w:lastRowFirstColumn="0" w:lastRowLastColumn="0"/>
              <w:rPr>
                <w:rFonts w:eastAsia="Arial" w:cs="Arial"/>
                <w:b/>
                <w:bCs/>
              </w:rPr>
            </w:pPr>
            <w:r w:rsidRPr="00297161">
              <w:rPr>
                <w:rFonts w:eastAsia="Arial" w:cs="Arial"/>
                <w:b/>
                <w:bCs/>
              </w:rPr>
              <w:t>0,950</w:t>
            </w:r>
          </w:p>
        </w:tc>
      </w:tr>
    </w:tbl>
    <w:p w14:paraId="0F5038F2" w14:textId="77777777" w:rsidR="00297161" w:rsidRDefault="00297161" w:rsidP="00672446">
      <w:pPr>
        <w:widowControl w:val="0"/>
        <w:spacing w:after="0" w:line="240" w:lineRule="auto"/>
        <w:rPr>
          <w:rFonts w:eastAsia="Arial" w:cs="Arial"/>
          <w:b/>
          <w:bCs/>
          <w:lang w:val="es-PE"/>
        </w:rPr>
      </w:pPr>
    </w:p>
    <w:p w14:paraId="4936B1BD" w14:textId="77777777" w:rsidR="00297161" w:rsidRDefault="00297161" w:rsidP="00672446">
      <w:pPr>
        <w:widowControl w:val="0"/>
        <w:spacing w:after="0" w:line="240" w:lineRule="auto"/>
        <w:rPr>
          <w:rFonts w:eastAsia="Arial" w:cs="Arial"/>
          <w:b/>
          <w:bCs/>
          <w:lang w:val="es-PE"/>
        </w:rPr>
      </w:pPr>
    </w:p>
    <w:p w14:paraId="34D17AAA" w14:textId="13A5583C" w:rsidR="00672446" w:rsidRPr="00672446" w:rsidRDefault="00672446" w:rsidP="00672446">
      <w:pPr>
        <w:widowControl w:val="0"/>
        <w:spacing w:after="0" w:line="240" w:lineRule="auto"/>
        <w:rPr>
          <w:rFonts w:eastAsia="Arial" w:cs="Arial"/>
          <w:b/>
          <w:bCs/>
          <w:lang w:val="es-PE"/>
        </w:rPr>
      </w:pPr>
      <w:r w:rsidRPr="00672446">
        <w:rPr>
          <w:rFonts w:eastAsia="Arial" w:cs="Arial"/>
          <w:b/>
          <w:bCs/>
          <w:lang w:val="es-PE"/>
        </w:rPr>
        <w:t>Brian David Pajares Correa (Autor)</w:t>
      </w:r>
    </w:p>
    <w:p w14:paraId="635BA166" w14:textId="77777777" w:rsidR="00672446" w:rsidRPr="00672446" w:rsidRDefault="00672446" w:rsidP="00672446">
      <w:pPr>
        <w:widowControl w:val="0"/>
        <w:spacing w:after="0" w:line="240" w:lineRule="auto"/>
        <w:rPr>
          <w:rFonts w:eastAsia="Arial" w:cs="Arial"/>
          <w:lang w:val="es-PE"/>
        </w:rPr>
      </w:pPr>
    </w:p>
    <w:p w14:paraId="4D4BB77F" w14:textId="77777777" w:rsidR="00672446" w:rsidRPr="00672446" w:rsidRDefault="00672446" w:rsidP="00672446">
      <w:pPr>
        <w:jc w:val="both"/>
        <w:rPr>
          <w:rFonts w:eastAsia="Arial" w:cs="Arial"/>
          <w:lang w:val="es-PE"/>
        </w:rPr>
      </w:pPr>
      <w:r w:rsidRPr="00672446">
        <w:rPr>
          <w:rFonts w:eastAsia="Arial" w:cs="Arial"/>
          <w:lang w:val="es-PE"/>
        </w:rPr>
        <w:t xml:space="preserve">Ingeniero mecánico egresado de la Pontificia Universidad Católica del Perú (PUCP), con una trayectoria de más de 15 años liderando proyectos de innovación, automatización y transición energética en el sector minero e industrial. Posee un </w:t>
      </w:r>
      <w:r w:rsidRPr="00672446">
        <w:rPr>
          <w:rFonts w:eastAsia="Arial" w:cs="Arial"/>
          <w:b/>
          <w:lang w:val="es-PE"/>
        </w:rPr>
        <w:t xml:space="preserve">Máster en Gestión de Proyectos por la </w:t>
      </w:r>
      <w:proofErr w:type="spellStart"/>
      <w:r w:rsidRPr="00672446">
        <w:rPr>
          <w:rFonts w:eastAsia="Arial" w:cs="Arial"/>
          <w:b/>
          <w:lang w:val="es-PE"/>
        </w:rPr>
        <w:t>University</w:t>
      </w:r>
      <w:proofErr w:type="spellEnd"/>
      <w:r w:rsidRPr="00672446">
        <w:rPr>
          <w:rFonts w:eastAsia="Arial" w:cs="Arial"/>
          <w:b/>
          <w:lang w:val="es-PE"/>
        </w:rPr>
        <w:t xml:space="preserve"> </w:t>
      </w:r>
      <w:proofErr w:type="spellStart"/>
      <w:r w:rsidRPr="00672446">
        <w:rPr>
          <w:rFonts w:eastAsia="Arial" w:cs="Arial"/>
          <w:b/>
          <w:lang w:val="es-PE"/>
        </w:rPr>
        <w:t>of</w:t>
      </w:r>
      <w:proofErr w:type="spellEnd"/>
      <w:r w:rsidRPr="00672446">
        <w:rPr>
          <w:rFonts w:eastAsia="Arial" w:cs="Arial"/>
          <w:b/>
          <w:lang w:val="es-PE"/>
        </w:rPr>
        <w:t xml:space="preserve"> Maryland (</w:t>
      </w:r>
      <w:proofErr w:type="gramStart"/>
      <w:r w:rsidRPr="00672446">
        <w:rPr>
          <w:rFonts w:eastAsia="Arial" w:cs="Arial"/>
          <w:b/>
          <w:lang w:val="es-PE"/>
        </w:rPr>
        <w:t>EE.UU.</w:t>
      </w:r>
      <w:proofErr w:type="gramEnd"/>
      <w:r w:rsidRPr="00672446">
        <w:rPr>
          <w:rFonts w:eastAsia="Arial" w:cs="Arial"/>
          <w:b/>
          <w:lang w:val="es-PE"/>
        </w:rPr>
        <w:t>)</w:t>
      </w:r>
      <w:r w:rsidRPr="00672446">
        <w:rPr>
          <w:rFonts w:eastAsia="Arial" w:cs="Arial"/>
          <w:lang w:val="es-PE"/>
        </w:rPr>
        <w:t xml:space="preserve">, especializado en cambio organizacional, y un </w:t>
      </w:r>
      <w:r w:rsidRPr="00672446">
        <w:rPr>
          <w:rFonts w:eastAsia="Arial" w:cs="Arial"/>
          <w:b/>
          <w:lang w:val="es-PE"/>
        </w:rPr>
        <w:t xml:space="preserve">MBA por </w:t>
      </w:r>
      <w:proofErr w:type="spellStart"/>
      <w:r w:rsidRPr="00672446">
        <w:rPr>
          <w:rFonts w:eastAsia="Arial" w:cs="Arial"/>
          <w:b/>
          <w:lang w:val="es-PE"/>
        </w:rPr>
        <w:t>Centrum</w:t>
      </w:r>
      <w:proofErr w:type="spellEnd"/>
      <w:r w:rsidRPr="00672446">
        <w:rPr>
          <w:rFonts w:eastAsia="Arial" w:cs="Arial"/>
          <w:b/>
          <w:lang w:val="es-PE"/>
        </w:rPr>
        <w:t xml:space="preserve"> </w:t>
      </w:r>
      <w:proofErr w:type="gramStart"/>
      <w:r w:rsidRPr="00672446">
        <w:rPr>
          <w:rFonts w:eastAsia="Arial" w:cs="Arial"/>
          <w:b/>
          <w:lang w:val="es-PE"/>
        </w:rPr>
        <w:t>Católica</w:t>
      </w:r>
      <w:proofErr w:type="gramEnd"/>
      <w:r w:rsidRPr="00672446">
        <w:rPr>
          <w:rFonts w:eastAsia="Arial" w:cs="Arial"/>
          <w:lang w:val="es-PE"/>
        </w:rPr>
        <w:t xml:space="preserve">, con estudios en la </w:t>
      </w:r>
      <w:proofErr w:type="spellStart"/>
      <w:r w:rsidRPr="00672446">
        <w:rPr>
          <w:rFonts w:eastAsia="Arial" w:cs="Arial"/>
          <w:b/>
          <w:lang w:val="es-PE"/>
        </w:rPr>
        <w:t>University</w:t>
      </w:r>
      <w:proofErr w:type="spellEnd"/>
      <w:r w:rsidRPr="00672446">
        <w:rPr>
          <w:rFonts w:eastAsia="Arial" w:cs="Arial"/>
          <w:b/>
          <w:lang w:val="es-PE"/>
        </w:rPr>
        <w:t xml:space="preserve"> </w:t>
      </w:r>
      <w:proofErr w:type="spellStart"/>
      <w:r w:rsidRPr="00672446">
        <w:rPr>
          <w:rFonts w:eastAsia="Arial" w:cs="Arial"/>
          <w:b/>
          <w:lang w:val="es-PE"/>
        </w:rPr>
        <w:t>of</w:t>
      </w:r>
      <w:proofErr w:type="spellEnd"/>
      <w:r w:rsidRPr="00672446">
        <w:rPr>
          <w:rFonts w:eastAsia="Arial" w:cs="Arial"/>
          <w:b/>
          <w:lang w:val="es-PE"/>
        </w:rPr>
        <w:t xml:space="preserve"> Victoria (Canadá)</w:t>
      </w:r>
      <w:r w:rsidRPr="00672446">
        <w:rPr>
          <w:rFonts w:eastAsia="Arial" w:cs="Arial"/>
          <w:lang w:val="es-PE"/>
        </w:rPr>
        <w:t xml:space="preserve"> y </w:t>
      </w:r>
      <w:r w:rsidRPr="00672446">
        <w:rPr>
          <w:rFonts w:eastAsia="Arial" w:cs="Arial"/>
          <w:b/>
          <w:lang w:val="es-PE"/>
        </w:rPr>
        <w:t xml:space="preserve">Maastricht </w:t>
      </w:r>
      <w:proofErr w:type="spellStart"/>
      <w:r w:rsidRPr="00672446">
        <w:rPr>
          <w:rFonts w:eastAsia="Arial" w:cs="Arial"/>
          <w:b/>
          <w:lang w:val="es-PE"/>
        </w:rPr>
        <w:t>University</w:t>
      </w:r>
      <w:proofErr w:type="spellEnd"/>
      <w:r w:rsidRPr="00672446">
        <w:rPr>
          <w:rFonts w:eastAsia="Arial" w:cs="Arial"/>
          <w:b/>
          <w:lang w:val="es-PE"/>
        </w:rPr>
        <w:t xml:space="preserve"> (Holanda)</w:t>
      </w:r>
      <w:r w:rsidRPr="00672446">
        <w:rPr>
          <w:rFonts w:eastAsia="Arial" w:cs="Arial"/>
          <w:lang w:val="es-PE"/>
        </w:rPr>
        <w:t>.</w:t>
      </w:r>
    </w:p>
    <w:p w14:paraId="6CCB5D20" w14:textId="77777777" w:rsidR="00672446" w:rsidRPr="00672446" w:rsidRDefault="00672446" w:rsidP="00672446">
      <w:pPr>
        <w:jc w:val="both"/>
        <w:rPr>
          <w:rFonts w:eastAsia="Arial" w:cs="Arial"/>
          <w:lang w:val="es-PE"/>
        </w:rPr>
      </w:pPr>
      <w:r w:rsidRPr="00672446">
        <w:rPr>
          <w:rFonts w:eastAsia="Arial" w:cs="Arial"/>
          <w:lang w:val="es-PE"/>
        </w:rPr>
        <w:t xml:space="preserve">Su experiencia profesional incluye roles estratégicos como Ingeniero Senior de Proyectos de Tecnología en Antamina, </w:t>
      </w:r>
      <w:proofErr w:type="gramStart"/>
      <w:r w:rsidRPr="00672446">
        <w:rPr>
          <w:rFonts w:eastAsia="Arial" w:cs="Arial"/>
          <w:lang w:val="es-PE"/>
        </w:rPr>
        <w:t>Jefe</w:t>
      </w:r>
      <w:proofErr w:type="gramEnd"/>
      <w:r w:rsidRPr="00672446">
        <w:rPr>
          <w:rFonts w:eastAsia="Arial" w:cs="Arial"/>
          <w:lang w:val="es-PE"/>
        </w:rPr>
        <w:t xml:space="preserve"> de Innovación en Minas Buenaventura, y </w:t>
      </w:r>
      <w:proofErr w:type="gramStart"/>
      <w:r w:rsidRPr="00672446">
        <w:rPr>
          <w:rFonts w:eastAsia="Arial" w:cs="Arial"/>
          <w:lang w:val="es-PE"/>
        </w:rPr>
        <w:t>Jefe</w:t>
      </w:r>
      <w:proofErr w:type="gramEnd"/>
      <w:r w:rsidRPr="00672446">
        <w:rPr>
          <w:rFonts w:eastAsia="Arial" w:cs="Arial"/>
          <w:lang w:val="es-PE"/>
        </w:rPr>
        <w:t xml:space="preserve"> de Innovación en Sitech </w:t>
      </w:r>
      <w:proofErr w:type="spellStart"/>
      <w:r w:rsidRPr="00672446">
        <w:rPr>
          <w:rFonts w:eastAsia="Arial" w:cs="Arial"/>
          <w:lang w:val="es-PE"/>
        </w:rPr>
        <w:t>Ferreycorp</w:t>
      </w:r>
      <w:proofErr w:type="spellEnd"/>
      <w:r w:rsidRPr="00672446">
        <w:rPr>
          <w:rFonts w:eastAsia="Arial" w:cs="Arial"/>
          <w:lang w:val="es-PE"/>
        </w:rPr>
        <w:t xml:space="preserve">, donde ha dirigido la implementación de soluciones de alto impacto para el sector minero e industrias en general. Ha colaborado con consultoras de clase mundial como McKinsey, BCG y Quintil Valley, así como con </w:t>
      </w:r>
      <w:proofErr w:type="spellStart"/>
      <w:r w:rsidRPr="00672446">
        <w:rPr>
          <w:rFonts w:eastAsia="Arial" w:cs="Arial"/>
          <w:lang w:val="es-PE"/>
        </w:rPr>
        <w:t>start</w:t>
      </w:r>
      <w:proofErr w:type="spellEnd"/>
      <w:r w:rsidRPr="00672446">
        <w:rPr>
          <w:rFonts w:eastAsia="Arial" w:cs="Arial"/>
          <w:lang w:val="es-PE"/>
        </w:rPr>
        <w:t xml:space="preserve">-ups tecnológicas de alto crecimiento como </w:t>
      </w:r>
      <w:proofErr w:type="spellStart"/>
      <w:r w:rsidRPr="00672446">
        <w:rPr>
          <w:rFonts w:eastAsia="Arial" w:cs="Arial"/>
          <w:lang w:val="es-PE"/>
        </w:rPr>
        <w:t>Space</w:t>
      </w:r>
      <w:proofErr w:type="spellEnd"/>
      <w:r w:rsidRPr="00672446">
        <w:rPr>
          <w:rFonts w:eastAsia="Arial" w:cs="Arial"/>
          <w:lang w:val="es-PE"/>
        </w:rPr>
        <w:t xml:space="preserve"> AG.</w:t>
      </w:r>
    </w:p>
    <w:p w14:paraId="50C0743C" w14:textId="77777777" w:rsidR="00672446" w:rsidRPr="00672446" w:rsidRDefault="00672446" w:rsidP="00672446">
      <w:pPr>
        <w:jc w:val="both"/>
        <w:rPr>
          <w:rFonts w:eastAsia="Arial" w:cs="Arial"/>
          <w:lang w:val="es-PE"/>
        </w:rPr>
      </w:pPr>
      <w:r w:rsidRPr="00672446">
        <w:rPr>
          <w:rFonts w:eastAsia="Arial" w:cs="Arial"/>
          <w:lang w:val="es-PE"/>
        </w:rPr>
        <w:t xml:space="preserve">Brian es además especialista en tecnologías disruptivas aplicadas a minería, con certificaciones en Scrum </w:t>
      </w:r>
      <w:proofErr w:type="gramStart"/>
      <w:r w:rsidRPr="00672446">
        <w:rPr>
          <w:rFonts w:eastAsia="Arial" w:cs="Arial"/>
          <w:lang w:val="es-PE"/>
        </w:rPr>
        <w:t>Master</w:t>
      </w:r>
      <w:proofErr w:type="gramEnd"/>
      <w:r w:rsidRPr="00672446">
        <w:rPr>
          <w:rFonts w:eastAsia="Arial" w:cs="Arial"/>
          <w:lang w:val="es-PE"/>
        </w:rPr>
        <w:t xml:space="preserve">, PMP, </w:t>
      </w:r>
      <w:proofErr w:type="spellStart"/>
      <w:r w:rsidRPr="00672446">
        <w:rPr>
          <w:rFonts w:eastAsia="Arial" w:cs="Arial"/>
          <w:lang w:val="es-PE"/>
        </w:rPr>
        <w:t>Six</w:t>
      </w:r>
      <w:proofErr w:type="spellEnd"/>
      <w:r w:rsidRPr="00672446">
        <w:rPr>
          <w:rFonts w:eastAsia="Arial" w:cs="Arial"/>
          <w:lang w:val="es-PE"/>
        </w:rPr>
        <w:t xml:space="preserve"> Sigma Black </w:t>
      </w:r>
      <w:proofErr w:type="spellStart"/>
      <w:r w:rsidRPr="00672446">
        <w:rPr>
          <w:rFonts w:eastAsia="Arial" w:cs="Arial"/>
          <w:lang w:val="es-PE"/>
        </w:rPr>
        <w:t>Belt</w:t>
      </w:r>
      <w:proofErr w:type="spellEnd"/>
      <w:r w:rsidRPr="00672446">
        <w:rPr>
          <w:rFonts w:eastAsia="Arial" w:cs="Arial"/>
          <w:lang w:val="es-PE"/>
        </w:rPr>
        <w:t xml:space="preserve"> y Machine </w:t>
      </w:r>
      <w:proofErr w:type="spellStart"/>
      <w:r w:rsidRPr="00672446">
        <w:rPr>
          <w:rFonts w:eastAsia="Arial" w:cs="Arial"/>
          <w:lang w:val="es-PE"/>
        </w:rPr>
        <w:t>Learning</w:t>
      </w:r>
      <w:proofErr w:type="spellEnd"/>
      <w:r w:rsidRPr="00672446">
        <w:rPr>
          <w:rFonts w:eastAsia="Arial" w:cs="Arial"/>
          <w:lang w:val="es-PE"/>
        </w:rPr>
        <w:t xml:space="preserve"> por el MIT. Actualmente impulsa proyectos relacionados con energía limpia y automatización inteligente, contribuyendo al posicionamiento del Perú como líder global en minería sostenible e innovación tecnológica. Su enfoque se basa en combinar rigor técnico con visión estratégica, proponiendo soluciones que reducen costos, aumentan productividad y mejoran la competitividad en mercados exigentes.</w:t>
      </w:r>
    </w:p>
    <w:p w14:paraId="7225F268" w14:textId="77777777" w:rsidR="00672446" w:rsidRPr="009B4C89" w:rsidRDefault="00672446" w:rsidP="009B4C89">
      <w:pPr>
        <w:spacing w:line="240" w:lineRule="auto"/>
        <w:rPr>
          <w:rFonts w:cs="Arial"/>
          <w:lang w:val="es-PE"/>
        </w:rPr>
      </w:pPr>
    </w:p>
    <w:sectPr w:rsidR="00672446" w:rsidRPr="009B4C89" w:rsidSect="009A750F">
      <w:type w:val="continuous"/>
      <w:pgSz w:w="12240" w:h="15840"/>
      <w:pgMar w:top="1440" w:right="720" w:bottom="1440" w:left="1800" w:header="720" w:footer="720" w:gutter="0"/>
      <w:cols w:num="2" w:space="108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1025B0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DD0E8A"/>
    <w:multiLevelType w:val="multilevel"/>
    <w:tmpl w:val="1062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406701"/>
    <w:multiLevelType w:val="multilevel"/>
    <w:tmpl w:val="98520C9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13B958FB"/>
    <w:multiLevelType w:val="multilevel"/>
    <w:tmpl w:val="2C68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6C022B"/>
    <w:multiLevelType w:val="hybridMultilevel"/>
    <w:tmpl w:val="C0D06BEC"/>
    <w:lvl w:ilvl="0" w:tplc="FB96702C">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3" w15:restartNumberingAfterBreak="0">
    <w:nsid w:val="199F2C5F"/>
    <w:multiLevelType w:val="multilevel"/>
    <w:tmpl w:val="2C68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800E16"/>
    <w:multiLevelType w:val="multilevel"/>
    <w:tmpl w:val="2C68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6D2671"/>
    <w:multiLevelType w:val="multilevel"/>
    <w:tmpl w:val="2C68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21038B"/>
    <w:multiLevelType w:val="multilevel"/>
    <w:tmpl w:val="573E7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DE2875"/>
    <w:multiLevelType w:val="multilevel"/>
    <w:tmpl w:val="2C68F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6F7F32"/>
    <w:multiLevelType w:val="multilevel"/>
    <w:tmpl w:val="2C68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661FA3"/>
    <w:multiLevelType w:val="multilevel"/>
    <w:tmpl w:val="ABB8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A307E7"/>
    <w:multiLevelType w:val="multilevel"/>
    <w:tmpl w:val="D73CC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921F26"/>
    <w:multiLevelType w:val="multilevel"/>
    <w:tmpl w:val="2C68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A23641"/>
    <w:multiLevelType w:val="multilevel"/>
    <w:tmpl w:val="1D3E20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DB1E39"/>
    <w:multiLevelType w:val="multilevel"/>
    <w:tmpl w:val="2C68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980AE7"/>
    <w:multiLevelType w:val="multilevel"/>
    <w:tmpl w:val="2C68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343192"/>
    <w:multiLevelType w:val="multilevel"/>
    <w:tmpl w:val="2C68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1F2A47"/>
    <w:multiLevelType w:val="multilevel"/>
    <w:tmpl w:val="2C68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9A232E"/>
    <w:multiLevelType w:val="multilevel"/>
    <w:tmpl w:val="2C68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8A7106"/>
    <w:multiLevelType w:val="multilevel"/>
    <w:tmpl w:val="873C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A01582"/>
    <w:multiLevelType w:val="multilevel"/>
    <w:tmpl w:val="2C68F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126939"/>
    <w:multiLevelType w:val="multilevel"/>
    <w:tmpl w:val="1832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80602C"/>
    <w:multiLevelType w:val="multilevel"/>
    <w:tmpl w:val="2C68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9A0B0B"/>
    <w:multiLevelType w:val="multilevel"/>
    <w:tmpl w:val="2C68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129090">
    <w:abstractNumId w:val="8"/>
  </w:num>
  <w:num w:numId="2" w16cid:durableId="595941088">
    <w:abstractNumId w:val="6"/>
  </w:num>
  <w:num w:numId="3" w16cid:durableId="1344212032">
    <w:abstractNumId w:val="5"/>
  </w:num>
  <w:num w:numId="4" w16cid:durableId="1052070827">
    <w:abstractNumId w:val="4"/>
  </w:num>
  <w:num w:numId="5" w16cid:durableId="1464811717">
    <w:abstractNumId w:val="7"/>
  </w:num>
  <w:num w:numId="6" w16cid:durableId="905066823">
    <w:abstractNumId w:val="3"/>
  </w:num>
  <w:num w:numId="7" w16cid:durableId="1051423972">
    <w:abstractNumId w:val="2"/>
  </w:num>
  <w:num w:numId="8" w16cid:durableId="1521628660">
    <w:abstractNumId w:val="1"/>
  </w:num>
  <w:num w:numId="9" w16cid:durableId="170335040">
    <w:abstractNumId w:val="0"/>
  </w:num>
  <w:num w:numId="10" w16cid:durableId="37508038">
    <w:abstractNumId w:val="20"/>
  </w:num>
  <w:num w:numId="11" w16cid:durableId="241183187">
    <w:abstractNumId w:val="9"/>
  </w:num>
  <w:num w:numId="12" w16cid:durableId="632908106">
    <w:abstractNumId w:val="23"/>
  </w:num>
  <w:num w:numId="13" w16cid:durableId="752891557">
    <w:abstractNumId w:val="10"/>
  </w:num>
  <w:num w:numId="14" w16cid:durableId="79376855">
    <w:abstractNumId w:val="28"/>
  </w:num>
  <w:num w:numId="15" w16cid:durableId="409543446">
    <w:abstractNumId w:val="22"/>
  </w:num>
  <w:num w:numId="16" w16cid:durableId="2108845866">
    <w:abstractNumId w:val="19"/>
  </w:num>
  <w:num w:numId="17" w16cid:durableId="596866431">
    <w:abstractNumId w:val="30"/>
  </w:num>
  <w:num w:numId="18" w16cid:durableId="186023471">
    <w:abstractNumId w:val="14"/>
  </w:num>
  <w:num w:numId="19" w16cid:durableId="93524145">
    <w:abstractNumId w:val="18"/>
  </w:num>
  <w:num w:numId="20" w16cid:durableId="2105881452">
    <w:abstractNumId w:val="12"/>
  </w:num>
  <w:num w:numId="21" w16cid:durableId="1716733813">
    <w:abstractNumId w:val="11"/>
  </w:num>
  <w:num w:numId="22" w16cid:durableId="733773280">
    <w:abstractNumId w:val="26"/>
  </w:num>
  <w:num w:numId="23" w16cid:durableId="1685671872">
    <w:abstractNumId w:val="24"/>
  </w:num>
  <w:num w:numId="24" w16cid:durableId="2091996115">
    <w:abstractNumId w:val="13"/>
  </w:num>
  <w:num w:numId="25" w16cid:durableId="782773691">
    <w:abstractNumId w:val="21"/>
  </w:num>
  <w:num w:numId="26" w16cid:durableId="1167477072">
    <w:abstractNumId w:val="17"/>
  </w:num>
  <w:num w:numId="27" w16cid:durableId="1649939937">
    <w:abstractNumId w:val="27"/>
  </w:num>
  <w:num w:numId="28" w16cid:durableId="1019894060">
    <w:abstractNumId w:val="16"/>
  </w:num>
  <w:num w:numId="29" w16cid:durableId="1773090218">
    <w:abstractNumId w:val="25"/>
  </w:num>
  <w:num w:numId="30" w16cid:durableId="802965452">
    <w:abstractNumId w:val="31"/>
  </w:num>
  <w:num w:numId="31" w16cid:durableId="1704747547">
    <w:abstractNumId w:val="15"/>
  </w:num>
  <w:num w:numId="32" w16cid:durableId="1060862486">
    <w:abstractNumId w:val="29"/>
  </w:num>
  <w:num w:numId="33" w16cid:durableId="116663119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7B53"/>
    <w:rsid w:val="00211ECE"/>
    <w:rsid w:val="0029639D"/>
    <w:rsid w:val="00297161"/>
    <w:rsid w:val="002E350E"/>
    <w:rsid w:val="002F3866"/>
    <w:rsid w:val="00326F90"/>
    <w:rsid w:val="003B3EA3"/>
    <w:rsid w:val="00546807"/>
    <w:rsid w:val="00672446"/>
    <w:rsid w:val="006F1BF8"/>
    <w:rsid w:val="00723595"/>
    <w:rsid w:val="008A48C3"/>
    <w:rsid w:val="009A750F"/>
    <w:rsid w:val="009B4C89"/>
    <w:rsid w:val="00A12EC5"/>
    <w:rsid w:val="00AA1D8D"/>
    <w:rsid w:val="00B47730"/>
    <w:rsid w:val="00C33128"/>
    <w:rsid w:val="00CB0664"/>
    <w:rsid w:val="00DA079B"/>
    <w:rsid w:val="00DD6233"/>
    <w:rsid w:val="00F400FD"/>
    <w:rsid w:val="00F920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6233F4"/>
  <w14:defaultImageDpi w14:val="300"/>
  <w15:docId w15:val="{A39BF408-C1B9-4B6F-B0DC-68717D037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GridLight">
    <w:name w:val="Grid Table Light"/>
    <w:basedOn w:val="TableNormal"/>
    <w:uiPriority w:val="99"/>
    <w:rsid w:val="00F920D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
    <w:name w:val="Grid Table 4"/>
    <w:basedOn w:val="TableNormal"/>
    <w:uiPriority w:val="49"/>
    <w:rsid w:val="00F920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5">
    <w:name w:val="Plain Table 5"/>
    <w:basedOn w:val="TableNormal"/>
    <w:uiPriority w:val="99"/>
    <w:rsid w:val="00F400F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2F386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F3866"/>
    <w:rPr>
      <w:color w:val="0000FF" w:themeColor="hyperlink"/>
      <w:u w:val="single"/>
    </w:rPr>
  </w:style>
  <w:style w:type="character" w:styleId="UnresolvedMention">
    <w:name w:val="Unresolved Mention"/>
    <w:basedOn w:val="DefaultParagraphFont"/>
    <w:uiPriority w:val="99"/>
    <w:semiHidden/>
    <w:unhideWhenUsed/>
    <w:rsid w:val="002F3866"/>
    <w:rPr>
      <w:color w:val="605E5C"/>
      <w:shd w:val="clear" w:color="auto" w:fill="E1DFDD"/>
    </w:rPr>
  </w:style>
  <w:style w:type="table" w:styleId="PlainTable3">
    <w:name w:val="Plain Table 3"/>
    <w:basedOn w:val="TableNormal"/>
    <w:uiPriority w:val="99"/>
    <w:rsid w:val="002F386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1527">
      <w:bodyDiv w:val="1"/>
      <w:marLeft w:val="0"/>
      <w:marRight w:val="0"/>
      <w:marTop w:val="0"/>
      <w:marBottom w:val="0"/>
      <w:divBdr>
        <w:top w:val="none" w:sz="0" w:space="0" w:color="auto"/>
        <w:left w:val="none" w:sz="0" w:space="0" w:color="auto"/>
        <w:bottom w:val="none" w:sz="0" w:space="0" w:color="auto"/>
        <w:right w:val="none" w:sz="0" w:space="0" w:color="auto"/>
      </w:divBdr>
    </w:div>
    <w:div w:id="71898555">
      <w:bodyDiv w:val="1"/>
      <w:marLeft w:val="0"/>
      <w:marRight w:val="0"/>
      <w:marTop w:val="0"/>
      <w:marBottom w:val="0"/>
      <w:divBdr>
        <w:top w:val="none" w:sz="0" w:space="0" w:color="auto"/>
        <w:left w:val="none" w:sz="0" w:space="0" w:color="auto"/>
        <w:bottom w:val="none" w:sz="0" w:space="0" w:color="auto"/>
        <w:right w:val="none" w:sz="0" w:space="0" w:color="auto"/>
      </w:divBdr>
    </w:div>
    <w:div w:id="100808540">
      <w:bodyDiv w:val="1"/>
      <w:marLeft w:val="0"/>
      <w:marRight w:val="0"/>
      <w:marTop w:val="0"/>
      <w:marBottom w:val="0"/>
      <w:divBdr>
        <w:top w:val="none" w:sz="0" w:space="0" w:color="auto"/>
        <w:left w:val="none" w:sz="0" w:space="0" w:color="auto"/>
        <w:bottom w:val="none" w:sz="0" w:space="0" w:color="auto"/>
        <w:right w:val="none" w:sz="0" w:space="0" w:color="auto"/>
      </w:divBdr>
    </w:div>
    <w:div w:id="144009749">
      <w:bodyDiv w:val="1"/>
      <w:marLeft w:val="0"/>
      <w:marRight w:val="0"/>
      <w:marTop w:val="0"/>
      <w:marBottom w:val="0"/>
      <w:divBdr>
        <w:top w:val="none" w:sz="0" w:space="0" w:color="auto"/>
        <w:left w:val="none" w:sz="0" w:space="0" w:color="auto"/>
        <w:bottom w:val="none" w:sz="0" w:space="0" w:color="auto"/>
        <w:right w:val="none" w:sz="0" w:space="0" w:color="auto"/>
      </w:divBdr>
    </w:div>
    <w:div w:id="165631451">
      <w:bodyDiv w:val="1"/>
      <w:marLeft w:val="0"/>
      <w:marRight w:val="0"/>
      <w:marTop w:val="0"/>
      <w:marBottom w:val="0"/>
      <w:divBdr>
        <w:top w:val="none" w:sz="0" w:space="0" w:color="auto"/>
        <w:left w:val="none" w:sz="0" w:space="0" w:color="auto"/>
        <w:bottom w:val="none" w:sz="0" w:space="0" w:color="auto"/>
        <w:right w:val="none" w:sz="0" w:space="0" w:color="auto"/>
      </w:divBdr>
      <w:divsChild>
        <w:div w:id="27025932">
          <w:marLeft w:val="0"/>
          <w:marRight w:val="0"/>
          <w:marTop w:val="0"/>
          <w:marBottom w:val="0"/>
          <w:divBdr>
            <w:top w:val="none" w:sz="0" w:space="0" w:color="auto"/>
            <w:left w:val="none" w:sz="0" w:space="0" w:color="auto"/>
            <w:bottom w:val="none" w:sz="0" w:space="0" w:color="auto"/>
            <w:right w:val="none" w:sz="0" w:space="0" w:color="auto"/>
          </w:divBdr>
          <w:divsChild>
            <w:div w:id="584613360">
              <w:marLeft w:val="0"/>
              <w:marRight w:val="0"/>
              <w:marTop w:val="0"/>
              <w:marBottom w:val="0"/>
              <w:divBdr>
                <w:top w:val="none" w:sz="0" w:space="0" w:color="auto"/>
                <w:left w:val="none" w:sz="0" w:space="0" w:color="auto"/>
                <w:bottom w:val="none" w:sz="0" w:space="0" w:color="auto"/>
                <w:right w:val="none" w:sz="0" w:space="0" w:color="auto"/>
              </w:divBdr>
              <w:divsChild>
                <w:div w:id="269167279">
                  <w:marLeft w:val="0"/>
                  <w:marRight w:val="0"/>
                  <w:marTop w:val="0"/>
                  <w:marBottom w:val="0"/>
                  <w:divBdr>
                    <w:top w:val="none" w:sz="0" w:space="0" w:color="auto"/>
                    <w:left w:val="none" w:sz="0" w:space="0" w:color="auto"/>
                    <w:bottom w:val="none" w:sz="0" w:space="0" w:color="auto"/>
                    <w:right w:val="none" w:sz="0" w:space="0" w:color="auto"/>
                  </w:divBdr>
                  <w:divsChild>
                    <w:div w:id="1304508716">
                      <w:marLeft w:val="0"/>
                      <w:marRight w:val="0"/>
                      <w:marTop w:val="0"/>
                      <w:marBottom w:val="0"/>
                      <w:divBdr>
                        <w:top w:val="none" w:sz="0" w:space="0" w:color="auto"/>
                        <w:left w:val="none" w:sz="0" w:space="0" w:color="auto"/>
                        <w:bottom w:val="none" w:sz="0" w:space="0" w:color="auto"/>
                        <w:right w:val="none" w:sz="0" w:space="0" w:color="auto"/>
                      </w:divBdr>
                      <w:divsChild>
                        <w:div w:id="1161851273">
                          <w:marLeft w:val="0"/>
                          <w:marRight w:val="0"/>
                          <w:marTop w:val="0"/>
                          <w:marBottom w:val="0"/>
                          <w:divBdr>
                            <w:top w:val="none" w:sz="0" w:space="0" w:color="auto"/>
                            <w:left w:val="none" w:sz="0" w:space="0" w:color="auto"/>
                            <w:bottom w:val="none" w:sz="0" w:space="0" w:color="auto"/>
                            <w:right w:val="none" w:sz="0" w:space="0" w:color="auto"/>
                          </w:divBdr>
                          <w:divsChild>
                            <w:div w:id="2143031906">
                              <w:marLeft w:val="0"/>
                              <w:marRight w:val="0"/>
                              <w:marTop w:val="0"/>
                              <w:marBottom w:val="0"/>
                              <w:divBdr>
                                <w:top w:val="none" w:sz="0" w:space="0" w:color="auto"/>
                                <w:left w:val="none" w:sz="0" w:space="0" w:color="auto"/>
                                <w:bottom w:val="none" w:sz="0" w:space="0" w:color="auto"/>
                                <w:right w:val="none" w:sz="0" w:space="0" w:color="auto"/>
                              </w:divBdr>
                              <w:divsChild>
                                <w:div w:id="948120686">
                                  <w:marLeft w:val="0"/>
                                  <w:marRight w:val="0"/>
                                  <w:marTop w:val="0"/>
                                  <w:marBottom w:val="0"/>
                                  <w:divBdr>
                                    <w:top w:val="none" w:sz="0" w:space="0" w:color="auto"/>
                                    <w:left w:val="none" w:sz="0" w:space="0" w:color="auto"/>
                                    <w:bottom w:val="none" w:sz="0" w:space="0" w:color="auto"/>
                                    <w:right w:val="none" w:sz="0" w:space="0" w:color="auto"/>
                                  </w:divBdr>
                                  <w:divsChild>
                                    <w:div w:id="205699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06126">
                          <w:marLeft w:val="0"/>
                          <w:marRight w:val="0"/>
                          <w:marTop w:val="0"/>
                          <w:marBottom w:val="0"/>
                          <w:divBdr>
                            <w:top w:val="none" w:sz="0" w:space="0" w:color="auto"/>
                            <w:left w:val="none" w:sz="0" w:space="0" w:color="auto"/>
                            <w:bottom w:val="none" w:sz="0" w:space="0" w:color="auto"/>
                            <w:right w:val="none" w:sz="0" w:space="0" w:color="auto"/>
                          </w:divBdr>
                          <w:divsChild>
                            <w:div w:id="1537156159">
                              <w:marLeft w:val="0"/>
                              <w:marRight w:val="0"/>
                              <w:marTop w:val="0"/>
                              <w:marBottom w:val="0"/>
                              <w:divBdr>
                                <w:top w:val="none" w:sz="0" w:space="0" w:color="auto"/>
                                <w:left w:val="none" w:sz="0" w:space="0" w:color="auto"/>
                                <w:bottom w:val="none" w:sz="0" w:space="0" w:color="auto"/>
                                <w:right w:val="none" w:sz="0" w:space="0" w:color="auto"/>
                              </w:divBdr>
                              <w:divsChild>
                                <w:div w:id="1472822169">
                                  <w:marLeft w:val="0"/>
                                  <w:marRight w:val="0"/>
                                  <w:marTop w:val="0"/>
                                  <w:marBottom w:val="0"/>
                                  <w:divBdr>
                                    <w:top w:val="none" w:sz="0" w:space="0" w:color="auto"/>
                                    <w:left w:val="none" w:sz="0" w:space="0" w:color="auto"/>
                                    <w:bottom w:val="none" w:sz="0" w:space="0" w:color="auto"/>
                                    <w:right w:val="none" w:sz="0" w:space="0" w:color="auto"/>
                                  </w:divBdr>
                                  <w:divsChild>
                                    <w:div w:id="120914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915223">
                      <w:marLeft w:val="0"/>
                      <w:marRight w:val="0"/>
                      <w:marTop w:val="0"/>
                      <w:marBottom w:val="0"/>
                      <w:divBdr>
                        <w:top w:val="none" w:sz="0" w:space="0" w:color="auto"/>
                        <w:left w:val="none" w:sz="0" w:space="0" w:color="auto"/>
                        <w:bottom w:val="none" w:sz="0" w:space="0" w:color="auto"/>
                        <w:right w:val="none" w:sz="0" w:space="0" w:color="auto"/>
                      </w:divBdr>
                      <w:divsChild>
                        <w:div w:id="142082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574135">
      <w:bodyDiv w:val="1"/>
      <w:marLeft w:val="0"/>
      <w:marRight w:val="0"/>
      <w:marTop w:val="0"/>
      <w:marBottom w:val="0"/>
      <w:divBdr>
        <w:top w:val="none" w:sz="0" w:space="0" w:color="auto"/>
        <w:left w:val="none" w:sz="0" w:space="0" w:color="auto"/>
        <w:bottom w:val="none" w:sz="0" w:space="0" w:color="auto"/>
        <w:right w:val="none" w:sz="0" w:space="0" w:color="auto"/>
      </w:divBdr>
    </w:div>
    <w:div w:id="240524387">
      <w:bodyDiv w:val="1"/>
      <w:marLeft w:val="0"/>
      <w:marRight w:val="0"/>
      <w:marTop w:val="0"/>
      <w:marBottom w:val="0"/>
      <w:divBdr>
        <w:top w:val="none" w:sz="0" w:space="0" w:color="auto"/>
        <w:left w:val="none" w:sz="0" w:space="0" w:color="auto"/>
        <w:bottom w:val="none" w:sz="0" w:space="0" w:color="auto"/>
        <w:right w:val="none" w:sz="0" w:space="0" w:color="auto"/>
      </w:divBdr>
    </w:div>
    <w:div w:id="244460801">
      <w:bodyDiv w:val="1"/>
      <w:marLeft w:val="0"/>
      <w:marRight w:val="0"/>
      <w:marTop w:val="0"/>
      <w:marBottom w:val="0"/>
      <w:divBdr>
        <w:top w:val="none" w:sz="0" w:space="0" w:color="auto"/>
        <w:left w:val="none" w:sz="0" w:space="0" w:color="auto"/>
        <w:bottom w:val="none" w:sz="0" w:space="0" w:color="auto"/>
        <w:right w:val="none" w:sz="0" w:space="0" w:color="auto"/>
      </w:divBdr>
    </w:div>
    <w:div w:id="280455279">
      <w:bodyDiv w:val="1"/>
      <w:marLeft w:val="0"/>
      <w:marRight w:val="0"/>
      <w:marTop w:val="0"/>
      <w:marBottom w:val="0"/>
      <w:divBdr>
        <w:top w:val="none" w:sz="0" w:space="0" w:color="auto"/>
        <w:left w:val="none" w:sz="0" w:space="0" w:color="auto"/>
        <w:bottom w:val="none" w:sz="0" w:space="0" w:color="auto"/>
        <w:right w:val="none" w:sz="0" w:space="0" w:color="auto"/>
      </w:divBdr>
    </w:div>
    <w:div w:id="302389726">
      <w:bodyDiv w:val="1"/>
      <w:marLeft w:val="0"/>
      <w:marRight w:val="0"/>
      <w:marTop w:val="0"/>
      <w:marBottom w:val="0"/>
      <w:divBdr>
        <w:top w:val="none" w:sz="0" w:space="0" w:color="auto"/>
        <w:left w:val="none" w:sz="0" w:space="0" w:color="auto"/>
        <w:bottom w:val="none" w:sz="0" w:space="0" w:color="auto"/>
        <w:right w:val="none" w:sz="0" w:space="0" w:color="auto"/>
      </w:divBdr>
    </w:div>
    <w:div w:id="330639647">
      <w:bodyDiv w:val="1"/>
      <w:marLeft w:val="0"/>
      <w:marRight w:val="0"/>
      <w:marTop w:val="0"/>
      <w:marBottom w:val="0"/>
      <w:divBdr>
        <w:top w:val="none" w:sz="0" w:space="0" w:color="auto"/>
        <w:left w:val="none" w:sz="0" w:space="0" w:color="auto"/>
        <w:bottom w:val="none" w:sz="0" w:space="0" w:color="auto"/>
        <w:right w:val="none" w:sz="0" w:space="0" w:color="auto"/>
      </w:divBdr>
    </w:div>
    <w:div w:id="343826982">
      <w:bodyDiv w:val="1"/>
      <w:marLeft w:val="0"/>
      <w:marRight w:val="0"/>
      <w:marTop w:val="0"/>
      <w:marBottom w:val="0"/>
      <w:divBdr>
        <w:top w:val="none" w:sz="0" w:space="0" w:color="auto"/>
        <w:left w:val="none" w:sz="0" w:space="0" w:color="auto"/>
        <w:bottom w:val="none" w:sz="0" w:space="0" w:color="auto"/>
        <w:right w:val="none" w:sz="0" w:space="0" w:color="auto"/>
      </w:divBdr>
    </w:div>
    <w:div w:id="379407592">
      <w:bodyDiv w:val="1"/>
      <w:marLeft w:val="0"/>
      <w:marRight w:val="0"/>
      <w:marTop w:val="0"/>
      <w:marBottom w:val="0"/>
      <w:divBdr>
        <w:top w:val="none" w:sz="0" w:space="0" w:color="auto"/>
        <w:left w:val="none" w:sz="0" w:space="0" w:color="auto"/>
        <w:bottom w:val="none" w:sz="0" w:space="0" w:color="auto"/>
        <w:right w:val="none" w:sz="0" w:space="0" w:color="auto"/>
      </w:divBdr>
    </w:div>
    <w:div w:id="380594258">
      <w:bodyDiv w:val="1"/>
      <w:marLeft w:val="0"/>
      <w:marRight w:val="0"/>
      <w:marTop w:val="0"/>
      <w:marBottom w:val="0"/>
      <w:divBdr>
        <w:top w:val="none" w:sz="0" w:space="0" w:color="auto"/>
        <w:left w:val="none" w:sz="0" w:space="0" w:color="auto"/>
        <w:bottom w:val="none" w:sz="0" w:space="0" w:color="auto"/>
        <w:right w:val="none" w:sz="0" w:space="0" w:color="auto"/>
      </w:divBdr>
    </w:div>
    <w:div w:id="384794310">
      <w:bodyDiv w:val="1"/>
      <w:marLeft w:val="0"/>
      <w:marRight w:val="0"/>
      <w:marTop w:val="0"/>
      <w:marBottom w:val="0"/>
      <w:divBdr>
        <w:top w:val="none" w:sz="0" w:space="0" w:color="auto"/>
        <w:left w:val="none" w:sz="0" w:space="0" w:color="auto"/>
        <w:bottom w:val="none" w:sz="0" w:space="0" w:color="auto"/>
        <w:right w:val="none" w:sz="0" w:space="0" w:color="auto"/>
      </w:divBdr>
    </w:div>
    <w:div w:id="414591327">
      <w:bodyDiv w:val="1"/>
      <w:marLeft w:val="0"/>
      <w:marRight w:val="0"/>
      <w:marTop w:val="0"/>
      <w:marBottom w:val="0"/>
      <w:divBdr>
        <w:top w:val="none" w:sz="0" w:space="0" w:color="auto"/>
        <w:left w:val="none" w:sz="0" w:space="0" w:color="auto"/>
        <w:bottom w:val="none" w:sz="0" w:space="0" w:color="auto"/>
        <w:right w:val="none" w:sz="0" w:space="0" w:color="auto"/>
      </w:divBdr>
      <w:divsChild>
        <w:div w:id="1707873075">
          <w:marLeft w:val="0"/>
          <w:marRight w:val="0"/>
          <w:marTop w:val="0"/>
          <w:marBottom w:val="0"/>
          <w:divBdr>
            <w:top w:val="none" w:sz="0" w:space="0" w:color="auto"/>
            <w:left w:val="none" w:sz="0" w:space="0" w:color="auto"/>
            <w:bottom w:val="none" w:sz="0" w:space="0" w:color="auto"/>
            <w:right w:val="none" w:sz="0" w:space="0" w:color="auto"/>
          </w:divBdr>
          <w:divsChild>
            <w:div w:id="1341202076">
              <w:marLeft w:val="0"/>
              <w:marRight w:val="0"/>
              <w:marTop w:val="0"/>
              <w:marBottom w:val="0"/>
              <w:divBdr>
                <w:top w:val="none" w:sz="0" w:space="0" w:color="auto"/>
                <w:left w:val="none" w:sz="0" w:space="0" w:color="auto"/>
                <w:bottom w:val="none" w:sz="0" w:space="0" w:color="auto"/>
                <w:right w:val="none" w:sz="0" w:space="0" w:color="auto"/>
              </w:divBdr>
              <w:divsChild>
                <w:div w:id="1225146004">
                  <w:marLeft w:val="0"/>
                  <w:marRight w:val="0"/>
                  <w:marTop w:val="0"/>
                  <w:marBottom w:val="0"/>
                  <w:divBdr>
                    <w:top w:val="none" w:sz="0" w:space="0" w:color="auto"/>
                    <w:left w:val="none" w:sz="0" w:space="0" w:color="auto"/>
                    <w:bottom w:val="none" w:sz="0" w:space="0" w:color="auto"/>
                    <w:right w:val="none" w:sz="0" w:space="0" w:color="auto"/>
                  </w:divBdr>
                  <w:divsChild>
                    <w:div w:id="87238185">
                      <w:marLeft w:val="0"/>
                      <w:marRight w:val="0"/>
                      <w:marTop w:val="0"/>
                      <w:marBottom w:val="0"/>
                      <w:divBdr>
                        <w:top w:val="none" w:sz="0" w:space="0" w:color="auto"/>
                        <w:left w:val="none" w:sz="0" w:space="0" w:color="auto"/>
                        <w:bottom w:val="none" w:sz="0" w:space="0" w:color="auto"/>
                        <w:right w:val="none" w:sz="0" w:space="0" w:color="auto"/>
                      </w:divBdr>
                      <w:divsChild>
                        <w:div w:id="332950064">
                          <w:marLeft w:val="0"/>
                          <w:marRight w:val="0"/>
                          <w:marTop w:val="0"/>
                          <w:marBottom w:val="0"/>
                          <w:divBdr>
                            <w:top w:val="none" w:sz="0" w:space="0" w:color="auto"/>
                            <w:left w:val="none" w:sz="0" w:space="0" w:color="auto"/>
                            <w:bottom w:val="none" w:sz="0" w:space="0" w:color="auto"/>
                            <w:right w:val="none" w:sz="0" w:space="0" w:color="auto"/>
                          </w:divBdr>
                          <w:divsChild>
                            <w:div w:id="1317803377">
                              <w:marLeft w:val="0"/>
                              <w:marRight w:val="0"/>
                              <w:marTop w:val="0"/>
                              <w:marBottom w:val="0"/>
                              <w:divBdr>
                                <w:top w:val="none" w:sz="0" w:space="0" w:color="auto"/>
                                <w:left w:val="none" w:sz="0" w:space="0" w:color="auto"/>
                                <w:bottom w:val="none" w:sz="0" w:space="0" w:color="auto"/>
                                <w:right w:val="none" w:sz="0" w:space="0" w:color="auto"/>
                              </w:divBdr>
                              <w:divsChild>
                                <w:div w:id="488136005">
                                  <w:marLeft w:val="0"/>
                                  <w:marRight w:val="0"/>
                                  <w:marTop w:val="0"/>
                                  <w:marBottom w:val="0"/>
                                  <w:divBdr>
                                    <w:top w:val="none" w:sz="0" w:space="0" w:color="auto"/>
                                    <w:left w:val="none" w:sz="0" w:space="0" w:color="auto"/>
                                    <w:bottom w:val="none" w:sz="0" w:space="0" w:color="auto"/>
                                    <w:right w:val="none" w:sz="0" w:space="0" w:color="auto"/>
                                  </w:divBdr>
                                  <w:divsChild>
                                    <w:div w:id="53846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480600">
                          <w:marLeft w:val="0"/>
                          <w:marRight w:val="0"/>
                          <w:marTop w:val="0"/>
                          <w:marBottom w:val="0"/>
                          <w:divBdr>
                            <w:top w:val="none" w:sz="0" w:space="0" w:color="auto"/>
                            <w:left w:val="none" w:sz="0" w:space="0" w:color="auto"/>
                            <w:bottom w:val="none" w:sz="0" w:space="0" w:color="auto"/>
                            <w:right w:val="none" w:sz="0" w:space="0" w:color="auto"/>
                          </w:divBdr>
                          <w:divsChild>
                            <w:div w:id="1278412473">
                              <w:marLeft w:val="0"/>
                              <w:marRight w:val="0"/>
                              <w:marTop w:val="0"/>
                              <w:marBottom w:val="0"/>
                              <w:divBdr>
                                <w:top w:val="none" w:sz="0" w:space="0" w:color="auto"/>
                                <w:left w:val="none" w:sz="0" w:space="0" w:color="auto"/>
                                <w:bottom w:val="none" w:sz="0" w:space="0" w:color="auto"/>
                                <w:right w:val="none" w:sz="0" w:space="0" w:color="auto"/>
                              </w:divBdr>
                              <w:divsChild>
                                <w:div w:id="1337271474">
                                  <w:marLeft w:val="0"/>
                                  <w:marRight w:val="0"/>
                                  <w:marTop w:val="0"/>
                                  <w:marBottom w:val="0"/>
                                  <w:divBdr>
                                    <w:top w:val="none" w:sz="0" w:space="0" w:color="auto"/>
                                    <w:left w:val="none" w:sz="0" w:space="0" w:color="auto"/>
                                    <w:bottom w:val="none" w:sz="0" w:space="0" w:color="auto"/>
                                    <w:right w:val="none" w:sz="0" w:space="0" w:color="auto"/>
                                  </w:divBdr>
                                  <w:divsChild>
                                    <w:div w:id="148022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557491">
                      <w:marLeft w:val="0"/>
                      <w:marRight w:val="0"/>
                      <w:marTop w:val="0"/>
                      <w:marBottom w:val="0"/>
                      <w:divBdr>
                        <w:top w:val="none" w:sz="0" w:space="0" w:color="auto"/>
                        <w:left w:val="none" w:sz="0" w:space="0" w:color="auto"/>
                        <w:bottom w:val="none" w:sz="0" w:space="0" w:color="auto"/>
                        <w:right w:val="none" w:sz="0" w:space="0" w:color="auto"/>
                      </w:divBdr>
                      <w:divsChild>
                        <w:div w:id="31171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112692">
      <w:bodyDiv w:val="1"/>
      <w:marLeft w:val="0"/>
      <w:marRight w:val="0"/>
      <w:marTop w:val="0"/>
      <w:marBottom w:val="0"/>
      <w:divBdr>
        <w:top w:val="none" w:sz="0" w:space="0" w:color="auto"/>
        <w:left w:val="none" w:sz="0" w:space="0" w:color="auto"/>
        <w:bottom w:val="none" w:sz="0" w:space="0" w:color="auto"/>
        <w:right w:val="none" w:sz="0" w:space="0" w:color="auto"/>
      </w:divBdr>
    </w:div>
    <w:div w:id="503321530">
      <w:bodyDiv w:val="1"/>
      <w:marLeft w:val="0"/>
      <w:marRight w:val="0"/>
      <w:marTop w:val="0"/>
      <w:marBottom w:val="0"/>
      <w:divBdr>
        <w:top w:val="none" w:sz="0" w:space="0" w:color="auto"/>
        <w:left w:val="none" w:sz="0" w:space="0" w:color="auto"/>
        <w:bottom w:val="none" w:sz="0" w:space="0" w:color="auto"/>
        <w:right w:val="none" w:sz="0" w:space="0" w:color="auto"/>
      </w:divBdr>
      <w:divsChild>
        <w:div w:id="2049716575">
          <w:marLeft w:val="0"/>
          <w:marRight w:val="0"/>
          <w:marTop w:val="0"/>
          <w:marBottom w:val="0"/>
          <w:divBdr>
            <w:top w:val="none" w:sz="0" w:space="0" w:color="auto"/>
            <w:left w:val="none" w:sz="0" w:space="0" w:color="auto"/>
            <w:bottom w:val="none" w:sz="0" w:space="0" w:color="auto"/>
            <w:right w:val="none" w:sz="0" w:space="0" w:color="auto"/>
          </w:divBdr>
          <w:divsChild>
            <w:div w:id="1911113699">
              <w:marLeft w:val="0"/>
              <w:marRight w:val="0"/>
              <w:marTop w:val="0"/>
              <w:marBottom w:val="0"/>
              <w:divBdr>
                <w:top w:val="none" w:sz="0" w:space="0" w:color="auto"/>
                <w:left w:val="none" w:sz="0" w:space="0" w:color="auto"/>
                <w:bottom w:val="none" w:sz="0" w:space="0" w:color="auto"/>
                <w:right w:val="none" w:sz="0" w:space="0" w:color="auto"/>
              </w:divBdr>
              <w:divsChild>
                <w:div w:id="622928754">
                  <w:marLeft w:val="0"/>
                  <w:marRight w:val="0"/>
                  <w:marTop w:val="0"/>
                  <w:marBottom w:val="0"/>
                  <w:divBdr>
                    <w:top w:val="none" w:sz="0" w:space="0" w:color="auto"/>
                    <w:left w:val="none" w:sz="0" w:space="0" w:color="auto"/>
                    <w:bottom w:val="none" w:sz="0" w:space="0" w:color="auto"/>
                    <w:right w:val="none" w:sz="0" w:space="0" w:color="auto"/>
                  </w:divBdr>
                  <w:divsChild>
                    <w:div w:id="1488979709">
                      <w:marLeft w:val="0"/>
                      <w:marRight w:val="0"/>
                      <w:marTop w:val="0"/>
                      <w:marBottom w:val="0"/>
                      <w:divBdr>
                        <w:top w:val="none" w:sz="0" w:space="0" w:color="auto"/>
                        <w:left w:val="none" w:sz="0" w:space="0" w:color="auto"/>
                        <w:bottom w:val="none" w:sz="0" w:space="0" w:color="auto"/>
                        <w:right w:val="none" w:sz="0" w:space="0" w:color="auto"/>
                      </w:divBdr>
                      <w:divsChild>
                        <w:div w:id="1936857836">
                          <w:marLeft w:val="0"/>
                          <w:marRight w:val="0"/>
                          <w:marTop w:val="0"/>
                          <w:marBottom w:val="0"/>
                          <w:divBdr>
                            <w:top w:val="none" w:sz="0" w:space="0" w:color="auto"/>
                            <w:left w:val="none" w:sz="0" w:space="0" w:color="auto"/>
                            <w:bottom w:val="none" w:sz="0" w:space="0" w:color="auto"/>
                            <w:right w:val="none" w:sz="0" w:space="0" w:color="auto"/>
                          </w:divBdr>
                          <w:divsChild>
                            <w:div w:id="2117366982">
                              <w:marLeft w:val="0"/>
                              <w:marRight w:val="0"/>
                              <w:marTop w:val="0"/>
                              <w:marBottom w:val="0"/>
                              <w:divBdr>
                                <w:top w:val="none" w:sz="0" w:space="0" w:color="auto"/>
                                <w:left w:val="none" w:sz="0" w:space="0" w:color="auto"/>
                                <w:bottom w:val="none" w:sz="0" w:space="0" w:color="auto"/>
                                <w:right w:val="none" w:sz="0" w:space="0" w:color="auto"/>
                              </w:divBdr>
                              <w:divsChild>
                                <w:div w:id="1488475379">
                                  <w:marLeft w:val="0"/>
                                  <w:marRight w:val="0"/>
                                  <w:marTop w:val="0"/>
                                  <w:marBottom w:val="0"/>
                                  <w:divBdr>
                                    <w:top w:val="none" w:sz="0" w:space="0" w:color="auto"/>
                                    <w:left w:val="none" w:sz="0" w:space="0" w:color="auto"/>
                                    <w:bottom w:val="none" w:sz="0" w:space="0" w:color="auto"/>
                                    <w:right w:val="none" w:sz="0" w:space="0" w:color="auto"/>
                                  </w:divBdr>
                                  <w:divsChild>
                                    <w:div w:id="188737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03228">
                          <w:marLeft w:val="0"/>
                          <w:marRight w:val="0"/>
                          <w:marTop w:val="0"/>
                          <w:marBottom w:val="0"/>
                          <w:divBdr>
                            <w:top w:val="none" w:sz="0" w:space="0" w:color="auto"/>
                            <w:left w:val="none" w:sz="0" w:space="0" w:color="auto"/>
                            <w:bottom w:val="none" w:sz="0" w:space="0" w:color="auto"/>
                            <w:right w:val="none" w:sz="0" w:space="0" w:color="auto"/>
                          </w:divBdr>
                          <w:divsChild>
                            <w:div w:id="406801647">
                              <w:marLeft w:val="0"/>
                              <w:marRight w:val="0"/>
                              <w:marTop w:val="0"/>
                              <w:marBottom w:val="0"/>
                              <w:divBdr>
                                <w:top w:val="none" w:sz="0" w:space="0" w:color="auto"/>
                                <w:left w:val="none" w:sz="0" w:space="0" w:color="auto"/>
                                <w:bottom w:val="none" w:sz="0" w:space="0" w:color="auto"/>
                                <w:right w:val="none" w:sz="0" w:space="0" w:color="auto"/>
                              </w:divBdr>
                              <w:divsChild>
                                <w:div w:id="764495063">
                                  <w:marLeft w:val="0"/>
                                  <w:marRight w:val="0"/>
                                  <w:marTop w:val="0"/>
                                  <w:marBottom w:val="0"/>
                                  <w:divBdr>
                                    <w:top w:val="none" w:sz="0" w:space="0" w:color="auto"/>
                                    <w:left w:val="none" w:sz="0" w:space="0" w:color="auto"/>
                                    <w:bottom w:val="none" w:sz="0" w:space="0" w:color="auto"/>
                                    <w:right w:val="none" w:sz="0" w:space="0" w:color="auto"/>
                                  </w:divBdr>
                                  <w:divsChild>
                                    <w:div w:id="165383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808609">
                      <w:marLeft w:val="0"/>
                      <w:marRight w:val="0"/>
                      <w:marTop w:val="0"/>
                      <w:marBottom w:val="0"/>
                      <w:divBdr>
                        <w:top w:val="none" w:sz="0" w:space="0" w:color="auto"/>
                        <w:left w:val="none" w:sz="0" w:space="0" w:color="auto"/>
                        <w:bottom w:val="none" w:sz="0" w:space="0" w:color="auto"/>
                        <w:right w:val="none" w:sz="0" w:space="0" w:color="auto"/>
                      </w:divBdr>
                      <w:divsChild>
                        <w:div w:id="4614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083941">
      <w:bodyDiv w:val="1"/>
      <w:marLeft w:val="0"/>
      <w:marRight w:val="0"/>
      <w:marTop w:val="0"/>
      <w:marBottom w:val="0"/>
      <w:divBdr>
        <w:top w:val="none" w:sz="0" w:space="0" w:color="auto"/>
        <w:left w:val="none" w:sz="0" w:space="0" w:color="auto"/>
        <w:bottom w:val="none" w:sz="0" w:space="0" w:color="auto"/>
        <w:right w:val="none" w:sz="0" w:space="0" w:color="auto"/>
      </w:divBdr>
    </w:div>
    <w:div w:id="518280259">
      <w:bodyDiv w:val="1"/>
      <w:marLeft w:val="0"/>
      <w:marRight w:val="0"/>
      <w:marTop w:val="0"/>
      <w:marBottom w:val="0"/>
      <w:divBdr>
        <w:top w:val="none" w:sz="0" w:space="0" w:color="auto"/>
        <w:left w:val="none" w:sz="0" w:space="0" w:color="auto"/>
        <w:bottom w:val="none" w:sz="0" w:space="0" w:color="auto"/>
        <w:right w:val="none" w:sz="0" w:space="0" w:color="auto"/>
      </w:divBdr>
    </w:div>
    <w:div w:id="534931515">
      <w:bodyDiv w:val="1"/>
      <w:marLeft w:val="0"/>
      <w:marRight w:val="0"/>
      <w:marTop w:val="0"/>
      <w:marBottom w:val="0"/>
      <w:divBdr>
        <w:top w:val="none" w:sz="0" w:space="0" w:color="auto"/>
        <w:left w:val="none" w:sz="0" w:space="0" w:color="auto"/>
        <w:bottom w:val="none" w:sz="0" w:space="0" w:color="auto"/>
        <w:right w:val="none" w:sz="0" w:space="0" w:color="auto"/>
      </w:divBdr>
    </w:div>
    <w:div w:id="541556050">
      <w:bodyDiv w:val="1"/>
      <w:marLeft w:val="0"/>
      <w:marRight w:val="0"/>
      <w:marTop w:val="0"/>
      <w:marBottom w:val="0"/>
      <w:divBdr>
        <w:top w:val="none" w:sz="0" w:space="0" w:color="auto"/>
        <w:left w:val="none" w:sz="0" w:space="0" w:color="auto"/>
        <w:bottom w:val="none" w:sz="0" w:space="0" w:color="auto"/>
        <w:right w:val="none" w:sz="0" w:space="0" w:color="auto"/>
      </w:divBdr>
      <w:divsChild>
        <w:div w:id="1640844321">
          <w:marLeft w:val="0"/>
          <w:marRight w:val="0"/>
          <w:marTop w:val="0"/>
          <w:marBottom w:val="0"/>
          <w:divBdr>
            <w:top w:val="none" w:sz="0" w:space="0" w:color="auto"/>
            <w:left w:val="none" w:sz="0" w:space="0" w:color="auto"/>
            <w:bottom w:val="none" w:sz="0" w:space="0" w:color="auto"/>
            <w:right w:val="none" w:sz="0" w:space="0" w:color="auto"/>
          </w:divBdr>
          <w:divsChild>
            <w:div w:id="1782067129">
              <w:marLeft w:val="0"/>
              <w:marRight w:val="0"/>
              <w:marTop w:val="0"/>
              <w:marBottom w:val="0"/>
              <w:divBdr>
                <w:top w:val="none" w:sz="0" w:space="0" w:color="auto"/>
                <w:left w:val="none" w:sz="0" w:space="0" w:color="auto"/>
                <w:bottom w:val="none" w:sz="0" w:space="0" w:color="auto"/>
                <w:right w:val="none" w:sz="0" w:space="0" w:color="auto"/>
              </w:divBdr>
              <w:divsChild>
                <w:div w:id="378625877">
                  <w:marLeft w:val="0"/>
                  <w:marRight w:val="0"/>
                  <w:marTop w:val="0"/>
                  <w:marBottom w:val="0"/>
                  <w:divBdr>
                    <w:top w:val="none" w:sz="0" w:space="0" w:color="auto"/>
                    <w:left w:val="none" w:sz="0" w:space="0" w:color="auto"/>
                    <w:bottom w:val="none" w:sz="0" w:space="0" w:color="auto"/>
                    <w:right w:val="none" w:sz="0" w:space="0" w:color="auto"/>
                  </w:divBdr>
                  <w:divsChild>
                    <w:div w:id="1903447470">
                      <w:marLeft w:val="0"/>
                      <w:marRight w:val="0"/>
                      <w:marTop w:val="0"/>
                      <w:marBottom w:val="0"/>
                      <w:divBdr>
                        <w:top w:val="none" w:sz="0" w:space="0" w:color="auto"/>
                        <w:left w:val="none" w:sz="0" w:space="0" w:color="auto"/>
                        <w:bottom w:val="none" w:sz="0" w:space="0" w:color="auto"/>
                        <w:right w:val="none" w:sz="0" w:space="0" w:color="auto"/>
                      </w:divBdr>
                      <w:divsChild>
                        <w:div w:id="176235257">
                          <w:marLeft w:val="0"/>
                          <w:marRight w:val="0"/>
                          <w:marTop w:val="0"/>
                          <w:marBottom w:val="0"/>
                          <w:divBdr>
                            <w:top w:val="none" w:sz="0" w:space="0" w:color="auto"/>
                            <w:left w:val="none" w:sz="0" w:space="0" w:color="auto"/>
                            <w:bottom w:val="none" w:sz="0" w:space="0" w:color="auto"/>
                            <w:right w:val="none" w:sz="0" w:space="0" w:color="auto"/>
                          </w:divBdr>
                          <w:divsChild>
                            <w:div w:id="540827061">
                              <w:marLeft w:val="0"/>
                              <w:marRight w:val="0"/>
                              <w:marTop w:val="0"/>
                              <w:marBottom w:val="0"/>
                              <w:divBdr>
                                <w:top w:val="none" w:sz="0" w:space="0" w:color="auto"/>
                                <w:left w:val="none" w:sz="0" w:space="0" w:color="auto"/>
                                <w:bottom w:val="none" w:sz="0" w:space="0" w:color="auto"/>
                                <w:right w:val="none" w:sz="0" w:space="0" w:color="auto"/>
                              </w:divBdr>
                              <w:divsChild>
                                <w:div w:id="460346415">
                                  <w:marLeft w:val="0"/>
                                  <w:marRight w:val="0"/>
                                  <w:marTop w:val="0"/>
                                  <w:marBottom w:val="0"/>
                                  <w:divBdr>
                                    <w:top w:val="none" w:sz="0" w:space="0" w:color="auto"/>
                                    <w:left w:val="none" w:sz="0" w:space="0" w:color="auto"/>
                                    <w:bottom w:val="none" w:sz="0" w:space="0" w:color="auto"/>
                                    <w:right w:val="none" w:sz="0" w:space="0" w:color="auto"/>
                                  </w:divBdr>
                                  <w:divsChild>
                                    <w:div w:id="125286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593851">
                          <w:marLeft w:val="0"/>
                          <w:marRight w:val="0"/>
                          <w:marTop w:val="0"/>
                          <w:marBottom w:val="0"/>
                          <w:divBdr>
                            <w:top w:val="none" w:sz="0" w:space="0" w:color="auto"/>
                            <w:left w:val="none" w:sz="0" w:space="0" w:color="auto"/>
                            <w:bottom w:val="none" w:sz="0" w:space="0" w:color="auto"/>
                            <w:right w:val="none" w:sz="0" w:space="0" w:color="auto"/>
                          </w:divBdr>
                          <w:divsChild>
                            <w:div w:id="1448233428">
                              <w:marLeft w:val="0"/>
                              <w:marRight w:val="0"/>
                              <w:marTop w:val="0"/>
                              <w:marBottom w:val="0"/>
                              <w:divBdr>
                                <w:top w:val="none" w:sz="0" w:space="0" w:color="auto"/>
                                <w:left w:val="none" w:sz="0" w:space="0" w:color="auto"/>
                                <w:bottom w:val="none" w:sz="0" w:space="0" w:color="auto"/>
                                <w:right w:val="none" w:sz="0" w:space="0" w:color="auto"/>
                              </w:divBdr>
                              <w:divsChild>
                                <w:div w:id="1126119096">
                                  <w:marLeft w:val="0"/>
                                  <w:marRight w:val="0"/>
                                  <w:marTop w:val="0"/>
                                  <w:marBottom w:val="0"/>
                                  <w:divBdr>
                                    <w:top w:val="none" w:sz="0" w:space="0" w:color="auto"/>
                                    <w:left w:val="none" w:sz="0" w:space="0" w:color="auto"/>
                                    <w:bottom w:val="none" w:sz="0" w:space="0" w:color="auto"/>
                                    <w:right w:val="none" w:sz="0" w:space="0" w:color="auto"/>
                                  </w:divBdr>
                                  <w:divsChild>
                                    <w:div w:id="85302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458490">
                      <w:marLeft w:val="0"/>
                      <w:marRight w:val="0"/>
                      <w:marTop w:val="0"/>
                      <w:marBottom w:val="0"/>
                      <w:divBdr>
                        <w:top w:val="none" w:sz="0" w:space="0" w:color="auto"/>
                        <w:left w:val="none" w:sz="0" w:space="0" w:color="auto"/>
                        <w:bottom w:val="none" w:sz="0" w:space="0" w:color="auto"/>
                        <w:right w:val="none" w:sz="0" w:space="0" w:color="auto"/>
                      </w:divBdr>
                      <w:divsChild>
                        <w:div w:id="82544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1259099">
      <w:bodyDiv w:val="1"/>
      <w:marLeft w:val="0"/>
      <w:marRight w:val="0"/>
      <w:marTop w:val="0"/>
      <w:marBottom w:val="0"/>
      <w:divBdr>
        <w:top w:val="none" w:sz="0" w:space="0" w:color="auto"/>
        <w:left w:val="none" w:sz="0" w:space="0" w:color="auto"/>
        <w:bottom w:val="none" w:sz="0" w:space="0" w:color="auto"/>
        <w:right w:val="none" w:sz="0" w:space="0" w:color="auto"/>
      </w:divBdr>
    </w:div>
    <w:div w:id="580137081">
      <w:bodyDiv w:val="1"/>
      <w:marLeft w:val="0"/>
      <w:marRight w:val="0"/>
      <w:marTop w:val="0"/>
      <w:marBottom w:val="0"/>
      <w:divBdr>
        <w:top w:val="none" w:sz="0" w:space="0" w:color="auto"/>
        <w:left w:val="none" w:sz="0" w:space="0" w:color="auto"/>
        <w:bottom w:val="none" w:sz="0" w:space="0" w:color="auto"/>
        <w:right w:val="none" w:sz="0" w:space="0" w:color="auto"/>
      </w:divBdr>
    </w:div>
    <w:div w:id="603464892">
      <w:bodyDiv w:val="1"/>
      <w:marLeft w:val="0"/>
      <w:marRight w:val="0"/>
      <w:marTop w:val="0"/>
      <w:marBottom w:val="0"/>
      <w:divBdr>
        <w:top w:val="none" w:sz="0" w:space="0" w:color="auto"/>
        <w:left w:val="none" w:sz="0" w:space="0" w:color="auto"/>
        <w:bottom w:val="none" w:sz="0" w:space="0" w:color="auto"/>
        <w:right w:val="none" w:sz="0" w:space="0" w:color="auto"/>
      </w:divBdr>
    </w:div>
    <w:div w:id="615867836">
      <w:bodyDiv w:val="1"/>
      <w:marLeft w:val="0"/>
      <w:marRight w:val="0"/>
      <w:marTop w:val="0"/>
      <w:marBottom w:val="0"/>
      <w:divBdr>
        <w:top w:val="none" w:sz="0" w:space="0" w:color="auto"/>
        <w:left w:val="none" w:sz="0" w:space="0" w:color="auto"/>
        <w:bottom w:val="none" w:sz="0" w:space="0" w:color="auto"/>
        <w:right w:val="none" w:sz="0" w:space="0" w:color="auto"/>
      </w:divBdr>
    </w:div>
    <w:div w:id="616916240">
      <w:bodyDiv w:val="1"/>
      <w:marLeft w:val="0"/>
      <w:marRight w:val="0"/>
      <w:marTop w:val="0"/>
      <w:marBottom w:val="0"/>
      <w:divBdr>
        <w:top w:val="none" w:sz="0" w:space="0" w:color="auto"/>
        <w:left w:val="none" w:sz="0" w:space="0" w:color="auto"/>
        <w:bottom w:val="none" w:sz="0" w:space="0" w:color="auto"/>
        <w:right w:val="none" w:sz="0" w:space="0" w:color="auto"/>
      </w:divBdr>
    </w:div>
    <w:div w:id="617881112">
      <w:bodyDiv w:val="1"/>
      <w:marLeft w:val="0"/>
      <w:marRight w:val="0"/>
      <w:marTop w:val="0"/>
      <w:marBottom w:val="0"/>
      <w:divBdr>
        <w:top w:val="none" w:sz="0" w:space="0" w:color="auto"/>
        <w:left w:val="none" w:sz="0" w:space="0" w:color="auto"/>
        <w:bottom w:val="none" w:sz="0" w:space="0" w:color="auto"/>
        <w:right w:val="none" w:sz="0" w:space="0" w:color="auto"/>
      </w:divBdr>
    </w:div>
    <w:div w:id="619841529">
      <w:bodyDiv w:val="1"/>
      <w:marLeft w:val="0"/>
      <w:marRight w:val="0"/>
      <w:marTop w:val="0"/>
      <w:marBottom w:val="0"/>
      <w:divBdr>
        <w:top w:val="none" w:sz="0" w:space="0" w:color="auto"/>
        <w:left w:val="none" w:sz="0" w:space="0" w:color="auto"/>
        <w:bottom w:val="none" w:sz="0" w:space="0" w:color="auto"/>
        <w:right w:val="none" w:sz="0" w:space="0" w:color="auto"/>
      </w:divBdr>
    </w:div>
    <w:div w:id="620460980">
      <w:bodyDiv w:val="1"/>
      <w:marLeft w:val="0"/>
      <w:marRight w:val="0"/>
      <w:marTop w:val="0"/>
      <w:marBottom w:val="0"/>
      <w:divBdr>
        <w:top w:val="none" w:sz="0" w:space="0" w:color="auto"/>
        <w:left w:val="none" w:sz="0" w:space="0" w:color="auto"/>
        <w:bottom w:val="none" w:sz="0" w:space="0" w:color="auto"/>
        <w:right w:val="none" w:sz="0" w:space="0" w:color="auto"/>
      </w:divBdr>
    </w:div>
    <w:div w:id="639500905">
      <w:bodyDiv w:val="1"/>
      <w:marLeft w:val="0"/>
      <w:marRight w:val="0"/>
      <w:marTop w:val="0"/>
      <w:marBottom w:val="0"/>
      <w:divBdr>
        <w:top w:val="none" w:sz="0" w:space="0" w:color="auto"/>
        <w:left w:val="none" w:sz="0" w:space="0" w:color="auto"/>
        <w:bottom w:val="none" w:sz="0" w:space="0" w:color="auto"/>
        <w:right w:val="none" w:sz="0" w:space="0" w:color="auto"/>
      </w:divBdr>
    </w:div>
    <w:div w:id="640883946">
      <w:bodyDiv w:val="1"/>
      <w:marLeft w:val="0"/>
      <w:marRight w:val="0"/>
      <w:marTop w:val="0"/>
      <w:marBottom w:val="0"/>
      <w:divBdr>
        <w:top w:val="none" w:sz="0" w:space="0" w:color="auto"/>
        <w:left w:val="none" w:sz="0" w:space="0" w:color="auto"/>
        <w:bottom w:val="none" w:sz="0" w:space="0" w:color="auto"/>
        <w:right w:val="none" w:sz="0" w:space="0" w:color="auto"/>
      </w:divBdr>
    </w:div>
    <w:div w:id="647438816">
      <w:bodyDiv w:val="1"/>
      <w:marLeft w:val="0"/>
      <w:marRight w:val="0"/>
      <w:marTop w:val="0"/>
      <w:marBottom w:val="0"/>
      <w:divBdr>
        <w:top w:val="none" w:sz="0" w:space="0" w:color="auto"/>
        <w:left w:val="none" w:sz="0" w:space="0" w:color="auto"/>
        <w:bottom w:val="none" w:sz="0" w:space="0" w:color="auto"/>
        <w:right w:val="none" w:sz="0" w:space="0" w:color="auto"/>
      </w:divBdr>
    </w:div>
    <w:div w:id="650721240">
      <w:bodyDiv w:val="1"/>
      <w:marLeft w:val="0"/>
      <w:marRight w:val="0"/>
      <w:marTop w:val="0"/>
      <w:marBottom w:val="0"/>
      <w:divBdr>
        <w:top w:val="none" w:sz="0" w:space="0" w:color="auto"/>
        <w:left w:val="none" w:sz="0" w:space="0" w:color="auto"/>
        <w:bottom w:val="none" w:sz="0" w:space="0" w:color="auto"/>
        <w:right w:val="none" w:sz="0" w:space="0" w:color="auto"/>
      </w:divBdr>
    </w:div>
    <w:div w:id="705909890">
      <w:bodyDiv w:val="1"/>
      <w:marLeft w:val="0"/>
      <w:marRight w:val="0"/>
      <w:marTop w:val="0"/>
      <w:marBottom w:val="0"/>
      <w:divBdr>
        <w:top w:val="none" w:sz="0" w:space="0" w:color="auto"/>
        <w:left w:val="none" w:sz="0" w:space="0" w:color="auto"/>
        <w:bottom w:val="none" w:sz="0" w:space="0" w:color="auto"/>
        <w:right w:val="none" w:sz="0" w:space="0" w:color="auto"/>
      </w:divBdr>
    </w:div>
    <w:div w:id="738016593">
      <w:bodyDiv w:val="1"/>
      <w:marLeft w:val="0"/>
      <w:marRight w:val="0"/>
      <w:marTop w:val="0"/>
      <w:marBottom w:val="0"/>
      <w:divBdr>
        <w:top w:val="none" w:sz="0" w:space="0" w:color="auto"/>
        <w:left w:val="none" w:sz="0" w:space="0" w:color="auto"/>
        <w:bottom w:val="none" w:sz="0" w:space="0" w:color="auto"/>
        <w:right w:val="none" w:sz="0" w:space="0" w:color="auto"/>
      </w:divBdr>
    </w:div>
    <w:div w:id="742021206">
      <w:bodyDiv w:val="1"/>
      <w:marLeft w:val="0"/>
      <w:marRight w:val="0"/>
      <w:marTop w:val="0"/>
      <w:marBottom w:val="0"/>
      <w:divBdr>
        <w:top w:val="none" w:sz="0" w:space="0" w:color="auto"/>
        <w:left w:val="none" w:sz="0" w:space="0" w:color="auto"/>
        <w:bottom w:val="none" w:sz="0" w:space="0" w:color="auto"/>
        <w:right w:val="none" w:sz="0" w:space="0" w:color="auto"/>
      </w:divBdr>
      <w:divsChild>
        <w:div w:id="507528965">
          <w:marLeft w:val="0"/>
          <w:marRight w:val="0"/>
          <w:marTop w:val="0"/>
          <w:marBottom w:val="0"/>
          <w:divBdr>
            <w:top w:val="none" w:sz="0" w:space="0" w:color="auto"/>
            <w:left w:val="none" w:sz="0" w:space="0" w:color="auto"/>
            <w:bottom w:val="none" w:sz="0" w:space="0" w:color="auto"/>
            <w:right w:val="none" w:sz="0" w:space="0" w:color="auto"/>
          </w:divBdr>
          <w:divsChild>
            <w:div w:id="311299684">
              <w:marLeft w:val="0"/>
              <w:marRight w:val="0"/>
              <w:marTop w:val="0"/>
              <w:marBottom w:val="0"/>
              <w:divBdr>
                <w:top w:val="none" w:sz="0" w:space="0" w:color="auto"/>
                <w:left w:val="none" w:sz="0" w:space="0" w:color="auto"/>
                <w:bottom w:val="none" w:sz="0" w:space="0" w:color="auto"/>
                <w:right w:val="none" w:sz="0" w:space="0" w:color="auto"/>
              </w:divBdr>
              <w:divsChild>
                <w:div w:id="82192267">
                  <w:marLeft w:val="0"/>
                  <w:marRight w:val="0"/>
                  <w:marTop w:val="0"/>
                  <w:marBottom w:val="0"/>
                  <w:divBdr>
                    <w:top w:val="none" w:sz="0" w:space="0" w:color="auto"/>
                    <w:left w:val="none" w:sz="0" w:space="0" w:color="auto"/>
                    <w:bottom w:val="none" w:sz="0" w:space="0" w:color="auto"/>
                    <w:right w:val="none" w:sz="0" w:space="0" w:color="auto"/>
                  </w:divBdr>
                  <w:divsChild>
                    <w:div w:id="2005232252">
                      <w:marLeft w:val="0"/>
                      <w:marRight w:val="0"/>
                      <w:marTop w:val="0"/>
                      <w:marBottom w:val="0"/>
                      <w:divBdr>
                        <w:top w:val="none" w:sz="0" w:space="0" w:color="auto"/>
                        <w:left w:val="none" w:sz="0" w:space="0" w:color="auto"/>
                        <w:bottom w:val="none" w:sz="0" w:space="0" w:color="auto"/>
                        <w:right w:val="none" w:sz="0" w:space="0" w:color="auto"/>
                      </w:divBdr>
                      <w:divsChild>
                        <w:div w:id="1433042646">
                          <w:marLeft w:val="0"/>
                          <w:marRight w:val="0"/>
                          <w:marTop w:val="0"/>
                          <w:marBottom w:val="0"/>
                          <w:divBdr>
                            <w:top w:val="none" w:sz="0" w:space="0" w:color="auto"/>
                            <w:left w:val="none" w:sz="0" w:space="0" w:color="auto"/>
                            <w:bottom w:val="none" w:sz="0" w:space="0" w:color="auto"/>
                            <w:right w:val="none" w:sz="0" w:space="0" w:color="auto"/>
                          </w:divBdr>
                          <w:divsChild>
                            <w:div w:id="712731978">
                              <w:marLeft w:val="0"/>
                              <w:marRight w:val="0"/>
                              <w:marTop w:val="0"/>
                              <w:marBottom w:val="0"/>
                              <w:divBdr>
                                <w:top w:val="none" w:sz="0" w:space="0" w:color="auto"/>
                                <w:left w:val="none" w:sz="0" w:space="0" w:color="auto"/>
                                <w:bottom w:val="none" w:sz="0" w:space="0" w:color="auto"/>
                                <w:right w:val="none" w:sz="0" w:space="0" w:color="auto"/>
                              </w:divBdr>
                              <w:divsChild>
                                <w:div w:id="1178541753">
                                  <w:marLeft w:val="0"/>
                                  <w:marRight w:val="0"/>
                                  <w:marTop w:val="0"/>
                                  <w:marBottom w:val="0"/>
                                  <w:divBdr>
                                    <w:top w:val="none" w:sz="0" w:space="0" w:color="auto"/>
                                    <w:left w:val="none" w:sz="0" w:space="0" w:color="auto"/>
                                    <w:bottom w:val="none" w:sz="0" w:space="0" w:color="auto"/>
                                    <w:right w:val="none" w:sz="0" w:space="0" w:color="auto"/>
                                  </w:divBdr>
                                  <w:divsChild>
                                    <w:div w:id="94549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666903">
                          <w:marLeft w:val="0"/>
                          <w:marRight w:val="0"/>
                          <w:marTop w:val="0"/>
                          <w:marBottom w:val="0"/>
                          <w:divBdr>
                            <w:top w:val="none" w:sz="0" w:space="0" w:color="auto"/>
                            <w:left w:val="none" w:sz="0" w:space="0" w:color="auto"/>
                            <w:bottom w:val="none" w:sz="0" w:space="0" w:color="auto"/>
                            <w:right w:val="none" w:sz="0" w:space="0" w:color="auto"/>
                          </w:divBdr>
                          <w:divsChild>
                            <w:div w:id="911044564">
                              <w:marLeft w:val="0"/>
                              <w:marRight w:val="0"/>
                              <w:marTop w:val="0"/>
                              <w:marBottom w:val="0"/>
                              <w:divBdr>
                                <w:top w:val="none" w:sz="0" w:space="0" w:color="auto"/>
                                <w:left w:val="none" w:sz="0" w:space="0" w:color="auto"/>
                                <w:bottom w:val="none" w:sz="0" w:space="0" w:color="auto"/>
                                <w:right w:val="none" w:sz="0" w:space="0" w:color="auto"/>
                              </w:divBdr>
                              <w:divsChild>
                                <w:div w:id="878131242">
                                  <w:marLeft w:val="0"/>
                                  <w:marRight w:val="0"/>
                                  <w:marTop w:val="0"/>
                                  <w:marBottom w:val="0"/>
                                  <w:divBdr>
                                    <w:top w:val="none" w:sz="0" w:space="0" w:color="auto"/>
                                    <w:left w:val="none" w:sz="0" w:space="0" w:color="auto"/>
                                    <w:bottom w:val="none" w:sz="0" w:space="0" w:color="auto"/>
                                    <w:right w:val="none" w:sz="0" w:space="0" w:color="auto"/>
                                  </w:divBdr>
                                  <w:divsChild>
                                    <w:div w:id="38387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86116">
                      <w:marLeft w:val="0"/>
                      <w:marRight w:val="0"/>
                      <w:marTop w:val="0"/>
                      <w:marBottom w:val="0"/>
                      <w:divBdr>
                        <w:top w:val="none" w:sz="0" w:space="0" w:color="auto"/>
                        <w:left w:val="none" w:sz="0" w:space="0" w:color="auto"/>
                        <w:bottom w:val="none" w:sz="0" w:space="0" w:color="auto"/>
                        <w:right w:val="none" w:sz="0" w:space="0" w:color="auto"/>
                      </w:divBdr>
                      <w:divsChild>
                        <w:div w:id="79757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362140">
      <w:bodyDiv w:val="1"/>
      <w:marLeft w:val="0"/>
      <w:marRight w:val="0"/>
      <w:marTop w:val="0"/>
      <w:marBottom w:val="0"/>
      <w:divBdr>
        <w:top w:val="none" w:sz="0" w:space="0" w:color="auto"/>
        <w:left w:val="none" w:sz="0" w:space="0" w:color="auto"/>
        <w:bottom w:val="none" w:sz="0" w:space="0" w:color="auto"/>
        <w:right w:val="none" w:sz="0" w:space="0" w:color="auto"/>
      </w:divBdr>
    </w:div>
    <w:div w:id="764351895">
      <w:bodyDiv w:val="1"/>
      <w:marLeft w:val="0"/>
      <w:marRight w:val="0"/>
      <w:marTop w:val="0"/>
      <w:marBottom w:val="0"/>
      <w:divBdr>
        <w:top w:val="none" w:sz="0" w:space="0" w:color="auto"/>
        <w:left w:val="none" w:sz="0" w:space="0" w:color="auto"/>
        <w:bottom w:val="none" w:sz="0" w:space="0" w:color="auto"/>
        <w:right w:val="none" w:sz="0" w:space="0" w:color="auto"/>
      </w:divBdr>
    </w:div>
    <w:div w:id="778381236">
      <w:bodyDiv w:val="1"/>
      <w:marLeft w:val="0"/>
      <w:marRight w:val="0"/>
      <w:marTop w:val="0"/>
      <w:marBottom w:val="0"/>
      <w:divBdr>
        <w:top w:val="none" w:sz="0" w:space="0" w:color="auto"/>
        <w:left w:val="none" w:sz="0" w:space="0" w:color="auto"/>
        <w:bottom w:val="none" w:sz="0" w:space="0" w:color="auto"/>
        <w:right w:val="none" w:sz="0" w:space="0" w:color="auto"/>
      </w:divBdr>
    </w:div>
    <w:div w:id="802193389">
      <w:bodyDiv w:val="1"/>
      <w:marLeft w:val="0"/>
      <w:marRight w:val="0"/>
      <w:marTop w:val="0"/>
      <w:marBottom w:val="0"/>
      <w:divBdr>
        <w:top w:val="none" w:sz="0" w:space="0" w:color="auto"/>
        <w:left w:val="none" w:sz="0" w:space="0" w:color="auto"/>
        <w:bottom w:val="none" w:sz="0" w:space="0" w:color="auto"/>
        <w:right w:val="none" w:sz="0" w:space="0" w:color="auto"/>
      </w:divBdr>
    </w:div>
    <w:div w:id="805245248">
      <w:bodyDiv w:val="1"/>
      <w:marLeft w:val="0"/>
      <w:marRight w:val="0"/>
      <w:marTop w:val="0"/>
      <w:marBottom w:val="0"/>
      <w:divBdr>
        <w:top w:val="none" w:sz="0" w:space="0" w:color="auto"/>
        <w:left w:val="none" w:sz="0" w:space="0" w:color="auto"/>
        <w:bottom w:val="none" w:sz="0" w:space="0" w:color="auto"/>
        <w:right w:val="none" w:sz="0" w:space="0" w:color="auto"/>
      </w:divBdr>
    </w:div>
    <w:div w:id="834033627">
      <w:bodyDiv w:val="1"/>
      <w:marLeft w:val="0"/>
      <w:marRight w:val="0"/>
      <w:marTop w:val="0"/>
      <w:marBottom w:val="0"/>
      <w:divBdr>
        <w:top w:val="none" w:sz="0" w:space="0" w:color="auto"/>
        <w:left w:val="none" w:sz="0" w:space="0" w:color="auto"/>
        <w:bottom w:val="none" w:sz="0" w:space="0" w:color="auto"/>
        <w:right w:val="none" w:sz="0" w:space="0" w:color="auto"/>
      </w:divBdr>
    </w:div>
    <w:div w:id="842865489">
      <w:bodyDiv w:val="1"/>
      <w:marLeft w:val="0"/>
      <w:marRight w:val="0"/>
      <w:marTop w:val="0"/>
      <w:marBottom w:val="0"/>
      <w:divBdr>
        <w:top w:val="none" w:sz="0" w:space="0" w:color="auto"/>
        <w:left w:val="none" w:sz="0" w:space="0" w:color="auto"/>
        <w:bottom w:val="none" w:sz="0" w:space="0" w:color="auto"/>
        <w:right w:val="none" w:sz="0" w:space="0" w:color="auto"/>
      </w:divBdr>
    </w:div>
    <w:div w:id="864444397">
      <w:bodyDiv w:val="1"/>
      <w:marLeft w:val="0"/>
      <w:marRight w:val="0"/>
      <w:marTop w:val="0"/>
      <w:marBottom w:val="0"/>
      <w:divBdr>
        <w:top w:val="none" w:sz="0" w:space="0" w:color="auto"/>
        <w:left w:val="none" w:sz="0" w:space="0" w:color="auto"/>
        <w:bottom w:val="none" w:sz="0" w:space="0" w:color="auto"/>
        <w:right w:val="none" w:sz="0" w:space="0" w:color="auto"/>
      </w:divBdr>
    </w:div>
    <w:div w:id="865632026">
      <w:bodyDiv w:val="1"/>
      <w:marLeft w:val="0"/>
      <w:marRight w:val="0"/>
      <w:marTop w:val="0"/>
      <w:marBottom w:val="0"/>
      <w:divBdr>
        <w:top w:val="none" w:sz="0" w:space="0" w:color="auto"/>
        <w:left w:val="none" w:sz="0" w:space="0" w:color="auto"/>
        <w:bottom w:val="none" w:sz="0" w:space="0" w:color="auto"/>
        <w:right w:val="none" w:sz="0" w:space="0" w:color="auto"/>
      </w:divBdr>
      <w:divsChild>
        <w:div w:id="1109351919">
          <w:marLeft w:val="0"/>
          <w:marRight w:val="0"/>
          <w:marTop w:val="0"/>
          <w:marBottom w:val="0"/>
          <w:divBdr>
            <w:top w:val="none" w:sz="0" w:space="0" w:color="auto"/>
            <w:left w:val="none" w:sz="0" w:space="0" w:color="auto"/>
            <w:bottom w:val="none" w:sz="0" w:space="0" w:color="auto"/>
            <w:right w:val="none" w:sz="0" w:space="0" w:color="auto"/>
          </w:divBdr>
          <w:divsChild>
            <w:div w:id="1560743188">
              <w:marLeft w:val="0"/>
              <w:marRight w:val="0"/>
              <w:marTop w:val="0"/>
              <w:marBottom w:val="0"/>
              <w:divBdr>
                <w:top w:val="none" w:sz="0" w:space="0" w:color="auto"/>
                <w:left w:val="none" w:sz="0" w:space="0" w:color="auto"/>
                <w:bottom w:val="none" w:sz="0" w:space="0" w:color="auto"/>
                <w:right w:val="none" w:sz="0" w:space="0" w:color="auto"/>
              </w:divBdr>
              <w:divsChild>
                <w:div w:id="655455116">
                  <w:marLeft w:val="0"/>
                  <w:marRight w:val="0"/>
                  <w:marTop w:val="0"/>
                  <w:marBottom w:val="0"/>
                  <w:divBdr>
                    <w:top w:val="none" w:sz="0" w:space="0" w:color="auto"/>
                    <w:left w:val="none" w:sz="0" w:space="0" w:color="auto"/>
                    <w:bottom w:val="none" w:sz="0" w:space="0" w:color="auto"/>
                    <w:right w:val="none" w:sz="0" w:space="0" w:color="auto"/>
                  </w:divBdr>
                  <w:divsChild>
                    <w:div w:id="965431886">
                      <w:marLeft w:val="0"/>
                      <w:marRight w:val="0"/>
                      <w:marTop w:val="0"/>
                      <w:marBottom w:val="0"/>
                      <w:divBdr>
                        <w:top w:val="none" w:sz="0" w:space="0" w:color="auto"/>
                        <w:left w:val="none" w:sz="0" w:space="0" w:color="auto"/>
                        <w:bottom w:val="none" w:sz="0" w:space="0" w:color="auto"/>
                        <w:right w:val="none" w:sz="0" w:space="0" w:color="auto"/>
                      </w:divBdr>
                      <w:divsChild>
                        <w:div w:id="329526336">
                          <w:marLeft w:val="0"/>
                          <w:marRight w:val="0"/>
                          <w:marTop w:val="0"/>
                          <w:marBottom w:val="0"/>
                          <w:divBdr>
                            <w:top w:val="none" w:sz="0" w:space="0" w:color="auto"/>
                            <w:left w:val="none" w:sz="0" w:space="0" w:color="auto"/>
                            <w:bottom w:val="none" w:sz="0" w:space="0" w:color="auto"/>
                            <w:right w:val="none" w:sz="0" w:space="0" w:color="auto"/>
                          </w:divBdr>
                          <w:divsChild>
                            <w:div w:id="458109526">
                              <w:marLeft w:val="0"/>
                              <w:marRight w:val="0"/>
                              <w:marTop w:val="0"/>
                              <w:marBottom w:val="0"/>
                              <w:divBdr>
                                <w:top w:val="none" w:sz="0" w:space="0" w:color="auto"/>
                                <w:left w:val="none" w:sz="0" w:space="0" w:color="auto"/>
                                <w:bottom w:val="none" w:sz="0" w:space="0" w:color="auto"/>
                                <w:right w:val="none" w:sz="0" w:space="0" w:color="auto"/>
                              </w:divBdr>
                              <w:divsChild>
                                <w:div w:id="506792918">
                                  <w:marLeft w:val="0"/>
                                  <w:marRight w:val="0"/>
                                  <w:marTop w:val="0"/>
                                  <w:marBottom w:val="0"/>
                                  <w:divBdr>
                                    <w:top w:val="none" w:sz="0" w:space="0" w:color="auto"/>
                                    <w:left w:val="none" w:sz="0" w:space="0" w:color="auto"/>
                                    <w:bottom w:val="none" w:sz="0" w:space="0" w:color="auto"/>
                                    <w:right w:val="none" w:sz="0" w:space="0" w:color="auto"/>
                                  </w:divBdr>
                                  <w:divsChild>
                                    <w:div w:id="114269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921196">
                          <w:marLeft w:val="0"/>
                          <w:marRight w:val="0"/>
                          <w:marTop w:val="0"/>
                          <w:marBottom w:val="0"/>
                          <w:divBdr>
                            <w:top w:val="none" w:sz="0" w:space="0" w:color="auto"/>
                            <w:left w:val="none" w:sz="0" w:space="0" w:color="auto"/>
                            <w:bottom w:val="none" w:sz="0" w:space="0" w:color="auto"/>
                            <w:right w:val="none" w:sz="0" w:space="0" w:color="auto"/>
                          </w:divBdr>
                          <w:divsChild>
                            <w:div w:id="2438607">
                              <w:marLeft w:val="0"/>
                              <w:marRight w:val="0"/>
                              <w:marTop w:val="0"/>
                              <w:marBottom w:val="0"/>
                              <w:divBdr>
                                <w:top w:val="none" w:sz="0" w:space="0" w:color="auto"/>
                                <w:left w:val="none" w:sz="0" w:space="0" w:color="auto"/>
                                <w:bottom w:val="none" w:sz="0" w:space="0" w:color="auto"/>
                                <w:right w:val="none" w:sz="0" w:space="0" w:color="auto"/>
                              </w:divBdr>
                              <w:divsChild>
                                <w:div w:id="348065439">
                                  <w:marLeft w:val="0"/>
                                  <w:marRight w:val="0"/>
                                  <w:marTop w:val="0"/>
                                  <w:marBottom w:val="0"/>
                                  <w:divBdr>
                                    <w:top w:val="none" w:sz="0" w:space="0" w:color="auto"/>
                                    <w:left w:val="none" w:sz="0" w:space="0" w:color="auto"/>
                                    <w:bottom w:val="none" w:sz="0" w:space="0" w:color="auto"/>
                                    <w:right w:val="none" w:sz="0" w:space="0" w:color="auto"/>
                                  </w:divBdr>
                                  <w:divsChild>
                                    <w:div w:id="89412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327112">
                      <w:marLeft w:val="0"/>
                      <w:marRight w:val="0"/>
                      <w:marTop w:val="0"/>
                      <w:marBottom w:val="0"/>
                      <w:divBdr>
                        <w:top w:val="none" w:sz="0" w:space="0" w:color="auto"/>
                        <w:left w:val="none" w:sz="0" w:space="0" w:color="auto"/>
                        <w:bottom w:val="none" w:sz="0" w:space="0" w:color="auto"/>
                        <w:right w:val="none" w:sz="0" w:space="0" w:color="auto"/>
                      </w:divBdr>
                      <w:divsChild>
                        <w:div w:id="74102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304577">
      <w:bodyDiv w:val="1"/>
      <w:marLeft w:val="0"/>
      <w:marRight w:val="0"/>
      <w:marTop w:val="0"/>
      <w:marBottom w:val="0"/>
      <w:divBdr>
        <w:top w:val="none" w:sz="0" w:space="0" w:color="auto"/>
        <w:left w:val="none" w:sz="0" w:space="0" w:color="auto"/>
        <w:bottom w:val="none" w:sz="0" w:space="0" w:color="auto"/>
        <w:right w:val="none" w:sz="0" w:space="0" w:color="auto"/>
      </w:divBdr>
    </w:div>
    <w:div w:id="988898254">
      <w:bodyDiv w:val="1"/>
      <w:marLeft w:val="0"/>
      <w:marRight w:val="0"/>
      <w:marTop w:val="0"/>
      <w:marBottom w:val="0"/>
      <w:divBdr>
        <w:top w:val="none" w:sz="0" w:space="0" w:color="auto"/>
        <w:left w:val="none" w:sz="0" w:space="0" w:color="auto"/>
        <w:bottom w:val="none" w:sz="0" w:space="0" w:color="auto"/>
        <w:right w:val="none" w:sz="0" w:space="0" w:color="auto"/>
      </w:divBdr>
    </w:div>
    <w:div w:id="995183422">
      <w:bodyDiv w:val="1"/>
      <w:marLeft w:val="0"/>
      <w:marRight w:val="0"/>
      <w:marTop w:val="0"/>
      <w:marBottom w:val="0"/>
      <w:divBdr>
        <w:top w:val="none" w:sz="0" w:space="0" w:color="auto"/>
        <w:left w:val="none" w:sz="0" w:space="0" w:color="auto"/>
        <w:bottom w:val="none" w:sz="0" w:space="0" w:color="auto"/>
        <w:right w:val="none" w:sz="0" w:space="0" w:color="auto"/>
      </w:divBdr>
    </w:div>
    <w:div w:id="997151812">
      <w:bodyDiv w:val="1"/>
      <w:marLeft w:val="0"/>
      <w:marRight w:val="0"/>
      <w:marTop w:val="0"/>
      <w:marBottom w:val="0"/>
      <w:divBdr>
        <w:top w:val="none" w:sz="0" w:space="0" w:color="auto"/>
        <w:left w:val="none" w:sz="0" w:space="0" w:color="auto"/>
        <w:bottom w:val="none" w:sz="0" w:space="0" w:color="auto"/>
        <w:right w:val="none" w:sz="0" w:space="0" w:color="auto"/>
      </w:divBdr>
    </w:div>
    <w:div w:id="1002246507">
      <w:bodyDiv w:val="1"/>
      <w:marLeft w:val="0"/>
      <w:marRight w:val="0"/>
      <w:marTop w:val="0"/>
      <w:marBottom w:val="0"/>
      <w:divBdr>
        <w:top w:val="none" w:sz="0" w:space="0" w:color="auto"/>
        <w:left w:val="none" w:sz="0" w:space="0" w:color="auto"/>
        <w:bottom w:val="none" w:sz="0" w:space="0" w:color="auto"/>
        <w:right w:val="none" w:sz="0" w:space="0" w:color="auto"/>
      </w:divBdr>
    </w:div>
    <w:div w:id="1012757790">
      <w:bodyDiv w:val="1"/>
      <w:marLeft w:val="0"/>
      <w:marRight w:val="0"/>
      <w:marTop w:val="0"/>
      <w:marBottom w:val="0"/>
      <w:divBdr>
        <w:top w:val="none" w:sz="0" w:space="0" w:color="auto"/>
        <w:left w:val="none" w:sz="0" w:space="0" w:color="auto"/>
        <w:bottom w:val="none" w:sz="0" w:space="0" w:color="auto"/>
        <w:right w:val="none" w:sz="0" w:space="0" w:color="auto"/>
      </w:divBdr>
    </w:div>
    <w:div w:id="1031301068">
      <w:bodyDiv w:val="1"/>
      <w:marLeft w:val="0"/>
      <w:marRight w:val="0"/>
      <w:marTop w:val="0"/>
      <w:marBottom w:val="0"/>
      <w:divBdr>
        <w:top w:val="none" w:sz="0" w:space="0" w:color="auto"/>
        <w:left w:val="none" w:sz="0" w:space="0" w:color="auto"/>
        <w:bottom w:val="none" w:sz="0" w:space="0" w:color="auto"/>
        <w:right w:val="none" w:sz="0" w:space="0" w:color="auto"/>
      </w:divBdr>
    </w:div>
    <w:div w:id="1078137446">
      <w:bodyDiv w:val="1"/>
      <w:marLeft w:val="0"/>
      <w:marRight w:val="0"/>
      <w:marTop w:val="0"/>
      <w:marBottom w:val="0"/>
      <w:divBdr>
        <w:top w:val="none" w:sz="0" w:space="0" w:color="auto"/>
        <w:left w:val="none" w:sz="0" w:space="0" w:color="auto"/>
        <w:bottom w:val="none" w:sz="0" w:space="0" w:color="auto"/>
        <w:right w:val="none" w:sz="0" w:space="0" w:color="auto"/>
      </w:divBdr>
    </w:div>
    <w:div w:id="1113599578">
      <w:bodyDiv w:val="1"/>
      <w:marLeft w:val="0"/>
      <w:marRight w:val="0"/>
      <w:marTop w:val="0"/>
      <w:marBottom w:val="0"/>
      <w:divBdr>
        <w:top w:val="none" w:sz="0" w:space="0" w:color="auto"/>
        <w:left w:val="none" w:sz="0" w:space="0" w:color="auto"/>
        <w:bottom w:val="none" w:sz="0" w:space="0" w:color="auto"/>
        <w:right w:val="none" w:sz="0" w:space="0" w:color="auto"/>
      </w:divBdr>
    </w:div>
    <w:div w:id="1130901016">
      <w:bodyDiv w:val="1"/>
      <w:marLeft w:val="0"/>
      <w:marRight w:val="0"/>
      <w:marTop w:val="0"/>
      <w:marBottom w:val="0"/>
      <w:divBdr>
        <w:top w:val="none" w:sz="0" w:space="0" w:color="auto"/>
        <w:left w:val="none" w:sz="0" w:space="0" w:color="auto"/>
        <w:bottom w:val="none" w:sz="0" w:space="0" w:color="auto"/>
        <w:right w:val="none" w:sz="0" w:space="0" w:color="auto"/>
      </w:divBdr>
    </w:div>
    <w:div w:id="1191186981">
      <w:bodyDiv w:val="1"/>
      <w:marLeft w:val="0"/>
      <w:marRight w:val="0"/>
      <w:marTop w:val="0"/>
      <w:marBottom w:val="0"/>
      <w:divBdr>
        <w:top w:val="none" w:sz="0" w:space="0" w:color="auto"/>
        <w:left w:val="none" w:sz="0" w:space="0" w:color="auto"/>
        <w:bottom w:val="none" w:sz="0" w:space="0" w:color="auto"/>
        <w:right w:val="none" w:sz="0" w:space="0" w:color="auto"/>
      </w:divBdr>
    </w:div>
    <w:div w:id="1191457899">
      <w:bodyDiv w:val="1"/>
      <w:marLeft w:val="0"/>
      <w:marRight w:val="0"/>
      <w:marTop w:val="0"/>
      <w:marBottom w:val="0"/>
      <w:divBdr>
        <w:top w:val="none" w:sz="0" w:space="0" w:color="auto"/>
        <w:left w:val="none" w:sz="0" w:space="0" w:color="auto"/>
        <w:bottom w:val="none" w:sz="0" w:space="0" w:color="auto"/>
        <w:right w:val="none" w:sz="0" w:space="0" w:color="auto"/>
      </w:divBdr>
    </w:div>
    <w:div w:id="1222518469">
      <w:bodyDiv w:val="1"/>
      <w:marLeft w:val="0"/>
      <w:marRight w:val="0"/>
      <w:marTop w:val="0"/>
      <w:marBottom w:val="0"/>
      <w:divBdr>
        <w:top w:val="none" w:sz="0" w:space="0" w:color="auto"/>
        <w:left w:val="none" w:sz="0" w:space="0" w:color="auto"/>
        <w:bottom w:val="none" w:sz="0" w:space="0" w:color="auto"/>
        <w:right w:val="none" w:sz="0" w:space="0" w:color="auto"/>
      </w:divBdr>
    </w:div>
    <w:div w:id="1224412222">
      <w:bodyDiv w:val="1"/>
      <w:marLeft w:val="0"/>
      <w:marRight w:val="0"/>
      <w:marTop w:val="0"/>
      <w:marBottom w:val="0"/>
      <w:divBdr>
        <w:top w:val="none" w:sz="0" w:space="0" w:color="auto"/>
        <w:left w:val="none" w:sz="0" w:space="0" w:color="auto"/>
        <w:bottom w:val="none" w:sz="0" w:space="0" w:color="auto"/>
        <w:right w:val="none" w:sz="0" w:space="0" w:color="auto"/>
      </w:divBdr>
    </w:div>
    <w:div w:id="1228690551">
      <w:bodyDiv w:val="1"/>
      <w:marLeft w:val="0"/>
      <w:marRight w:val="0"/>
      <w:marTop w:val="0"/>
      <w:marBottom w:val="0"/>
      <w:divBdr>
        <w:top w:val="none" w:sz="0" w:space="0" w:color="auto"/>
        <w:left w:val="none" w:sz="0" w:space="0" w:color="auto"/>
        <w:bottom w:val="none" w:sz="0" w:space="0" w:color="auto"/>
        <w:right w:val="none" w:sz="0" w:space="0" w:color="auto"/>
      </w:divBdr>
    </w:div>
    <w:div w:id="1249389006">
      <w:bodyDiv w:val="1"/>
      <w:marLeft w:val="0"/>
      <w:marRight w:val="0"/>
      <w:marTop w:val="0"/>
      <w:marBottom w:val="0"/>
      <w:divBdr>
        <w:top w:val="none" w:sz="0" w:space="0" w:color="auto"/>
        <w:left w:val="none" w:sz="0" w:space="0" w:color="auto"/>
        <w:bottom w:val="none" w:sz="0" w:space="0" w:color="auto"/>
        <w:right w:val="none" w:sz="0" w:space="0" w:color="auto"/>
      </w:divBdr>
    </w:div>
    <w:div w:id="1297448163">
      <w:bodyDiv w:val="1"/>
      <w:marLeft w:val="0"/>
      <w:marRight w:val="0"/>
      <w:marTop w:val="0"/>
      <w:marBottom w:val="0"/>
      <w:divBdr>
        <w:top w:val="none" w:sz="0" w:space="0" w:color="auto"/>
        <w:left w:val="none" w:sz="0" w:space="0" w:color="auto"/>
        <w:bottom w:val="none" w:sz="0" w:space="0" w:color="auto"/>
        <w:right w:val="none" w:sz="0" w:space="0" w:color="auto"/>
      </w:divBdr>
    </w:div>
    <w:div w:id="1325235121">
      <w:bodyDiv w:val="1"/>
      <w:marLeft w:val="0"/>
      <w:marRight w:val="0"/>
      <w:marTop w:val="0"/>
      <w:marBottom w:val="0"/>
      <w:divBdr>
        <w:top w:val="none" w:sz="0" w:space="0" w:color="auto"/>
        <w:left w:val="none" w:sz="0" w:space="0" w:color="auto"/>
        <w:bottom w:val="none" w:sz="0" w:space="0" w:color="auto"/>
        <w:right w:val="none" w:sz="0" w:space="0" w:color="auto"/>
      </w:divBdr>
    </w:div>
    <w:div w:id="1350253487">
      <w:bodyDiv w:val="1"/>
      <w:marLeft w:val="0"/>
      <w:marRight w:val="0"/>
      <w:marTop w:val="0"/>
      <w:marBottom w:val="0"/>
      <w:divBdr>
        <w:top w:val="none" w:sz="0" w:space="0" w:color="auto"/>
        <w:left w:val="none" w:sz="0" w:space="0" w:color="auto"/>
        <w:bottom w:val="none" w:sz="0" w:space="0" w:color="auto"/>
        <w:right w:val="none" w:sz="0" w:space="0" w:color="auto"/>
      </w:divBdr>
    </w:div>
    <w:div w:id="1398241672">
      <w:bodyDiv w:val="1"/>
      <w:marLeft w:val="0"/>
      <w:marRight w:val="0"/>
      <w:marTop w:val="0"/>
      <w:marBottom w:val="0"/>
      <w:divBdr>
        <w:top w:val="none" w:sz="0" w:space="0" w:color="auto"/>
        <w:left w:val="none" w:sz="0" w:space="0" w:color="auto"/>
        <w:bottom w:val="none" w:sz="0" w:space="0" w:color="auto"/>
        <w:right w:val="none" w:sz="0" w:space="0" w:color="auto"/>
      </w:divBdr>
      <w:divsChild>
        <w:div w:id="813722729">
          <w:marLeft w:val="0"/>
          <w:marRight w:val="0"/>
          <w:marTop w:val="0"/>
          <w:marBottom w:val="0"/>
          <w:divBdr>
            <w:top w:val="none" w:sz="0" w:space="0" w:color="auto"/>
            <w:left w:val="none" w:sz="0" w:space="0" w:color="auto"/>
            <w:bottom w:val="none" w:sz="0" w:space="0" w:color="auto"/>
            <w:right w:val="none" w:sz="0" w:space="0" w:color="auto"/>
          </w:divBdr>
          <w:divsChild>
            <w:div w:id="1659067803">
              <w:marLeft w:val="0"/>
              <w:marRight w:val="0"/>
              <w:marTop w:val="0"/>
              <w:marBottom w:val="0"/>
              <w:divBdr>
                <w:top w:val="none" w:sz="0" w:space="0" w:color="auto"/>
                <w:left w:val="none" w:sz="0" w:space="0" w:color="auto"/>
                <w:bottom w:val="none" w:sz="0" w:space="0" w:color="auto"/>
                <w:right w:val="none" w:sz="0" w:space="0" w:color="auto"/>
              </w:divBdr>
            </w:div>
          </w:divsChild>
        </w:div>
        <w:div w:id="5970640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505979">
          <w:marLeft w:val="0"/>
          <w:marRight w:val="0"/>
          <w:marTop w:val="0"/>
          <w:marBottom w:val="0"/>
          <w:divBdr>
            <w:top w:val="none" w:sz="0" w:space="0" w:color="auto"/>
            <w:left w:val="none" w:sz="0" w:space="0" w:color="auto"/>
            <w:bottom w:val="none" w:sz="0" w:space="0" w:color="auto"/>
            <w:right w:val="none" w:sz="0" w:space="0" w:color="auto"/>
          </w:divBdr>
          <w:divsChild>
            <w:div w:id="62030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198265">
      <w:bodyDiv w:val="1"/>
      <w:marLeft w:val="0"/>
      <w:marRight w:val="0"/>
      <w:marTop w:val="0"/>
      <w:marBottom w:val="0"/>
      <w:divBdr>
        <w:top w:val="none" w:sz="0" w:space="0" w:color="auto"/>
        <w:left w:val="none" w:sz="0" w:space="0" w:color="auto"/>
        <w:bottom w:val="none" w:sz="0" w:space="0" w:color="auto"/>
        <w:right w:val="none" w:sz="0" w:space="0" w:color="auto"/>
      </w:divBdr>
    </w:div>
    <w:div w:id="1425955251">
      <w:bodyDiv w:val="1"/>
      <w:marLeft w:val="0"/>
      <w:marRight w:val="0"/>
      <w:marTop w:val="0"/>
      <w:marBottom w:val="0"/>
      <w:divBdr>
        <w:top w:val="none" w:sz="0" w:space="0" w:color="auto"/>
        <w:left w:val="none" w:sz="0" w:space="0" w:color="auto"/>
        <w:bottom w:val="none" w:sz="0" w:space="0" w:color="auto"/>
        <w:right w:val="none" w:sz="0" w:space="0" w:color="auto"/>
      </w:divBdr>
    </w:div>
    <w:div w:id="1446341055">
      <w:bodyDiv w:val="1"/>
      <w:marLeft w:val="0"/>
      <w:marRight w:val="0"/>
      <w:marTop w:val="0"/>
      <w:marBottom w:val="0"/>
      <w:divBdr>
        <w:top w:val="none" w:sz="0" w:space="0" w:color="auto"/>
        <w:left w:val="none" w:sz="0" w:space="0" w:color="auto"/>
        <w:bottom w:val="none" w:sz="0" w:space="0" w:color="auto"/>
        <w:right w:val="none" w:sz="0" w:space="0" w:color="auto"/>
      </w:divBdr>
    </w:div>
    <w:div w:id="1454591361">
      <w:bodyDiv w:val="1"/>
      <w:marLeft w:val="0"/>
      <w:marRight w:val="0"/>
      <w:marTop w:val="0"/>
      <w:marBottom w:val="0"/>
      <w:divBdr>
        <w:top w:val="none" w:sz="0" w:space="0" w:color="auto"/>
        <w:left w:val="none" w:sz="0" w:space="0" w:color="auto"/>
        <w:bottom w:val="none" w:sz="0" w:space="0" w:color="auto"/>
        <w:right w:val="none" w:sz="0" w:space="0" w:color="auto"/>
      </w:divBdr>
      <w:divsChild>
        <w:div w:id="1380980206">
          <w:marLeft w:val="0"/>
          <w:marRight w:val="0"/>
          <w:marTop w:val="0"/>
          <w:marBottom w:val="0"/>
          <w:divBdr>
            <w:top w:val="none" w:sz="0" w:space="0" w:color="auto"/>
            <w:left w:val="none" w:sz="0" w:space="0" w:color="auto"/>
            <w:bottom w:val="none" w:sz="0" w:space="0" w:color="auto"/>
            <w:right w:val="none" w:sz="0" w:space="0" w:color="auto"/>
          </w:divBdr>
          <w:divsChild>
            <w:div w:id="768236863">
              <w:marLeft w:val="0"/>
              <w:marRight w:val="0"/>
              <w:marTop w:val="0"/>
              <w:marBottom w:val="0"/>
              <w:divBdr>
                <w:top w:val="none" w:sz="0" w:space="0" w:color="auto"/>
                <w:left w:val="none" w:sz="0" w:space="0" w:color="auto"/>
                <w:bottom w:val="none" w:sz="0" w:space="0" w:color="auto"/>
                <w:right w:val="none" w:sz="0" w:space="0" w:color="auto"/>
              </w:divBdr>
              <w:divsChild>
                <w:div w:id="1437597937">
                  <w:marLeft w:val="0"/>
                  <w:marRight w:val="0"/>
                  <w:marTop w:val="0"/>
                  <w:marBottom w:val="0"/>
                  <w:divBdr>
                    <w:top w:val="none" w:sz="0" w:space="0" w:color="auto"/>
                    <w:left w:val="none" w:sz="0" w:space="0" w:color="auto"/>
                    <w:bottom w:val="none" w:sz="0" w:space="0" w:color="auto"/>
                    <w:right w:val="none" w:sz="0" w:space="0" w:color="auto"/>
                  </w:divBdr>
                  <w:divsChild>
                    <w:div w:id="213011246">
                      <w:marLeft w:val="0"/>
                      <w:marRight w:val="0"/>
                      <w:marTop w:val="0"/>
                      <w:marBottom w:val="0"/>
                      <w:divBdr>
                        <w:top w:val="none" w:sz="0" w:space="0" w:color="auto"/>
                        <w:left w:val="none" w:sz="0" w:space="0" w:color="auto"/>
                        <w:bottom w:val="none" w:sz="0" w:space="0" w:color="auto"/>
                        <w:right w:val="none" w:sz="0" w:space="0" w:color="auto"/>
                      </w:divBdr>
                      <w:divsChild>
                        <w:div w:id="2038506922">
                          <w:marLeft w:val="0"/>
                          <w:marRight w:val="0"/>
                          <w:marTop w:val="0"/>
                          <w:marBottom w:val="0"/>
                          <w:divBdr>
                            <w:top w:val="none" w:sz="0" w:space="0" w:color="auto"/>
                            <w:left w:val="none" w:sz="0" w:space="0" w:color="auto"/>
                            <w:bottom w:val="none" w:sz="0" w:space="0" w:color="auto"/>
                            <w:right w:val="none" w:sz="0" w:space="0" w:color="auto"/>
                          </w:divBdr>
                          <w:divsChild>
                            <w:div w:id="112597974">
                              <w:marLeft w:val="0"/>
                              <w:marRight w:val="0"/>
                              <w:marTop w:val="0"/>
                              <w:marBottom w:val="0"/>
                              <w:divBdr>
                                <w:top w:val="none" w:sz="0" w:space="0" w:color="auto"/>
                                <w:left w:val="none" w:sz="0" w:space="0" w:color="auto"/>
                                <w:bottom w:val="none" w:sz="0" w:space="0" w:color="auto"/>
                                <w:right w:val="none" w:sz="0" w:space="0" w:color="auto"/>
                              </w:divBdr>
                              <w:divsChild>
                                <w:div w:id="1529369813">
                                  <w:marLeft w:val="0"/>
                                  <w:marRight w:val="0"/>
                                  <w:marTop w:val="0"/>
                                  <w:marBottom w:val="0"/>
                                  <w:divBdr>
                                    <w:top w:val="none" w:sz="0" w:space="0" w:color="auto"/>
                                    <w:left w:val="none" w:sz="0" w:space="0" w:color="auto"/>
                                    <w:bottom w:val="none" w:sz="0" w:space="0" w:color="auto"/>
                                    <w:right w:val="none" w:sz="0" w:space="0" w:color="auto"/>
                                  </w:divBdr>
                                  <w:divsChild>
                                    <w:div w:id="33176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640583">
                          <w:marLeft w:val="0"/>
                          <w:marRight w:val="0"/>
                          <w:marTop w:val="0"/>
                          <w:marBottom w:val="0"/>
                          <w:divBdr>
                            <w:top w:val="none" w:sz="0" w:space="0" w:color="auto"/>
                            <w:left w:val="none" w:sz="0" w:space="0" w:color="auto"/>
                            <w:bottom w:val="none" w:sz="0" w:space="0" w:color="auto"/>
                            <w:right w:val="none" w:sz="0" w:space="0" w:color="auto"/>
                          </w:divBdr>
                          <w:divsChild>
                            <w:div w:id="138765822">
                              <w:marLeft w:val="0"/>
                              <w:marRight w:val="0"/>
                              <w:marTop w:val="0"/>
                              <w:marBottom w:val="0"/>
                              <w:divBdr>
                                <w:top w:val="none" w:sz="0" w:space="0" w:color="auto"/>
                                <w:left w:val="none" w:sz="0" w:space="0" w:color="auto"/>
                                <w:bottom w:val="none" w:sz="0" w:space="0" w:color="auto"/>
                                <w:right w:val="none" w:sz="0" w:space="0" w:color="auto"/>
                              </w:divBdr>
                              <w:divsChild>
                                <w:div w:id="1662611971">
                                  <w:marLeft w:val="0"/>
                                  <w:marRight w:val="0"/>
                                  <w:marTop w:val="0"/>
                                  <w:marBottom w:val="0"/>
                                  <w:divBdr>
                                    <w:top w:val="none" w:sz="0" w:space="0" w:color="auto"/>
                                    <w:left w:val="none" w:sz="0" w:space="0" w:color="auto"/>
                                    <w:bottom w:val="none" w:sz="0" w:space="0" w:color="auto"/>
                                    <w:right w:val="none" w:sz="0" w:space="0" w:color="auto"/>
                                  </w:divBdr>
                                  <w:divsChild>
                                    <w:div w:id="200870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731792">
                      <w:marLeft w:val="0"/>
                      <w:marRight w:val="0"/>
                      <w:marTop w:val="0"/>
                      <w:marBottom w:val="0"/>
                      <w:divBdr>
                        <w:top w:val="none" w:sz="0" w:space="0" w:color="auto"/>
                        <w:left w:val="none" w:sz="0" w:space="0" w:color="auto"/>
                        <w:bottom w:val="none" w:sz="0" w:space="0" w:color="auto"/>
                        <w:right w:val="none" w:sz="0" w:space="0" w:color="auto"/>
                      </w:divBdr>
                      <w:divsChild>
                        <w:div w:id="100705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228207">
      <w:bodyDiv w:val="1"/>
      <w:marLeft w:val="0"/>
      <w:marRight w:val="0"/>
      <w:marTop w:val="0"/>
      <w:marBottom w:val="0"/>
      <w:divBdr>
        <w:top w:val="none" w:sz="0" w:space="0" w:color="auto"/>
        <w:left w:val="none" w:sz="0" w:space="0" w:color="auto"/>
        <w:bottom w:val="none" w:sz="0" w:space="0" w:color="auto"/>
        <w:right w:val="none" w:sz="0" w:space="0" w:color="auto"/>
      </w:divBdr>
    </w:div>
    <w:div w:id="1574464545">
      <w:bodyDiv w:val="1"/>
      <w:marLeft w:val="0"/>
      <w:marRight w:val="0"/>
      <w:marTop w:val="0"/>
      <w:marBottom w:val="0"/>
      <w:divBdr>
        <w:top w:val="none" w:sz="0" w:space="0" w:color="auto"/>
        <w:left w:val="none" w:sz="0" w:space="0" w:color="auto"/>
        <w:bottom w:val="none" w:sz="0" w:space="0" w:color="auto"/>
        <w:right w:val="none" w:sz="0" w:space="0" w:color="auto"/>
      </w:divBdr>
    </w:div>
    <w:div w:id="1593969778">
      <w:bodyDiv w:val="1"/>
      <w:marLeft w:val="0"/>
      <w:marRight w:val="0"/>
      <w:marTop w:val="0"/>
      <w:marBottom w:val="0"/>
      <w:divBdr>
        <w:top w:val="none" w:sz="0" w:space="0" w:color="auto"/>
        <w:left w:val="none" w:sz="0" w:space="0" w:color="auto"/>
        <w:bottom w:val="none" w:sz="0" w:space="0" w:color="auto"/>
        <w:right w:val="none" w:sz="0" w:space="0" w:color="auto"/>
      </w:divBdr>
    </w:div>
    <w:div w:id="1595867145">
      <w:bodyDiv w:val="1"/>
      <w:marLeft w:val="0"/>
      <w:marRight w:val="0"/>
      <w:marTop w:val="0"/>
      <w:marBottom w:val="0"/>
      <w:divBdr>
        <w:top w:val="none" w:sz="0" w:space="0" w:color="auto"/>
        <w:left w:val="none" w:sz="0" w:space="0" w:color="auto"/>
        <w:bottom w:val="none" w:sz="0" w:space="0" w:color="auto"/>
        <w:right w:val="none" w:sz="0" w:space="0" w:color="auto"/>
      </w:divBdr>
    </w:div>
    <w:div w:id="1607469262">
      <w:bodyDiv w:val="1"/>
      <w:marLeft w:val="0"/>
      <w:marRight w:val="0"/>
      <w:marTop w:val="0"/>
      <w:marBottom w:val="0"/>
      <w:divBdr>
        <w:top w:val="none" w:sz="0" w:space="0" w:color="auto"/>
        <w:left w:val="none" w:sz="0" w:space="0" w:color="auto"/>
        <w:bottom w:val="none" w:sz="0" w:space="0" w:color="auto"/>
        <w:right w:val="none" w:sz="0" w:space="0" w:color="auto"/>
      </w:divBdr>
    </w:div>
    <w:div w:id="1626543930">
      <w:bodyDiv w:val="1"/>
      <w:marLeft w:val="0"/>
      <w:marRight w:val="0"/>
      <w:marTop w:val="0"/>
      <w:marBottom w:val="0"/>
      <w:divBdr>
        <w:top w:val="none" w:sz="0" w:space="0" w:color="auto"/>
        <w:left w:val="none" w:sz="0" w:space="0" w:color="auto"/>
        <w:bottom w:val="none" w:sz="0" w:space="0" w:color="auto"/>
        <w:right w:val="none" w:sz="0" w:space="0" w:color="auto"/>
      </w:divBdr>
    </w:div>
    <w:div w:id="1632831918">
      <w:bodyDiv w:val="1"/>
      <w:marLeft w:val="0"/>
      <w:marRight w:val="0"/>
      <w:marTop w:val="0"/>
      <w:marBottom w:val="0"/>
      <w:divBdr>
        <w:top w:val="none" w:sz="0" w:space="0" w:color="auto"/>
        <w:left w:val="none" w:sz="0" w:space="0" w:color="auto"/>
        <w:bottom w:val="none" w:sz="0" w:space="0" w:color="auto"/>
        <w:right w:val="none" w:sz="0" w:space="0" w:color="auto"/>
      </w:divBdr>
    </w:div>
    <w:div w:id="1651211329">
      <w:bodyDiv w:val="1"/>
      <w:marLeft w:val="0"/>
      <w:marRight w:val="0"/>
      <w:marTop w:val="0"/>
      <w:marBottom w:val="0"/>
      <w:divBdr>
        <w:top w:val="none" w:sz="0" w:space="0" w:color="auto"/>
        <w:left w:val="none" w:sz="0" w:space="0" w:color="auto"/>
        <w:bottom w:val="none" w:sz="0" w:space="0" w:color="auto"/>
        <w:right w:val="none" w:sz="0" w:space="0" w:color="auto"/>
      </w:divBdr>
    </w:div>
    <w:div w:id="1692878277">
      <w:bodyDiv w:val="1"/>
      <w:marLeft w:val="0"/>
      <w:marRight w:val="0"/>
      <w:marTop w:val="0"/>
      <w:marBottom w:val="0"/>
      <w:divBdr>
        <w:top w:val="none" w:sz="0" w:space="0" w:color="auto"/>
        <w:left w:val="none" w:sz="0" w:space="0" w:color="auto"/>
        <w:bottom w:val="none" w:sz="0" w:space="0" w:color="auto"/>
        <w:right w:val="none" w:sz="0" w:space="0" w:color="auto"/>
      </w:divBdr>
    </w:div>
    <w:div w:id="1693414067">
      <w:bodyDiv w:val="1"/>
      <w:marLeft w:val="0"/>
      <w:marRight w:val="0"/>
      <w:marTop w:val="0"/>
      <w:marBottom w:val="0"/>
      <w:divBdr>
        <w:top w:val="none" w:sz="0" w:space="0" w:color="auto"/>
        <w:left w:val="none" w:sz="0" w:space="0" w:color="auto"/>
        <w:bottom w:val="none" w:sz="0" w:space="0" w:color="auto"/>
        <w:right w:val="none" w:sz="0" w:space="0" w:color="auto"/>
      </w:divBdr>
    </w:div>
    <w:div w:id="1732772989">
      <w:bodyDiv w:val="1"/>
      <w:marLeft w:val="0"/>
      <w:marRight w:val="0"/>
      <w:marTop w:val="0"/>
      <w:marBottom w:val="0"/>
      <w:divBdr>
        <w:top w:val="none" w:sz="0" w:space="0" w:color="auto"/>
        <w:left w:val="none" w:sz="0" w:space="0" w:color="auto"/>
        <w:bottom w:val="none" w:sz="0" w:space="0" w:color="auto"/>
        <w:right w:val="none" w:sz="0" w:space="0" w:color="auto"/>
      </w:divBdr>
    </w:div>
    <w:div w:id="1743093335">
      <w:bodyDiv w:val="1"/>
      <w:marLeft w:val="0"/>
      <w:marRight w:val="0"/>
      <w:marTop w:val="0"/>
      <w:marBottom w:val="0"/>
      <w:divBdr>
        <w:top w:val="none" w:sz="0" w:space="0" w:color="auto"/>
        <w:left w:val="none" w:sz="0" w:space="0" w:color="auto"/>
        <w:bottom w:val="none" w:sz="0" w:space="0" w:color="auto"/>
        <w:right w:val="none" w:sz="0" w:space="0" w:color="auto"/>
      </w:divBdr>
    </w:div>
    <w:div w:id="1758483373">
      <w:bodyDiv w:val="1"/>
      <w:marLeft w:val="0"/>
      <w:marRight w:val="0"/>
      <w:marTop w:val="0"/>
      <w:marBottom w:val="0"/>
      <w:divBdr>
        <w:top w:val="none" w:sz="0" w:space="0" w:color="auto"/>
        <w:left w:val="none" w:sz="0" w:space="0" w:color="auto"/>
        <w:bottom w:val="none" w:sz="0" w:space="0" w:color="auto"/>
        <w:right w:val="none" w:sz="0" w:space="0" w:color="auto"/>
      </w:divBdr>
    </w:div>
    <w:div w:id="1788701031">
      <w:bodyDiv w:val="1"/>
      <w:marLeft w:val="0"/>
      <w:marRight w:val="0"/>
      <w:marTop w:val="0"/>
      <w:marBottom w:val="0"/>
      <w:divBdr>
        <w:top w:val="none" w:sz="0" w:space="0" w:color="auto"/>
        <w:left w:val="none" w:sz="0" w:space="0" w:color="auto"/>
        <w:bottom w:val="none" w:sz="0" w:space="0" w:color="auto"/>
        <w:right w:val="none" w:sz="0" w:space="0" w:color="auto"/>
      </w:divBdr>
    </w:div>
    <w:div w:id="1869677460">
      <w:bodyDiv w:val="1"/>
      <w:marLeft w:val="0"/>
      <w:marRight w:val="0"/>
      <w:marTop w:val="0"/>
      <w:marBottom w:val="0"/>
      <w:divBdr>
        <w:top w:val="none" w:sz="0" w:space="0" w:color="auto"/>
        <w:left w:val="none" w:sz="0" w:space="0" w:color="auto"/>
        <w:bottom w:val="none" w:sz="0" w:space="0" w:color="auto"/>
        <w:right w:val="none" w:sz="0" w:space="0" w:color="auto"/>
      </w:divBdr>
    </w:div>
    <w:div w:id="1912305948">
      <w:bodyDiv w:val="1"/>
      <w:marLeft w:val="0"/>
      <w:marRight w:val="0"/>
      <w:marTop w:val="0"/>
      <w:marBottom w:val="0"/>
      <w:divBdr>
        <w:top w:val="none" w:sz="0" w:space="0" w:color="auto"/>
        <w:left w:val="none" w:sz="0" w:space="0" w:color="auto"/>
        <w:bottom w:val="none" w:sz="0" w:space="0" w:color="auto"/>
        <w:right w:val="none" w:sz="0" w:space="0" w:color="auto"/>
      </w:divBdr>
    </w:div>
    <w:div w:id="1980842542">
      <w:bodyDiv w:val="1"/>
      <w:marLeft w:val="0"/>
      <w:marRight w:val="0"/>
      <w:marTop w:val="0"/>
      <w:marBottom w:val="0"/>
      <w:divBdr>
        <w:top w:val="none" w:sz="0" w:space="0" w:color="auto"/>
        <w:left w:val="none" w:sz="0" w:space="0" w:color="auto"/>
        <w:bottom w:val="none" w:sz="0" w:space="0" w:color="auto"/>
        <w:right w:val="none" w:sz="0" w:space="0" w:color="auto"/>
      </w:divBdr>
    </w:div>
    <w:div w:id="2007856029">
      <w:bodyDiv w:val="1"/>
      <w:marLeft w:val="0"/>
      <w:marRight w:val="0"/>
      <w:marTop w:val="0"/>
      <w:marBottom w:val="0"/>
      <w:divBdr>
        <w:top w:val="none" w:sz="0" w:space="0" w:color="auto"/>
        <w:left w:val="none" w:sz="0" w:space="0" w:color="auto"/>
        <w:bottom w:val="none" w:sz="0" w:space="0" w:color="auto"/>
        <w:right w:val="none" w:sz="0" w:space="0" w:color="auto"/>
      </w:divBdr>
    </w:div>
    <w:div w:id="2035420372">
      <w:bodyDiv w:val="1"/>
      <w:marLeft w:val="0"/>
      <w:marRight w:val="0"/>
      <w:marTop w:val="0"/>
      <w:marBottom w:val="0"/>
      <w:divBdr>
        <w:top w:val="none" w:sz="0" w:space="0" w:color="auto"/>
        <w:left w:val="none" w:sz="0" w:space="0" w:color="auto"/>
        <w:bottom w:val="none" w:sz="0" w:space="0" w:color="auto"/>
        <w:right w:val="none" w:sz="0" w:space="0" w:color="auto"/>
      </w:divBdr>
    </w:div>
    <w:div w:id="2106487169">
      <w:bodyDiv w:val="1"/>
      <w:marLeft w:val="0"/>
      <w:marRight w:val="0"/>
      <w:marTop w:val="0"/>
      <w:marBottom w:val="0"/>
      <w:divBdr>
        <w:top w:val="none" w:sz="0" w:space="0" w:color="auto"/>
        <w:left w:val="none" w:sz="0" w:space="0" w:color="auto"/>
        <w:bottom w:val="none" w:sz="0" w:space="0" w:color="auto"/>
        <w:right w:val="none" w:sz="0" w:space="0" w:color="auto"/>
      </w:divBdr>
    </w:div>
    <w:div w:id="2124693110">
      <w:bodyDiv w:val="1"/>
      <w:marLeft w:val="0"/>
      <w:marRight w:val="0"/>
      <w:marTop w:val="0"/>
      <w:marBottom w:val="0"/>
      <w:divBdr>
        <w:top w:val="none" w:sz="0" w:space="0" w:color="auto"/>
        <w:left w:val="none" w:sz="0" w:space="0" w:color="auto"/>
        <w:bottom w:val="none" w:sz="0" w:space="0" w:color="auto"/>
        <w:right w:val="none" w:sz="0" w:space="0" w:color="auto"/>
      </w:divBdr>
      <w:divsChild>
        <w:div w:id="1779330648">
          <w:marLeft w:val="0"/>
          <w:marRight w:val="0"/>
          <w:marTop w:val="0"/>
          <w:marBottom w:val="0"/>
          <w:divBdr>
            <w:top w:val="none" w:sz="0" w:space="0" w:color="auto"/>
            <w:left w:val="none" w:sz="0" w:space="0" w:color="auto"/>
            <w:bottom w:val="none" w:sz="0" w:space="0" w:color="auto"/>
            <w:right w:val="none" w:sz="0" w:space="0" w:color="auto"/>
          </w:divBdr>
          <w:divsChild>
            <w:div w:id="1634482049">
              <w:marLeft w:val="0"/>
              <w:marRight w:val="0"/>
              <w:marTop w:val="0"/>
              <w:marBottom w:val="0"/>
              <w:divBdr>
                <w:top w:val="none" w:sz="0" w:space="0" w:color="auto"/>
                <w:left w:val="none" w:sz="0" w:space="0" w:color="auto"/>
                <w:bottom w:val="none" w:sz="0" w:space="0" w:color="auto"/>
                <w:right w:val="none" w:sz="0" w:space="0" w:color="auto"/>
              </w:divBdr>
            </w:div>
          </w:divsChild>
        </w:div>
        <w:div w:id="10445203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136234">
          <w:marLeft w:val="0"/>
          <w:marRight w:val="0"/>
          <w:marTop w:val="0"/>
          <w:marBottom w:val="0"/>
          <w:divBdr>
            <w:top w:val="none" w:sz="0" w:space="0" w:color="auto"/>
            <w:left w:val="none" w:sz="0" w:space="0" w:color="auto"/>
            <w:bottom w:val="none" w:sz="0" w:space="0" w:color="auto"/>
            <w:right w:val="none" w:sz="0" w:space="0" w:color="auto"/>
          </w:divBdr>
          <w:divsChild>
            <w:div w:id="134481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845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radingeconomics.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4299</Words>
  <Characters>24509</Characters>
  <Application>Microsoft Office Word</Application>
  <DocSecurity>0</DocSecurity>
  <Lines>204</Lines>
  <Paragraphs>57</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
      <vt:lpstr>RESUMEN</vt:lpstr>
      <vt:lpstr>Introducción</vt:lpstr>
      <vt:lpstr>2. Objetivos</vt:lpstr>
      <vt:lpstr>3. Compilación de Datos y Desarrollo del Trabajo</vt:lpstr>
      <vt:lpstr>4. Presentación y discusión de resultados</vt:lpstr>
      <vt:lpstr>5. Conclusiones</vt:lpstr>
      <vt:lpstr>6. Anexos</vt:lpstr>
      <vt:lpstr>7. Referencias bibliográficas</vt:lpstr>
    </vt:vector>
  </TitlesOfParts>
  <Manager/>
  <Company/>
  <LinksUpToDate>false</LinksUpToDate>
  <CharactersWithSpaces>28751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Pajares Correa, Brian</cp:lastModifiedBy>
  <cp:revision>2</cp:revision>
  <dcterms:created xsi:type="dcterms:W3CDTF">2025-07-18T17:21:00Z</dcterms:created>
  <dcterms:modified xsi:type="dcterms:W3CDTF">2025-07-18T17:21:00Z</dcterms:modified>
  <cp:category/>
</cp:coreProperties>
</file>