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07BBEF" w14:textId="77777777" w:rsidR="00E76DA7" w:rsidRPr="0056391C" w:rsidRDefault="00000000">
      <w:pPr>
        <w:pStyle w:val="Textoindependiente"/>
        <w:ind w:left="1"/>
        <w:rPr>
          <w:rFonts w:ascii="Arial" w:hAnsi="Arial" w:cs="Arial"/>
          <w:sz w:val="22"/>
          <w:szCs w:val="22"/>
        </w:rPr>
      </w:pPr>
      <w:r w:rsidRPr="0056391C">
        <w:rPr>
          <w:rFonts w:ascii="Arial" w:hAnsi="Arial" w:cs="Arial"/>
          <w:b/>
          <w:sz w:val="22"/>
          <w:szCs w:val="22"/>
        </w:rPr>
        <w:t>Título:</w:t>
      </w:r>
      <w:r w:rsidRPr="0056391C">
        <w:rPr>
          <w:rFonts w:ascii="Arial" w:hAnsi="Arial" w:cs="Arial"/>
          <w:b/>
          <w:spacing w:val="-1"/>
          <w:sz w:val="22"/>
          <w:szCs w:val="22"/>
        </w:rPr>
        <w:t xml:space="preserve"> </w:t>
      </w:r>
      <w:r w:rsidR="008545C0" w:rsidRPr="0056391C">
        <w:rPr>
          <w:rFonts w:ascii="Arial" w:hAnsi="Arial" w:cs="Arial"/>
          <w:sz w:val="22"/>
          <w:szCs w:val="22"/>
        </w:rPr>
        <w:t>Contribuimos al desarrollo en un ambiente de paz y progreso-Unidad Minera Tía María</w:t>
      </w:r>
    </w:p>
    <w:p w14:paraId="75C19829" w14:textId="77777777" w:rsidR="00E76DA7" w:rsidRPr="0056391C" w:rsidRDefault="00000000">
      <w:pPr>
        <w:pStyle w:val="Textoindependiente"/>
        <w:spacing w:before="31"/>
        <w:ind w:left="1"/>
        <w:rPr>
          <w:rFonts w:ascii="Arial" w:hAnsi="Arial" w:cs="Arial"/>
          <w:sz w:val="22"/>
          <w:szCs w:val="22"/>
        </w:rPr>
      </w:pPr>
      <w:r w:rsidRPr="0056391C">
        <w:rPr>
          <w:rFonts w:ascii="Arial" w:hAnsi="Arial" w:cs="Arial"/>
          <w:b/>
          <w:sz w:val="22"/>
          <w:szCs w:val="22"/>
        </w:rPr>
        <w:t>Tema:</w:t>
      </w:r>
      <w:r w:rsidRPr="0056391C">
        <w:rPr>
          <w:rFonts w:ascii="Arial" w:hAnsi="Arial" w:cs="Arial"/>
          <w:b/>
          <w:spacing w:val="-1"/>
          <w:sz w:val="22"/>
          <w:szCs w:val="22"/>
        </w:rPr>
        <w:t xml:space="preserve"> </w:t>
      </w:r>
      <w:r w:rsidR="008545C0" w:rsidRPr="0056391C">
        <w:rPr>
          <w:rFonts w:ascii="Arial" w:hAnsi="Arial" w:cs="Arial"/>
          <w:sz w:val="22"/>
          <w:szCs w:val="22"/>
        </w:rPr>
        <w:t>Nuevos enfoques en relacionamiento comunitario.</w:t>
      </w:r>
    </w:p>
    <w:p w14:paraId="1EF76305" w14:textId="77777777" w:rsidR="00E76DA7" w:rsidRPr="0056391C" w:rsidRDefault="00000000" w:rsidP="008545C0">
      <w:pPr>
        <w:spacing w:before="30"/>
        <w:ind w:left="1"/>
        <w:rPr>
          <w:rFonts w:ascii="Arial" w:hAnsi="Arial" w:cs="Arial"/>
        </w:rPr>
      </w:pPr>
      <w:r w:rsidRPr="0056391C">
        <w:rPr>
          <w:rFonts w:ascii="Arial" w:hAnsi="Arial" w:cs="Arial"/>
          <w:b/>
        </w:rPr>
        <w:t>Categoría:</w:t>
      </w:r>
      <w:r w:rsidRPr="0056391C">
        <w:rPr>
          <w:rFonts w:ascii="Arial" w:hAnsi="Arial" w:cs="Arial"/>
          <w:b/>
          <w:spacing w:val="-8"/>
        </w:rPr>
        <w:t xml:space="preserve"> </w:t>
      </w:r>
      <w:r w:rsidRPr="0056391C">
        <w:rPr>
          <w:rFonts w:ascii="Arial" w:hAnsi="Arial" w:cs="Arial"/>
        </w:rPr>
        <w:t>ESG</w:t>
      </w:r>
      <w:r w:rsidRPr="0056391C">
        <w:rPr>
          <w:rFonts w:ascii="Arial" w:hAnsi="Arial" w:cs="Arial"/>
          <w:spacing w:val="-5"/>
        </w:rPr>
        <w:t xml:space="preserve"> </w:t>
      </w:r>
      <w:r w:rsidRPr="0056391C">
        <w:rPr>
          <w:rFonts w:ascii="Arial" w:hAnsi="Arial" w:cs="Arial"/>
        </w:rPr>
        <w:t>(</w:t>
      </w:r>
      <w:proofErr w:type="spellStart"/>
      <w:r w:rsidRPr="0056391C">
        <w:rPr>
          <w:rFonts w:ascii="Arial" w:hAnsi="Arial" w:cs="Arial"/>
        </w:rPr>
        <w:t>Environmental</w:t>
      </w:r>
      <w:proofErr w:type="spellEnd"/>
      <w:r w:rsidRPr="0056391C">
        <w:rPr>
          <w:rFonts w:ascii="Arial" w:hAnsi="Arial" w:cs="Arial"/>
        </w:rPr>
        <w:t>,</w:t>
      </w:r>
      <w:r w:rsidRPr="0056391C">
        <w:rPr>
          <w:rFonts w:ascii="Arial" w:hAnsi="Arial" w:cs="Arial"/>
          <w:spacing w:val="-4"/>
        </w:rPr>
        <w:t xml:space="preserve"> </w:t>
      </w:r>
      <w:r w:rsidRPr="0056391C">
        <w:rPr>
          <w:rFonts w:ascii="Arial" w:hAnsi="Arial" w:cs="Arial"/>
        </w:rPr>
        <w:t>Social,</w:t>
      </w:r>
      <w:r w:rsidRPr="0056391C">
        <w:rPr>
          <w:rFonts w:ascii="Arial" w:hAnsi="Arial" w:cs="Arial"/>
          <w:spacing w:val="-5"/>
        </w:rPr>
        <w:t xml:space="preserve"> </w:t>
      </w:r>
      <w:proofErr w:type="spellStart"/>
      <w:r w:rsidRPr="0056391C">
        <w:rPr>
          <w:rFonts w:ascii="Arial" w:hAnsi="Arial" w:cs="Arial"/>
          <w:spacing w:val="-2"/>
        </w:rPr>
        <w:t>Governance</w:t>
      </w:r>
      <w:proofErr w:type="spellEnd"/>
      <w:r w:rsidRPr="0056391C">
        <w:rPr>
          <w:rFonts w:ascii="Arial" w:hAnsi="Arial" w:cs="Arial"/>
          <w:spacing w:val="-2"/>
        </w:rPr>
        <w:t>)</w:t>
      </w:r>
    </w:p>
    <w:p w14:paraId="139E6FB1" w14:textId="77777777" w:rsidR="008545C0" w:rsidRPr="0056391C" w:rsidRDefault="008545C0">
      <w:pPr>
        <w:spacing w:before="13" w:line="276" w:lineRule="auto"/>
        <w:ind w:left="1"/>
        <w:rPr>
          <w:rFonts w:ascii="Arial" w:hAnsi="Arial" w:cs="Arial"/>
          <w:b/>
        </w:rPr>
      </w:pPr>
    </w:p>
    <w:p w14:paraId="402F879B"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Autores: </w:t>
      </w:r>
      <w:r w:rsidRPr="0056391C">
        <w:rPr>
          <w:rFonts w:ascii="Arial" w:hAnsi="Arial" w:cs="Arial"/>
          <w:bCs/>
        </w:rPr>
        <w:t>Juan Gongora Flores</w:t>
      </w:r>
    </w:p>
    <w:p w14:paraId="7A7228E3"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Empresa: </w:t>
      </w:r>
      <w:proofErr w:type="spellStart"/>
      <w:r w:rsidRPr="0056391C">
        <w:rPr>
          <w:rFonts w:ascii="Arial" w:hAnsi="Arial" w:cs="Arial"/>
          <w:bCs/>
        </w:rPr>
        <w:t>Southern</w:t>
      </w:r>
      <w:proofErr w:type="spellEnd"/>
      <w:r w:rsidRPr="0056391C">
        <w:rPr>
          <w:rFonts w:ascii="Arial" w:hAnsi="Arial" w:cs="Arial"/>
          <w:bCs/>
        </w:rPr>
        <w:t xml:space="preserve"> </w:t>
      </w:r>
      <w:proofErr w:type="spellStart"/>
      <w:r w:rsidRPr="0056391C">
        <w:rPr>
          <w:rFonts w:ascii="Arial" w:hAnsi="Arial" w:cs="Arial"/>
          <w:bCs/>
        </w:rPr>
        <w:t>Peru</w:t>
      </w:r>
      <w:proofErr w:type="spellEnd"/>
      <w:r w:rsidRPr="0056391C">
        <w:rPr>
          <w:rFonts w:ascii="Arial" w:hAnsi="Arial" w:cs="Arial"/>
          <w:bCs/>
        </w:rPr>
        <w:t xml:space="preserve"> </w:t>
      </w:r>
      <w:proofErr w:type="spellStart"/>
      <w:r w:rsidRPr="0056391C">
        <w:rPr>
          <w:rFonts w:ascii="Arial" w:hAnsi="Arial" w:cs="Arial"/>
          <w:bCs/>
        </w:rPr>
        <w:t>Copper</w:t>
      </w:r>
      <w:proofErr w:type="spellEnd"/>
      <w:r w:rsidRPr="0056391C">
        <w:rPr>
          <w:rFonts w:ascii="Arial" w:hAnsi="Arial" w:cs="Arial"/>
          <w:bCs/>
        </w:rPr>
        <w:t xml:space="preserve"> </w:t>
      </w:r>
      <w:proofErr w:type="spellStart"/>
      <w:r w:rsidRPr="0056391C">
        <w:rPr>
          <w:rFonts w:ascii="Arial" w:hAnsi="Arial" w:cs="Arial"/>
          <w:bCs/>
        </w:rPr>
        <w:t>Corporation</w:t>
      </w:r>
      <w:proofErr w:type="spellEnd"/>
    </w:p>
    <w:p w14:paraId="089775AB" w14:textId="77777777" w:rsidR="008545C0" w:rsidRPr="0056391C" w:rsidRDefault="008545C0" w:rsidP="008545C0">
      <w:pPr>
        <w:spacing w:before="13" w:line="276" w:lineRule="auto"/>
        <w:ind w:left="142" w:hanging="141"/>
        <w:rPr>
          <w:rFonts w:ascii="Arial" w:hAnsi="Arial" w:cs="Arial"/>
          <w:bCs/>
        </w:rPr>
      </w:pPr>
      <w:r w:rsidRPr="0056391C">
        <w:rPr>
          <w:rFonts w:ascii="Arial" w:hAnsi="Arial" w:cs="Arial"/>
          <w:b/>
        </w:rPr>
        <w:t>•</w:t>
      </w:r>
      <w:r w:rsidRPr="0056391C">
        <w:rPr>
          <w:rFonts w:ascii="Arial" w:hAnsi="Arial" w:cs="Arial"/>
          <w:b/>
        </w:rPr>
        <w:tab/>
        <w:t xml:space="preserve">Cargo: </w:t>
      </w:r>
      <w:r w:rsidRPr="0056391C">
        <w:rPr>
          <w:rFonts w:ascii="Arial" w:hAnsi="Arial" w:cs="Arial"/>
          <w:bCs/>
        </w:rPr>
        <w:t>Relacionista comunitario</w:t>
      </w:r>
    </w:p>
    <w:p w14:paraId="3589D57F"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Dirección: </w:t>
      </w:r>
      <w:proofErr w:type="spellStart"/>
      <w:r w:rsidRPr="0056391C">
        <w:rPr>
          <w:rFonts w:ascii="Arial" w:hAnsi="Arial" w:cs="Arial"/>
          <w:bCs/>
        </w:rPr>
        <w:t>Cocachacra</w:t>
      </w:r>
      <w:proofErr w:type="spellEnd"/>
      <w:r w:rsidRPr="0056391C">
        <w:rPr>
          <w:rFonts w:ascii="Arial" w:hAnsi="Arial" w:cs="Arial"/>
          <w:bCs/>
        </w:rPr>
        <w:t>, provincia de Islay-Región Arequipa</w:t>
      </w:r>
    </w:p>
    <w:p w14:paraId="03D041B5"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Correo corporativo: </w:t>
      </w:r>
      <w:r w:rsidRPr="0056391C">
        <w:rPr>
          <w:rFonts w:ascii="Arial" w:hAnsi="Arial" w:cs="Arial"/>
          <w:bCs/>
        </w:rPr>
        <w:t>jgongoraf@southernperu.com.pe</w:t>
      </w:r>
    </w:p>
    <w:p w14:paraId="677564B0"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Correo personal: </w:t>
      </w:r>
      <w:r w:rsidRPr="0056391C">
        <w:rPr>
          <w:rFonts w:ascii="Arial" w:hAnsi="Arial" w:cs="Arial"/>
          <w:bCs/>
        </w:rPr>
        <w:t>juanjegongora@gmail.com</w:t>
      </w:r>
    </w:p>
    <w:p w14:paraId="1DA4AD06"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Celular: </w:t>
      </w:r>
      <w:r w:rsidRPr="0056391C">
        <w:rPr>
          <w:rFonts w:ascii="Arial" w:hAnsi="Arial" w:cs="Arial"/>
          <w:bCs/>
        </w:rPr>
        <w:t>941249762</w:t>
      </w:r>
    </w:p>
    <w:p w14:paraId="70CB875B" w14:textId="77777777" w:rsidR="008933B4" w:rsidRPr="0056391C" w:rsidRDefault="008933B4" w:rsidP="008933B4">
      <w:pPr>
        <w:pStyle w:val="Textoindependiente"/>
        <w:spacing w:before="31"/>
        <w:rPr>
          <w:rFonts w:ascii="Arial" w:hAnsi="Arial" w:cs="Arial"/>
          <w:sz w:val="22"/>
          <w:szCs w:val="22"/>
        </w:rPr>
      </w:pPr>
    </w:p>
    <w:p w14:paraId="7CBCA5E0" w14:textId="77777777" w:rsidR="00E428E8" w:rsidRPr="0056391C" w:rsidRDefault="00000000">
      <w:pPr>
        <w:rPr>
          <w:rFonts w:ascii="Arial" w:hAnsi="Arial" w:cs="Arial"/>
          <w:b/>
          <w:bCs/>
        </w:rPr>
      </w:pPr>
      <w:r w:rsidRPr="0056391C">
        <w:rPr>
          <w:rFonts w:ascii="Arial" w:hAnsi="Arial" w:cs="Arial"/>
          <w:b/>
          <w:bCs/>
        </w:rPr>
        <w:t>Palabras claves:</w:t>
      </w:r>
    </w:p>
    <w:p w14:paraId="663F3E81" w14:textId="701C6285" w:rsidR="00DA241B" w:rsidRDefault="00DA241B">
      <w:pPr>
        <w:rPr>
          <w:rFonts w:ascii="Arial" w:hAnsi="Arial" w:cs="Arial"/>
        </w:rPr>
      </w:pPr>
      <w:r w:rsidRPr="00DA241B">
        <w:rPr>
          <w:rFonts w:ascii="Arial" w:hAnsi="Arial" w:cs="Arial"/>
        </w:rPr>
        <w:t>Minería responsable, valor compartido, población local, desarrollo sostenible, participación ciudadana, generación de empleo, formación técnica, proveedores locales, agricultura tecnificada</w:t>
      </w:r>
      <w:r>
        <w:rPr>
          <w:rFonts w:ascii="Arial" w:hAnsi="Arial" w:cs="Arial"/>
        </w:rPr>
        <w:t>.</w:t>
      </w:r>
    </w:p>
    <w:p w14:paraId="7AEE62F6" w14:textId="77777777" w:rsidR="00DA241B" w:rsidRDefault="00DA241B">
      <w:pPr>
        <w:rPr>
          <w:rFonts w:ascii="Arial" w:hAnsi="Arial" w:cs="Arial"/>
        </w:rPr>
      </w:pPr>
    </w:p>
    <w:p w14:paraId="376243FE" w14:textId="234DCE41" w:rsidR="00E428E8" w:rsidRPr="0056391C" w:rsidRDefault="00000000">
      <w:pPr>
        <w:rPr>
          <w:rFonts w:ascii="Arial" w:hAnsi="Arial" w:cs="Arial"/>
          <w:b/>
          <w:bCs/>
        </w:rPr>
      </w:pPr>
      <w:r w:rsidRPr="0056391C">
        <w:rPr>
          <w:rFonts w:ascii="Arial" w:hAnsi="Arial" w:cs="Arial"/>
          <w:b/>
          <w:bCs/>
        </w:rPr>
        <w:t>Contexto y escenario</w:t>
      </w:r>
    </w:p>
    <w:p w14:paraId="4706BFF6" w14:textId="77777777" w:rsidR="00CB669D" w:rsidRPr="0056391C" w:rsidRDefault="00CB669D" w:rsidP="0056391C">
      <w:pPr>
        <w:jc w:val="both"/>
        <w:rPr>
          <w:rFonts w:ascii="Arial" w:hAnsi="Arial" w:cs="Arial"/>
        </w:rPr>
      </w:pPr>
      <w:r w:rsidRPr="0056391C">
        <w:rPr>
          <w:rFonts w:ascii="Arial" w:hAnsi="Arial" w:cs="Arial"/>
        </w:rPr>
        <w:t xml:space="preserve">El Proyecto Minero Tía María, operado por </w:t>
      </w:r>
      <w:proofErr w:type="spellStart"/>
      <w:r w:rsidRPr="0056391C">
        <w:rPr>
          <w:rFonts w:ascii="Arial" w:hAnsi="Arial" w:cs="Arial"/>
        </w:rPr>
        <w:t>Southern</w:t>
      </w:r>
      <w:proofErr w:type="spellEnd"/>
      <w:r w:rsidRPr="0056391C">
        <w:rPr>
          <w:rFonts w:ascii="Arial" w:hAnsi="Arial" w:cs="Arial"/>
        </w:rPr>
        <w:t xml:space="preserve"> </w:t>
      </w:r>
      <w:proofErr w:type="spellStart"/>
      <w:r w:rsidRPr="0056391C">
        <w:rPr>
          <w:rFonts w:ascii="Arial" w:hAnsi="Arial" w:cs="Arial"/>
        </w:rPr>
        <w:t>Peru</w:t>
      </w:r>
      <w:proofErr w:type="spellEnd"/>
      <w:r w:rsidRPr="0056391C">
        <w:rPr>
          <w:rFonts w:ascii="Arial" w:hAnsi="Arial" w:cs="Arial"/>
        </w:rPr>
        <w:t xml:space="preserve"> </w:t>
      </w:r>
      <w:proofErr w:type="spellStart"/>
      <w:r w:rsidRPr="0056391C">
        <w:rPr>
          <w:rFonts w:ascii="Arial" w:hAnsi="Arial" w:cs="Arial"/>
        </w:rPr>
        <w:t>Copper</w:t>
      </w:r>
      <w:proofErr w:type="spellEnd"/>
      <w:r w:rsidRPr="0056391C">
        <w:rPr>
          <w:rFonts w:ascii="Arial" w:hAnsi="Arial" w:cs="Arial"/>
        </w:rPr>
        <w:t xml:space="preserve"> </w:t>
      </w:r>
      <w:proofErr w:type="spellStart"/>
      <w:r w:rsidRPr="0056391C">
        <w:rPr>
          <w:rFonts w:ascii="Arial" w:hAnsi="Arial" w:cs="Arial"/>
        </w:rPr>
        <w:t>Corporation</w:t>
      </w:r>
      <w:proofErr w:type="spellEnd"/>
      <w:r w:rsidRPr="0056391C">
        <w:rPr>
          <w:rFonts w:ascii="Arial" w:hAnsi="Arial" w:cs="Arial"/>
        </w:rPr>
        <w:t xml:space="preserve">, se ubica en el distrito de </w:t>
      </w:r>
      <w:proofErr w:type="spellStart"/>
      <w:r w:rsidRPr="0056391C">
        <w:rPr>
          <w:rFonts w:ascii="Arial" w:hAnsi="Arial" w:cs="Arial"/>
        </w:rPr>
        <w:t>Cocachacra</w:t>
      </w:r>
      <w:proofErr w:type="spellEnd"/>
      <w:r w:rsidRPr="0056391C">
        <w:rPr>
          <w:rFonts w:ascii="Arial" w:hAnsi="Arial" w:cs="Arial"/>
        </w:rPr>
        <w:t>, provincia de Islay, región Arequipa. En esta zona, el desarrollo de actividades mineras ha exigido una estrategia de relacionamiento social diferenciada, que reconozca la identidad cultural del Valle de Tambo, la sensibilidad histórica frente a actividades extractivas y la necesidad de generar beneficios tangibles para su población.</w:t>
      </w:r>
    </w:p>
    <w:p w14:paraId="68FF1482" w14:textId="77777777" w:rsidR="00CB669D" w:rsidRPr="0056391C" w:rsidRDefault="00CB669D" w:rsidP="0056391C">
      <w:pPr>
        <w:jc w:val="both"/>
        <w:rPr>
          <w:rFonts w:ascii="Arial" w:hAnsi="Arial" w:cs="Arial"/>
        </w:rPr>
      </w:pPr>
    </w:p>
    <w:p w14:paraId="257D19D6" w14:textId="7EF6CEAB" w:rsidR="008933B4" w:rsidRPr="0056391C" w:rsidRDefault="00CB669D" w:rsidP="0056391C">
      <w:pPr>
        <w:jc w:val="both"/>
        <w:rPr>
          <w:rFonts w:ascii="Arial" w:hAnsi="Arial" w:cs="Arial"/>
        </w:rPr>
      </w:pPr>
      <w:r w:rsidRPr="0056391C">
        <w:rPr>
          <w:rFonts w:ascii="Arial" w:hAnsi="Arial" w:cs="Arial"/>
        </w:rPr>
        <w:t xml:space="preserve">Frente a este desafío, </w:t>
      </w:r>
      <w:proofErr w:type="spellStart"/>
      <w:r w:rsidRPr="0056391C">
        <w:rPr>
          <w:rFonts w:ascii="Arial" w:hAnsi="Arial" w:cs="Arial"/>
        </w:rPr>
        <w:t>Southern</w:t>
      </w:r>
      <w:proofErr w:type="spellEnd"/>
      <w:r w:rsidRPr="0056391C">
        <w:rPr>
          <w:rFonts w:ascii="Arial" w:hAnsi="Arial" w:cs="Arial"/>
        </w:rPr>
        <w:t xml:space="preserve"> Perú ha implementado una política de relacionamiento social basada en el respeto mutuo, el diálogo transparente, la comunicación permanente y el cumplimiento estricto de compromisos. Durante el 2024, y parte del 2025, se ha logrado consolidar una fase de </w:t>
      </w:r>
      <w:proofErr w:type="spellStart"/>
      <w:r w:rsidRPr="0056391C">
        <w:rPr>
          <w:rFonts w:ascii="Arial" w:hAnsi="Arial" w:cs="Arial"/>
        </w:rPr>
        <w:t>pre</w:t>
      </w:r>
      <w:r w:rsidR="0056391C">
        <w:rPr>
          <w:rFonts w:ascii="Arial" w:hAnsi="Arial" w:cs="Arial"/>
        </w:rPr>
        <w:t>-</w:t>
      </w:r>
      <w:r w:rsidRPr="0056391C">
        <w:rPr>
          <w:rFonts w:ascii="Arial" w:hAnsi="Arial" w:cs="Arial"/>
        </w:rPr>
        <w:t>construcción</w:t>
      </w:r>
      <w:proofErr w:type="spellEnd"/>
      <w:r w:rsidRPr="0056391C">
        <w:rPr>
          <w:rFonts w:ascii="Arial" w:hAnsi="Arial" w:cs="Arial"/>
        </w:rPr>
        <w:t xml:space="preserve"> ordenada, con </w:t>
      </w:r>
      <w:proofErr w:type="gramStart"/>
      <w:r w:rsidRPr="0056391C">
        <w:rPr>
          <w:rFonts w:ascii="Arial" w:hAnsi="Arial" w:cs="Arial"/>
        </w:rPr>
        <w:t>participación activa</w:t>
      </w:r>
      <w:proofErr w:type="gramEnd"/>
      <w:r w:rsidRPr="0056391C">
        <w:rPr>
          <w:rFonts w:ascii="Arial" w:hAnsi="Arial" w:cs="Arial"/>
        </w:rPr>
        <w:t xml:space="preserve"> de los habitantes, bajo un enfoque de valor compartido y desarrollo inclusivo.</w:t>
      </w:r>
    </w:p>
    <w:p w14:paraId="4AA9573A" w14:textId="77777777" w:rsidR="00CB669D" w:rsidRPr="0056391C" w:rsidRDefault="00CB669D" w:rsidP="0056391C">
      <w:pPr>
        <w:jc w:val="both"/>
        <w:rPr>
          <w:rFonts w:ascii="Arial" w:hAnsi="Arial" w:cs="Arial"/>
          <w:b/>
          <w:bCs/>
        </w:rPr>
      </w:pPr>
    </w:p>
    <w:p w14:paraId="0C8B6E02" w14:textId="77777777" w:rsidR="00E428E8" w:rsidRPr="0056391C" w:rsidRDefault="00000000" w:rsidP="0056391C">
      <w:pPr>
        <w:jc w:val="both"/>
        <w:rPr>
          <w:rFonts w:ascii="Arial" w:hAnsi="Arial" w:cs="Arial"/>
          <w:b/>
          <w:bCs/>
        </w:rPr>
      </w:pPr>
      <w:r w:rsidRPr="0056391C">
        <w:rPr>
          <w:rFonts w:ascii="Arial" w:hAnsi="Arial" w:cs="Arial"/>
          <w:b/>
          <w:bCs/>
        </w:rPr>
        <w:t>Objetivos</w:t>
      </w:r>
    </w:p>
    <w:p w14:paraId="19DD2BA4" w14:textId="5A7010CE" w:rsidR="00CB669D"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Fortalecer la legitimidad social del Proyecto Tía María mediante acciones concretas que beneficien directamente a la población local.</w:t>
      </w:r>
    </w:p>
    <w:p w14:paraId="2FAE548C" w14:textId="2AC4B0AD" w:rsidR="00CB669D"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Construir relaciones de confianza y colaboración entre la empresa</w:t>
      </w:r>
      <w:r w:rsidR="0056391C">
        <w:rPr>
          <w:rFonts w:ascii="Arial" w:hAnsi="Arial" w:cs="Arial"/>
        </w:rPr>
        <w:t xml:space="preserve"> y la población.</w:t>
      </w:r>
    </w:p>
    <w:p w14:paraId="4B4962A6" w14:textId="28F5E95D" w:rsidR="00CB669D"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 xml:space="preserve">Generar empleo directo e indirecto a través de la contratación de trabajadores locales y el fortalecimiento de proveedores del </w:t>
      </w:r>
      <w:r w:rsidR="0056391C">
        <w:rPr>
          <w:rFonts w:ascii="Arial" w:hAnsi="Arial" w:cs="Arial"/>
        </w:rPr>
        <w:t>Valle de Tambo.</w:t>
      </w:r>
    </w:p>
    <w:p w14:paraId="2E68A548" w14:textId="7A687EB9" w:rsidR="00CB669D"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Promover la formación técnica de jóvenes, articulando la minería con oportunidades reales de crecimiento profesional y productivo.</w:t>
      </w:r>
    </w:p>
    <w:p w14:paraId="4DDE3087" w14:textId="0DCC26F5" w:rsidR="008933B4"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 xml:space="preserve">Integrar el agro con la minería, asegurando sostenibilidad y coexistencia armónica de ambas actividades </w:t>
      </w:r>
      <w:r w:rsidR="0056391C">
        <w:rPr>
          <w:rFonts w:ascii="Arial" w:hAnsi="Arial" w:cs="Arial"/>
        </w:rPr>
        <w:t xml:space="preserve">en el tiempo. </w:t>
      </w:r>
    </w:p>
    <w:p w14:paraId="010D15D4" w14:textId="77777777" w:rsidR="00CB669D" w:rsidRPr="0056391C" w:rsidRDefault="00CB669D" w:rsidP="0056391C">
      <w:pPr>
        <w:jc w:val="both"/>
        <w:rPr>
          <w:rFonts w:ascii="Arial" w:hAnsi="Arial" w:cs="Arial"/>
        </w:rPr>
      </w:pPr>
    </w:p>
    <w:p w14:paraId="39B92C56" w14:textId="77777777" w:rsidR="00E428E8" w:rsidRPr="0056391C" w:rsidRDefault="00000000" w:rsidP="0056391C">
      <w:pPr>
        <w:jc w:val="both"/>
        <w:rPr>
          <w:rFonts w:ascii="Arial" w:hAnsi="Arial" w:cs="Arial"/>
          <w:b/>
          <w:bCs/>
        </w:rPr>
      </w:pPr>
      <w:r w:rsidRPr="0056391C">
        <w:rPr>
          <w:rFonts w:ascii="Arial" w:hAnsi="Arial" w:cs="Arial"/>
          <w:b/>
          <w:bCs/>
        </w:rPr>
        <w:t>Metodología</w:t>
      </w:r>
    </w:p>
    <w:p w14:paraId="2E43BB9C" w14:textId="77777777" w:rsidR="00141DBB" w:rsidRPr="0056391C" w:rsidRDefault="00141DBB" w:rsidP="0056391C">
      <w:pPr>
        <w:jc w:val="both"/>
        <w:rPr>
          <w:rFonts w:ascii="Arial" w:hAnsi="Arial" w:cs="Arial"/>
        </w:rPr>
      </w:pPr>
      <w:r w:rsidRPr="0056391C">
        <w:rPr>
          <w:rFonts w:ascii="Arial" w:hAnsi="Arial" w:cs="Arial"/>
        </w:rPr>
        <w:t>La intervención se estructura en tres dimensiones integradas:</w:t>
      </w:r>
    </w:p>
    <w:p w14:paraId="778113C7" w14:textId="77777777" w:rsidR="00141DBB" w:rsidRPr="0056391C" w:rsidRDefault="00141DBB" w:rsidP="0056391C">
      <w:pPr>
        <w:jc w:val="both"/>
        <w:rPr>
          <w:rFonts w:ascii="Arial" w:hAnsi="Arial" w:cs="Arial"/>
        </w:rPr>
      </w:pPr>
    </w:p>
    <w:p w14:paraId="09B66C26" w14:textId="365FA301" w:rsidR="00141DBB" w:rsidRPr="0056391C" w:rsidRDefault="00141DBB" w:rsidP="0056391C">
      <w:pPr>
        <w:pStyle w:val="Prrafodelista"/>
        <w:numPr>
          <w:ilvl w:val="0"/>
          <w:numId w:val="13"/>
        </w:numPr>
        <w:jc w:val="both"/>
        <w:rPr>
          <w:rFonts w:ascii="Arial" w:hAnsi="Arial" w:cs="Arial"/>
        </w:rPr>
      </w:pPr>
      <w:r w:rsidRPr="0056391C">
        <w:rPr>
          <w:rFonts w:ascii="Arial" w:hAnsi="Arial" w:cs="Arial"/>
        </w:rPr>
        <w:t>Manejo del impacto social:</w:t>
      </w:r>
    </w:p>
    <w:p w14:paraId="52F02BD5" w14:textId="77777777" w:rsidR="00141DBB" w:rsidRPr="0056391C" w:rsidRDefault="00141DBB" w:rsidP="0056391C">
      <w:pPr>
        <w:pStyle w:val="Prrafodelista"/>
        <w:ind w:left="720" w:firstLine="0"/>
        <w:jc w:val="both"/>
        <w:rPr>
          <w:rFonts w:ascii="Arial" w:hAnsi="Arial" w:cs="Arial"/>
        </w:rPr>
      </w:pPr>
      <w:r w:rsidRPr="0056391C">
        <w:rPr>
          <w:rFonts w:ascii="Arial" w:hAnsi="Arial" w:cs="Arial"/>
        </w:rPr>
        <w:t>Se aplicaron herramientas de mapeo de actores, atención temprana mediante el SAC, y gestión anticipada de riesgos sociales. Esto permitió sostener un ambiente de paz y evitar tensiones, garantizando viabilidad operativa.</w:t>
      </w:r>
    </w:p>
    <w:p w14:paraId="2462F8F2" w14:textId="77777777" w:rsidR="00141DBB" w:rsidRDefault="00141DBB" w:rsidP="0056391C">
      <w:pPr>
        <w:pStyle w:val="Prrafodelista"/>
        <w:ind w:left="720" w:firstLine="0"/>
        <w:jc w:val="both"/>
        <w:rPr>
          <w:rFonts w:ascii="Arial" w:hAnsi="Arial" w:cs="Arial"/>
        </w:rPr>
      </w:pPr>
    </w:p>
    <w:p w14:paraId="3B87FCF0" w14:textId="77777777" w:rsidR="0056391C" w:rsidRPr="0056391C" w:rsidRDefault="0056391C" w:rsidP="0056391C">
      <w:pPr>
        <w:pStyle w:val="Prrafodelista"/>
        <w:ind w:left="720" w:firstLine="0"/>
        <w:jc w:val="both"/>
        <w:rPr>
          <w:rFonts w:ascii="Arial" w:hAnsi="Arial" w:cs="Arial"/>
        </w:rPr>
      </w:pPr>
    </w:p>
    <w:p w14:paraId="560DE9C0" w14:textId="6341BB53" w:rsidR="0056391C" w:rsidRPr="0056391C" w:rsidRDefault="00141DBB" w:rsidP="0056391C">
      <w:pPr>
        <w:pStyle w:val="Prrafodelista"/>
        <w:numPr>
          <w:ilvl w:val="0"/>
          <w:numId w:val="13"/>
        </w:numPr>
        <w:jc w:val="both"/>
        <w:rPr>
          <w:rFonts w:ascii="Arial" w:hAnsi="Arial" w:cs="Arial"/>
        </w:rPr>
      </w:pPr>
      <w:r w:rsidRPr="0056391C">
        <w:rPr>
          <w:rFonts w:ascii="Arial" w:hAnsi="Arial" w:cs="Arial"/>
        </w:rPr>
        <w:lastRenderedPageBreak/>
        <w:t>Compromiso y participación de la población:</w:t>
      </w:r>
    </w:p>
    <w:p w14:paraId="65F0EA12" w14:textId="3125A79D" w:rsidR="00141DBB" w:rsidRPr="0056391C" w:rsidRDefault="00141DBB" w:rsidP="0056391C">
      <w:pPr>
        <w:pStyle w:val="Prrafodelista"/>
        <w:ind w:left="720" w:firstLine="0"/>
        <w:jc w:val="both"/>
        <w:rPr>
          <w:rFonts w:ascii="Arial" w:hAnsi="Arial" w:cs="Arial"/>
        </w:rPr>
      </w:pPr>
      <w:r w:rsidRPr="0056391C">
        <w:rPr>
          <w:rFonts w:ascii="Arial" w:hAnsi="Arial" w:cs="Arial"/>
        </w:rPr>
        <w:t xml:space="preserve">A través de mecanismos de diálogo directo, visitas casa por casa, jornadas participativas y cumplimiento de compromisos, se fortaleció la confianza con los habitantes. La empresa ha sido reconocida por su apertura, cumplimiento y cercanía </w:t>
      </w:r>
      <w:r w:rsidR="0056391C">
        <w:rPr>
          <w:rFonts w:ascii="Arial" w:hAnsi="Arial" w:cs="Arial"/>
        </w:rPr>
        <w:t xml:space="preserve">a la población del Valle de Tambo. </w:t>
      </w:r>
      <w:r w:rsidR="0056391C" w:rsidRPr="0056391C">
        <w:rPr>
          <w:rFonts w:ascii="Arial" w:hAnsi="Arial" w:cs="Arial"/>
        </w:rPr>
        <w:br/>
      </w:r>
    </w:p>
    <w:p w14:paraId="38161E74" w14:textId="3D1281A3" w:rsidR="00141DBB" w:rsidRPr="0056391C" w:rsidRDefault="00141DBB" w:rsidP="0056391C">
      <w:pPr>
        <w:pStyle w:val="Prrafodelista"/>
        <w:numPr>
          <w:ilvl w:val="0"/>
          <w:numId w:val="13"/>
        </w:numPr>
        <w:jc w:val="both"/>
        <w:rPr>
          <w:rFonts w:ascii="Arial" w:hAnsi="Arial" w:cs="Arial"/>
        </w:rPr>
      </w:pPr>
      <w:r w:rsidRPr="0056391C">
        <w:rPr>
          <w:rFonts w:ascii="Arial" w:hAnsi="Arial" w:cs="Arial"/>
        </w:rPr>
        <w:t>Desarrollo sostenible de</w:t>
      </w:r>
      <w:r w:rsidR="0056391C">
        <w:rPr>
          <w:rFonts w:ascii="Arial" w:hAnsi="Arial" w:cs="Arial"/>
        </w:rPr>
        <w:t xml:space="preserve"> las comunidades</w:t>
      </w:r>
      <w:r w:rsidRPr="0056391C">
        <w:rPr>
          <w:rFonts w:ascii="Arial" w:hAnsi="Arial" w:cs="Arial"/>
        </w:rPr>
        <w:t>:</w:t>
      </w:r>
    </w:p>
    <w:p w14:paraId="439B1671" w14:textId="77777777" w:rsidR="00141DBB" w:rsidRPr="0056391C" w:rsidRDefault="00141DBB" w:rsidP="0056391C">
      <w:pPr>
        <w:pStyle w:val="Prrafodelista"/>
        <w:ind w:left="720" w:firstLine="0"/>
        <w:jc w:val="both"/>
        <w:rPr>
          <w:rFonts w:ascii="Arial" w:hAnsi="Arial" w:cs="Arial"/>
        </w:rPr>
      </w:pPr>
      <w:r w:rsidRPr="0056391C">
        <w:rPr>
          <w:rFonts w:ascii="Arial" w:hAnsi="Arial" w:cs="Arial"/>
        </w:rPr>
        <w:t>Se promovieron acciones orientadas a crear capacidades sostenibles:</w:t>
      </w:r>
    </w:p>
    <w:p w14:paraId="5DA1D6C9" w14:textId="77777777"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700 pobladores del valle fueron contratados en la fase actual del proyecto.</w:t>
      </w:r>
    </w:p>
    <w:p w14:paraId="04C57ACB" w14:textId="70AC55D8"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 xml:space="preserve">Más de </w:t>
      </w:r>
      <w:r w:rsidR="00BE08F5">
        <w:rPr>
          <w:rFonts w:ascii="Arial" w:hAnsi="Arial" w:cs="Arial"/>
        </w:rPr>
        <w:t>70</w:t>
      </w:r>
      <w:r w:rsidRPr="0056391C">
        <w:rPr>
          <w:rFonts w:ascii="Arial" w:hAnsi="Arial" w:cs="Arial"/>
        </w:rPr>
        <w:t xml:space="preserve"> proveedores locales están siendo fortalecidos junto a la Cámara de Comercio de Arequipa.</w:t>
      </w:r>
    </w:p>
    <w:p w14:paraId="7280B1F8" w14:textId="21FAC5F8"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80 jóvenes operadores se capacitan en maquinaria pesada con</w:t>
      </w:r>
      <w:r w:rsidR="0056391C" w:rsidRPr="0056391C">
        <w:rPr>
          <w:rFonts w:ascii="Arial" w:hAnsi="Arial" w:cs="Arial"/>
        </w:rPr>
        <w:t xml:space="preserve"> las empresas</w:t>
      </w:r>
      <w:r w:rsidRPr="0056391C">
        <w:rPr>
          <w:rFonts w:ascii="Arial" w:hAnsi="Arial" w:cs="Arial"/>
        </w:rPr>
        <w:t xml:space="preserve"> Ferreyros y </w:t>
      </w:r>
      <w:proofErr w:type="spellStart"/>
      <w:r w:rsidRPr="0056391C">
        <w:rPr>
          <w:rFonts w:ascii="Arial" w:hAnsi="Arial" w:cs="Arial"/>
        </w:rPr>
        <w:t>Cosapi</w:t>
      </w:r>
      <w:proofErr w:type="spellEnd"/>
      <w:r w:rsidRPr="0056391C">
        <w:rPr>
          <w:rFonts w:ascii="Arial" w:hAnsi="Arial" w:cs="Arial"/>
        </w:rPr>
        <w:t>.</w:t>
      </w:r>
    </w:p>
    <w:p w14:paraId="64A7AE90" w14:textId="6477C46D"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 xml:space="preserve">Se implementa el programa de becas Tía María, con más de 100 jóvenes en prácticas profesionales en </w:t>
      </w:r>
      <w:r w:rsidR="00BE08F5">
        <w:rPr>
          <w:rFonts w:ascii="Arial" w:hAnsi="Arial" w:cs="Arial"/>
        </w:rPr>
        <w:t xml:space="preserve">nuestras áreas operativas de </w:t>
      </w:r>
      <w:r w:rsidRPr="0056391C">
        <w:rPr>
          <w:rFonts w:ascii="Arial" w:hAnsi="Arial" w:cs="Arial"/>
        </w:rPr>
        <w:t>Cuajone, Toquepala e Ilo.</w:t>
      </w:r>
    </w:p>
    <w:p w14:paraId="3A36C49F" w14:textId="77777777"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En agricultura, se amplió Tecnificando el Agro, integrando las cadenas del ajo, papa y olivo.</w:t>
      </w:r>
    </w:p>
    <w:p w14:paraId="4914FFE7" w14:textId="77777777"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Se instalaron 19 km de cerco vivo y se inició otro de 10 km, como aporte ambiental visible y sostenible.</w:t>
      </w:r>
    </w:p>
    <w:p w14:paraId="4719DAF0" w14:textId="61D7E7D3" w:rsidR="008933B4"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 xml:space="preserve">Actividades simbólicas, como </w:t>
      </w:r>
      <w:r w:rsidR="00BE08F5">
        <w:rPr>
          <w:rFonts w:ascii="Arial" w:hAnsi="Arial" w:cs="Arial"/>
        </w:rPr>
        <w:t xml:space="preserve">el izamiento </w:t>
      </w:r>
      <w:r w:rsidRPr="0056391C">
        <w:rPr>
          <w:rFonts w:ascii="Arial" w:hAnsi="Arial" w:cs="Arial"/>
        </w:rPr>
        <w:t>de la segunda bandera más grande del Perú con</w:t>
      </w:r>
      <w:r w:rsidR="00BE08F5">
        <w:rPr>
          <w:rFonts w:ascii="Arial" w:hAnsi="Arial" w:cs="Arial"/>
        </w:rPr>
        <w:t xml:space="preserve"> cerca de mil </w:t>
      </w:r>
      <w:r w:rsidRPr="0056391C">
        <w:rPr>
          <w:rFonts w:ascii="Arial" w:hAnsi="Arial" w:cs="Arial"/>
        </w:rPr>
        <w:t>asistentes, han reforzado la integración social.</w:t>
      </w:r>
    </w:p>
    <w:p w14:paraId="71501E08" w14:textId="77777777" w:rsidR="00CB669D" w:rsidRPr="0056391C" w:rsidRDefault="00CB669D" w:rsidP="0056391C">
      <w:pPr>
        <w:jc w:val="both"/>
        <w:rPr>
          <w:rFonts w:ascii="Arial" w:hAnsi="Arial" w:cs="Arial"/>
        </w:rPr>
      </w:pPr>
    </w:p>
    <w:p w14:paraId="225420EC" w14:textId="77777777" w:rsidR="00E428E8" w:rsidRPr="0056391C" w:rsidRDefault="00000000" w:rsidP="0056391C">
      <w:pPr>
        <w:jc w:val="both"/>
        <w:rPr>
          <w:rFonts w:ascii="Arial" w:hAnsi="Arial" w:cs="Arial"/>
          <w:b/>
          <w:bCs/>
        </w:rPr>
      </w:pPr>
      <w:r w:rsidRPr="0056391C">
        <w:rPr>
          <w:rFonts w:ascii="Arial" w:hAnsi="Arial" w:cs="Arial"/>
          <w:b/>
          <w:bCs/>
        </w:rPr>
        <w:t>Resultados alcanzados</w:t>
      </w:r>
    </w:p>
    <w:p w14:paraId="7BD9A61B" w14:textId="4B036F91" w:rsidR="0056391C" w:rsidRPr="00BE08F5" w:rsidRDefault="0056391C" w:rsidP="00BE08F5">
      <w:pPr>
        <w:pStyle w:val="Prrafodelista"/>
        <w:numPr>
          <w:ilvl w:val="0"/>
          <w:numId w:val="15"/>
        </w:numPr>
        <w:jc w:val="both"/>
        <w:rPr>
          <w:rFonts w:ascii="Arial" w:hAnsi="Arial" w:cs="Arial"/>
        </w:rPr>
      </w:pPr>
      <w:r w:rsidRPr="00BE08F5">
        <w:rPr>
          <w:rFonts w:ascii="Arial" w:hAnsi="Arial" w:cs="Arial"/>
        </w:rPr>
        <w:t>Consolidación de relaciones de confianza con la población local.</w:t>
      </w:r>
    </w:p>
    <w:p w14:paraId="3F021C37" w14:textId="77777777" w:rsidR="0056391C" w:rsidRPr="0056391C" w:rsidRDefault="0056391C" w:rsidP="0056391C">
      <w:pPr>
        <w:pStyle w:val="Prrafodelista"/>
        <w:numPr>
          <w:ilvl w:val="0"/>
          <w:numId w:val="15"/>
        </w:numPr>
        <w:jc w:val="both"/>
        <w:rPr>
          <w:rFonts w:ascii="Arial" w:hAnsi="Arial" w:cs="Arial"/>
        </w:rPr>
      </w:pPr>
      <w:r w:rsidRPr="0056391C">
        <w:rPr>
          <w:rFonts w:ascii="Arial" w:hAnsi="Arial" w:cs="Arial"/>
        </w:rPr>
        <w:t>Generación de empleo y formación de talento local con proyección minera.</w:t>
      </w:r>
    </w:p>
    <w:p w14:paraId="7D2C5120" w14:textId="77777777" w:rsidR="0056391C" w:rsidRPr="0056391C" w:rsidRDefault="0056391C" w:rsidP="0056391C">
      <w:pPr>
        <w:pStyle w:val="Prrafodelista"/>
        <w:numPr>
          <w:ilvl w:val="0"/>
          <w:numId w:val="15"/>
        </w:numPr>
        <w:jc w:val="both"/>
        <w:rPr>
          <w:rFonts w:ascii="Arial" w:hAnsi="Arial" w:cs="Arial"/>
        </w:rPr>
      </w:pPr>
      <w:r w:rsidRPr="0056391C">
        <w:rPr>
          <w:rFonts w:ascii="Arial" w:hAnsi="Arial" w:cs="Arial"/>
        </w:rPr>
        <w:t>Inclusión productiva mediante agricultura tecnificada y proveedores fortalecidos.</w:t>
      </w:r>
    </w:p>
    <w:p w14:paraId="0002755C" w14:textId="77777777" w:rsidR="0056391C" w:rsidRPr="0056391C" w:rsidRDefault="0056391C" w:rsidP="0056391C">
      <w:pPr>
        <w:pStyle w:val="Prrafodelista"/>
        <w:numPr>
          <w:ilvl w:val="0"/>
          <w:numId w:val="15"/>
        </w:numPr>
        <w:jc w:val="both"/>
        <w:rPr>
          <w:rFonts w:ascii="Arial" w:hAnsi="Arial" w:cs="Arial"/>
        </w:rPr>
      </w:pPr>
      <w:r w:rsidRPr="0056391C">
        <w:rPr>
          <w:rFonts w:ascii="Arial" w:hAnsi="Arial" w:cs="Arial"/>
        </w:rPr>
        <w:t>Clima social favorable y estabilidad para el desarrollo del proyecto.</w:t>
      </w:r>
    </w:p>
    <w:p w14:paraId="10646C43" w14:textId="00234B1F" w:rsidR="00CB669D" w:rsidRPr="0056391C" w:rsidRDefault="0056391C" w:rsidP="0056391C">
      <w:pPr>
        <w:pStyle w:val="Prrafodelista"/>
        <w:numPr>
          <w:ilvl w:val="0"/>
          <w:numId w:val="15"/>
        </w:numPr>
        <w:jc w:val="both"/>
        <w:rPr>
          <w:rFonts w:ascii="Arial" w:hAnsi="Arial" w:cs="Arial"/>
        </w:rPr>
      </w:pPr>
      <w:r w:rsidRPr="0056391C">
        <w:rPr>
          <w:rFonts w:ascii="Arial" w:hAnsi="Arial" w:cs="Arial"/>
        </w:rPr>
        <w:t>Percepción positiva de la empresa como aliada del progreso regional.</w:t>
      </w:r>
    </w:p>
    <w:p w14:paraId="277ADDE9" w14:textId="77777777" w:rsidR="0056391C" w:rsidRPr="0056391C" w:rsidRDefault="0056391C" w:rsidP="0056391C">
      <w:pPr>
        <w:pStyle w:val="Prrafodelista"/>
        <w:rPr>
          <w:rFonts w:ascii="Arial" w:hAnsi="Arial" w:cs="Arial"/>
        </w:rPr>
      </w:pPr>
    </w:p>
    <w:p w14:paraId="10D1D2DB" w14:textId="7EEFE806" w:rsidR="00E428E8" w:rsidRPr="0056391C" w:rsidRDefault="00000000">
      <w:pPr>
        <w:rPr>
          <w:rFonts w:ascii="Arial" w:hAnsi="Arial" w:cs="Arial"/>
          <w:b/>
          <w:bCs/>
        </w:rPr>
      </w:pPr>
      <w:r w:rsidRPr="0056391C">
        <w:rPr>
          <w:rFonts w:ascii="Arial" w:hAnsi="Arial" w:cs="Arial"/>
          <w:b/>
          <w:bCs/>
        </w:rPr>
        <w:t>Conclusiones y recomendaciones</w:t>
      </w:r>
      <w:r w:rsidR="0056391C" w:rsidRPr="0056391C">
        <w:rPr>
          <w:rFonts w:ascii="Arial" w:hAnsi="Arial" w:cs="Arial"/>
          <w:b/>
          <w:bCs/>
        </w:rPr>
        <w:br/>
      </w:r>
    </w:p>
    <w:p w14:paraId="5CB43FA8" w14:textId="58368104" w:rsidR="00CB669D" w:rsidRPr="0056391C" w:rsidRDefault="00CB669D" w:rsidP="0056391C">
      <w:pPr>
        <w:jc w:val="both"/>
        <w:rPr>
          <w:rFonts w:ascii="Arial" w:hAnsi="Arial" w:cs="Arial"/>
        </w:rPr>
      </w:pPr>
      <w:r w:rsidRPr="0056391C">
        <w:rPr>
          <w:rFonts w:ascii="Arial" w:hAnsi="Arial" w:cs="Arial"/>
        </w:rPr>
        <w:t xml:space="preserve">El caso del Proyecto Tía María demuestra que la minería moderna y responsable puede integrarse de manera armónica con las aspiraciones de desarrollo de la población local. El éxito del relacionamiento se debe a una estrategia de intervención basada en el respeto, la </w:t>
      </w:r>
      <w:proofErr w:type="gramStart"/>
      <w:r w:rsidRPr="0056391C">
        <w:rPr>
          <w:rFonts w:ascii="Arial" w:hAnsi="Arial" w:cs="Arial"/>
        </w:rPr>
        <w:t>participación activa</w:t>
      </w:r>
      <w:proofErr w:type="gramEnd"/>
      <w:r w:rsidRPr="0056391C">
        <w:rPr>
          <w:rFonts w:ascii="Arial" w:hAnsi="Arial" w:cs="Arial"/>
        </w:rPr>
        <w:t>, la generación de oportunidades reales y el cumplimiento riguroso de compromisos</w:t>
      </w:r>
      <w:r w:rsidR="0056391C" w:rsidRPr="0056391C">
        <w:rPr>
          <w:rFonts w:ascii="Arial" w:hAnsi="Arial" w:cs="Arial"/>
        </w:rPr>
        <w:t xml:space="preserve"> asumidos en coordinación con la población.</w:t>
      </w:r>
    </w:p>
    <w:p w14:paraId="2D3A549F" w14:textId="77777777" w:rsidR="00CB669D" w:rsidRDefault="00CB669D" w:rsidP="0056391C">
      <w:pPr>
        <w:jc w:val="both"/>
        <w:rPr>
          <w:rFonts w:ascii="Arial" w:hAnsi="Arial" w:cs="Arial"/>
        </w:rPr>
      </w:pPr>
    </w:p>
    <w:p w14:paraId="7A559A88" w14:textId="176844E5" w:rsidR="00BE08F5" w:rsidRDefault="00BE08F5" w:rsidP="0056391C">
      <w:pPr>
        <w:jc w:val="both"/>
        <w:rPr>
          <w:rFonts w:ascii="Arial" w:hAnsi="Arial" w:cs="Arial"/>
        </w:rPr>
      </w:pPr>
      <w:r w:rsidRPr="00BE08F5">
        <w:rPr>
          <w:rFonts w:ascii="Arial" w:hAnsi="Arial" w:cs="Arial"/>
        </w:rPr>
        <w:t>Tía María evidencia que una gestión minera basada en legitimidad social no solo reduce riesgos, sino que habilita condiciones para un desarrollo territorial sostenible y compartido. La articulación entre minería, educación, empleo, agricultura y ciudadanía activa permite construir una plataforma sólida de convivencia, donde el crecimiento económico y el bienestar local avanzan en la misma dirección.</w:t>
      </w:r>
    </w:p>
    <w:p w14:paraId="4DDD7EDB" w14:textId="77777777" w:rsidR="00BE08F5" w:rsidRPr="0056391C" w:rsidRDefault="00BE08F5" w:rsidP="0056391C">
      <w:pPr>
        <w:jc w:val="both"/>
        <w:rPr>
          <w:rFonts w:ascii="Arial" w:hAnsi="Arial" w:cs="Arial"/>
        </w:rPr>
      </w:pPr>
    </w:p>
    <w:p w14:paraId="5C92E450" w14:textId="39813976" w:rsidR="00E428E8" w:rsidRDefault="00BE08F5" w:rsidP="0056391C">
      <w:pPr>
        <w:jc w:val="both"/>
        <w:rPr>
          <w:rFonts w:ascii="Arial" w:hAnsi="Arial" w:cs="Arial"/>
        </w:rPr>
      </w:pPr>
      <w:r>
        <w:rPr>
          <w:rFonts w:ascii="Arial" w:hAnsi="Arial" w:cs="Arial"/>
        </w:rPr>
        <w:t>Lo aplicado</w:t>
      </w:r>
      <w:r w:rsidR="00CB669D" w:rsidRPr="0056391C">
        <w:rPr>
          <w:rFonts w:ascii="Arial" w:hAnsi="Arial" w:cs="Arial"/>
        </w:rPr>
        <w:t xml:space="preserve"> en Tía María puede servir como referencia replicable para otros proyectos que enfrentan contextos sociales sensibles. Minería y desarrollo no son excluyentes: cuando se gestionan con inteligencia social, técnica y ética, son perfectamente compatibles.</w:t>
      </w:r>
    </w:p>
    <w:p w14:paraId="47EC10DA" w14:textId="77777777" w:rsidR="00854761" w:rsidRDefault="00854761" w:rsidP="0056391C">
      <w:pPr>
        <w:jc w:val="both"/>
        <w:rPr>
          <w:rFonts w:ascii="Arial" w:hAnsi="Arial" w:cs="Arial"/>
        </w:rPr>
      </w:pPr>
    </w:p>
    <w:p w14:paraId="1CA31EE8" w14:textId="77777777" w:rsidR="00854761" w:rsidRPr="00854761" w:rsidRDefault="00854761" w:rsidP="00854761">
      <w:pPr>
        <w:ind w:left="360"/>
        <w:jc w:val="both"/>
        <w:rPr>
          <w:rFonts w:ascii="Arial" w:hAnsi="Arial" w:cs="Arial"/>
        </w:rPr>
      </w:pPr>
    </w:p>
    <w:sectPr w:rsidR="00854761" w:rsidRPr="00854761" w:rsidSect="008933B4">
      <w:headerReference w:type="default" r:id="rId7"/>
      <w:type w:val="continuous"/>
      <w:pgSz w:w="11910" w:h="16840"/>
      <w:pgMar w:top="1843" w:right="1417" w:bottom="1276"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DC68ED" w14:textId="77777777" w:rsidR="003324FC" w:rsidRDefault="003324FC" w:rsidP="008545C0">
      <w:r>
        <w:separator/>
      </w:r>
    </w:p>
  </w:endnote>
  <w:endnote w:type="continuationSeparator" w:id="0">
    <w:p w14:paraId="310B9A15" w14:textId="77777777" w:rsidR="003324FC" w:rsidRDefault="003324FC" w:rsidP="0085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6C3FF6" w14:textId="77777777" w:rsidR="003324FC" w:rsidRDefault="003324FC" w:rsidP="008545C0">
      <w:r>
        <w:separator/>
      </w:r>
    </w:p>
  </w:footnote>
  <w:footnote w:type="continuationSeparator" w:id="0">
    <w:p w14:paraId="5ED8851B" w14:textId="77777777" w:rsidR="003324FC" w:rsidRDefault="003324FC" w:rsidP="00854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15E26" w14:textId="77777777" w:rsidR="008545C0" w:rsidRDefault="008545C0" w:rsidP="008545C0">
    <w:pPr>
      <w:pStyle w:val="Encabezado"/>
    </w:pPr>
    <w:r>
      <w:rPr>
        <w:noProof/>
      </w:rPr>
      <w:drawing>
        <wp:anchor distT="0" distB="0" distL="114300" distR="114300" simplePos="0" relativeHeight="251657728" behindDoc="0" locked="0" layoutInCell="1" allowOverlap="1" wp14:anchorId="211C322D" wp14:editId="51BDA9FC">
          <wp:simplePos x="0" y="0"/>
          <wp:positionH relativeFrom="margin">
            <wp:align>right</wp:align>
          </wp:positionH>
          <wp:positionV relativeFrom="paragraph">
            <wp:posOffset>41275</wp:posOffset>
          </wp:positionV>
          <wp:extent cx="1575435" cy="365760"/>
          <wp:effectExtent l="0" t="0" r="5715" b="0"/>
          <wp:wrapSquare wrapText="bothSides"/>
          <wp:docPr id="627528788" name="Picture 3" descr="A black and grey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4674" name="Picture 3" descr="A black and grey wor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5435" cy="365760"/>
                  </a:xfrm>
                  <a:prstGeom prst="rect">
                    <a:avLst/>
                  </a:prstGeom>
                  <a:noFill/>
                  <a:ln>
                    <a:noFill/>
                  </a:ln>
                </pic:spPr>
              </pic:pic>
            </a:graphicData>
          </a:graphic>
        </wp:anchor>
      </w:drawing>
    </w:r>
    <w:r>
      <w:rPr>
        <w:noProof/>
      </w:rPr>
      <w:drawing>
        <wp:anchor distT="0" distB="0" distL="114300" distR="114300" simplePos="0" relativeHeight="251658752" behindDoc="0" locked="0" layoutInCell="1" allowOverlap="1" wp14:anchorId="742F06E1" wp14:editId="4B27D9E0">
          <wp:simplePos x="0" y="0"/>
          <wp:positionH relativeFrom="margin">
            <wp:align>left</wp:align>
          </wp:positionH>
          <wp:positionV relativeFrom="paragraph">
            <wp:posOffset>0</wp:posOffset>
          </wp:positionV>
          <wp:extent cx="1737360" cy="520700"/>
          <wp:effectExtent l="0" t="0" r="0" b="0"/>
          <wp:wrapSquare wrapText="bothSides"/>
          <wp:docPr id="1907769898"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92660" name="Picture 1" descr="A close up of a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37360" cy="520700"/>
                  </a:xfrm>
                  <a:prstGeom prst="rect">
                    <a:avLst/>
                  </a:prstGeom>
                  <a:noFill/>
                  <a:ln>
                    <a:noFill/>
                  </a:ln>
                </pic:spPr>
              </pic:pic>
            </a:graphicData>
          </a:graphic>
        </wp:anchor>
      </w:drawing>
    </w:r>
    <w:r w:rsidRPr="00F26FBE">
      <w:t xml:space="preserve"> </w:t>
    </w:r>
  </w:p>
  <w:p w14:paraId="17757AA7" w14:textId="77777777" w:rsidR="008545C0" w:rsidRDefault="008545C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7274A"/>
    <w:multiLevelType w:val="hybridMultilevel"/>
    <w:tmpl w:val="187C9A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3D19B9"/>
    <w:multiLevelType w:val="hybridMultilevel"/>
    <w:tmpl w:val="F8A69D8C"/>
    <w:lvl w:ilvl="0" w:tplc="7F5AFF6E">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BF604A02">
      <w:numFmt w:val="bullet"/>
      <w:lvlText w:val="•"/>
      <w:lvlJc w:val="left"/>
      <w:pPr>
        <w:ind w:left="1555" w:hanging="360"/>
      </w:pPr>
      <w:rPr>
        <w:rFonts w:hint="default"/>
        <w:lang w:val="es-ES" w:eastAsia="en-US" w:bidi="ar-SA"/>
      </w:rPr>
    </w:lvl>
    <w:lvl w:ilvl="2" w:tplc="C5C0FB6A">
      <w:numFmt w:val="bullet"/>
      <w:lvlText w:val="•"/>
      <w:lvlJc w:val="left"/>
      <w:pPr>
        <w:ind w:left="2390" w:hanging="360"/>
      </w:pPr>
      <w:rPr>
        <w:rFonts w:hint="default"/>
        <w:lang w:val="es-ES" w:eastAsia="en-US" w:bidi="ar-SA"/>
      </w:rPr>
    </w:lvl>
    <w:lvl w:ilvl="3" w:tplc="AB8CA2BA">
      <w:numFmt w:val="bullet"/>
      <w:lvlText w:val="•"/>
      <w:lvlJc w:val="left"/>
      <w:pPr>
        <w:ind w:left="3225" w:hanging="360"/>
      </w:pPr>
      <w:rPr>
        <w:rFonts w:hint="default"/>
        <w:lang w:val="es-ES" w:eastAsia="en-US" w:bidi="ar-SA"/>
      </w:rPr>
    </w:lvl>
    <w:lvl w:ilvl="4" w:tplc="5E7C11CE">
      <w:numFmt w:val="bullet"/>
      <w:lvlText w:val="•"/>
      <w:lvlJc w:val="left"/>
      <w:pPr>
        <w:ind w:left="4060" w:hanging="360"/>
      </w:pPr>
      <w:rPr>
        <w:rFonts w:hint="default"/>
        <w:lang w:val="es-ES" w:eastAsia="en-US" w:bidi="ar-SA"/>
      </w:rPr>
    </w:lvl>
    <w:lvl w:ilvl="5" w:tplc="67303B36">
      <w:numFmt w:val="bullet"/>
      <w:lvlText w:val="•"/>
      <w:lvlJc w:val="left"/>
      <w:pPr>
        <w:ind w:left="4896" w:hanging="360"/>
      </w:pPr>
      <w:rPr>
        <w:rFonts w:hint="default"/>
        <w:lang w:val="es-ES" w:eastAsia="en-US" w:bidi="ar-SA"/>
      </w:rPr>
    </w:lvl>
    <w:lvl w:ilvl="6" w:tplc="E9C8573C">
      <w:numFmt w:val="bullet"/>
      <w:lvlText w:val="•"/>
      <w:lvlJc w:val="left"/>
      <w:pPr>
        <w:ind w:left="5731" w:hanging="360"/>
      </w:pPr>
      <w:rPr>
        <w:rFonts w:hint="default"/>
        <w:lang w:val="es-ES" w:eastAsia="en-US" w:bidi="ar-SA"/>
      </w:rPr>
    </w:lvl>
    <w:lvl w:ilvl="7" w:tplc="079C39BA">
      <w:numFmt w:val="bullet"/>
      <w:lvlText w:val="•"/>
      <w:lvlJc w:val="left"/>
      <w:pPr>
        <w:ind w:left="6566" w:hanging="360"/>
      </w:pPr>
      <w:rPr>
        <w:rFonts w:hint="default"/>
        <w:lang w:val="es-ES" w:eastAsia="en-US" w:bidi="ar-SA"/>
      </w:rPr>
    </w:lvl>
    <w:lvl w:ilvl="8" w:tplc="E3861094">
      <w:numFmt w:val="bullet"/>
      <w:lvlText w:val="•"/>
      <w:lvlJc w:val="left"/>
      <w:pPr>
        <w:ind w:left="7401" w:hanging="360"/>
      </w:pPr>
      <w:rPr>
        <w:rFonts w:hint="default"/>
        <w:lang w:val="es-ES" w:eastAsia="en-US" w:bidi="ar-SA"/>
      </w:rPr>
    </w:lvl>
  </w:abstractNum>
  <w:abstractNum w:abstractNumId="2" w15:restartNumberingAfterBreak="0">
    <w:nsid w:val="122704FF"/>
    <w:multiLevelType w:val="hybridMultilevel"/>
    <w:tmpl w:val="D8666DF2"/>
    <w:lvl w:ilvl="0" w:tplc="06346774">
      <w:start w:val="5"/>
      <w:numFmt w:val="bullet"/>
      <w:lvlText w:val="-"/>
      <w:lvlJc w:val="left"/>
      <w:pPr>
        <w:ind w:left="720" w:hanging="360"/>
      </w:pPr>
      <w:rPr>
        <w:rFonts w:ascii="Arial" w:eastAsia="Arial MT"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8953E1E"/>
    <w:multiLevelType w:val="hybridMultilevel"/>
    <w:tmpl w:val="87ECD464"/>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9894835"/>
    <w:multiLevelType w:val="hybridMultilevel"/>
    <w:tmpl w:val="CE7E45C2"/>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24868AF"/>
    <w:multiLevelType w:val="hybridMultilevel"/>
    <w:tmpl w:val="AFBA0E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CF95889"/>
    <w:multiLevelType w:val="hybridMultilevel"/>
    <w:tmpl w:val="76B0A2C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DBB648C"/>
    <w:multiLevelType w:val="hybridMultilevel"/>
    <w:tmpl w:val="659EE89E"/>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ED64BB1"/>
    <w:multiLevelType w:val="hybridMultilevel"/>
    <w:tmpl w:val="6E76FEC4"/>
    <w:lvl w:ilvl="0" w:tplc="7C904466">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FB719DA"/>
    <w:multiLevelType w:val="hybridMultilevel"/>
    <w:tmpl w:val="CBBA42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FF7764E"/>
    <w:multiLevelType w:val="hybridMultilevel"/>
    <w:tmpl w:val="DE18EB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6C32CD8"/>
    <w:multiLevelType w:val="hybridMultilevel"/>
    <w:tmpl w:val="3B7A305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660D40DE"/>
    <w:multiLevelType w:val="hybridMultilevel"/>
    <w:tmpl w:val="6CFEEE96"/>
    <w:lvl w:ilvl="0" w:tplc="88024D6E">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E17AC97A">
      <w:numFmt w:val="bullet"/>
      <w:lvlText w:val="•"/>
      <w:lvlJc w:val="left"/>
      <w:pPr>
        <w:ind w:left="1555" w:hanging="360"/>
      </w:pPr>
      <w:rPr>
        <w:rFonts w:hint="default"/>
        <w:lang w:val="es-ES" w:eastAsia="en-US" w:bidi="ar-SA"/>
      </w:rPr>
    </w:lvl>
    <w:lvl w:ilvl="2" w:tplc="0882DA42">
      <w:numFmt w:val="bullet"/>
      <w:lvlText w:val="•"/>
      <w:lvlJc w:val="left"/>
      <w:pPr>
        <w:ind w:left="2390" w:hanging="360"/>
      </w:pPr>
      <w:rPr>
        <w:rFonts w:hint="default"/>
        <w:lang w:val="es-ES" w:eastAsia="en-US" w:bidi="ar-SA"/>
      </w:rPr>
    </w:lvl>
    <w:lvl w:ilvl="3" w:tplc="B17E9B4A">
      <w:numFmt w:val="bullet"/>
      <w:lvlText w:val="•"/>
      <w:lvlJc w:val="left"/>
      <w:pPr>
        <w:ind w:left="3225" w:hanging="360"/>
      </w:pPr>
      <w:rPr>
        <w:rFonts w:hint="default"/>
        <w:lang w:val="es-ES" w:eastAsia="en-US" w:bidi="ar-SA"/>
      </w:rPr>
    </w:lvl>
    <w:lvl w:ilvl="4" w:tplc="0E96D80A">
      <w:numFmt w:val="bullet"/>
      <w:lvlText w:val="•"/>
      <w:lvlJc w:val="left"/>
      <w:pPr>
        <w:ind w:left="4060" w:hanging="360"/>
      </w:pPr>
      <w:rPr>
        <w:rFonts w:hint="default"/>
        <w:lang w:val="es-ES" w:eastAsia="en-US" w:bidi="ar-SA"/>
      </w:rPr>
    </w:lvl>
    <w:lvl w:ilvl="5" w:tplc="7826E2F6">
      <w:numFmt w:val="bullet"/>
      <w:lvlText w:val="•"/>
      <w:lvlJc w:val="left"/>
      <w:pPr>
        <w:ind w:left="4896" w:hanging="360"/>
      </w:pPr>
      <w:rPr>
        <w:rFonts w:hint="default"/>
        <w:lang w:val="es-ES" w:eastAsia="en-US" w:bidi="ar-SA"/>
      </w:rPr>
    </w:lvl>
    <w:lvl w:ilvl="6" w:tplc="993ADF72">
      <w:numFmt w:val="bullet"/>
      <w:lvlText w:val="•"/>
      <w:lvlJc w:val="left"/>
      <w:pPr>
        <w:ind w:left="5731" w:hanging="360"/>
      </w:pPr>
      <w:rPr>
        <w:rFonts w:hint="default"/>
        <w:lang w:val="es-ES" w:eastAsia="en-US" w:bidi="ar-SA"/>
      </w:rPr>
    </w:lvl>
    <w:lvl w:ilvl="7" w:tplc="B636E336">
      <w:numFmt w:val="bullet"/>
      <w:lvlText w:val="•"/>
      <w:lvlJc w:val="left"/>
      <w:pPr>
        <w:ind w:left="6566" w:hanging="360"/>
      </w:pPr>
      <w:rPr>
        <w:rFonts w:hint="default"/>
        <w:lang w:val="es-ES" w:eastAsia="en-US" w:bidi="ar-SA"/>
      </w:rPr>
    </w:lvl>
    <w:lvl w:ilvl="8" w:tplc="0AE0B14C">
      <w:numFmt w:val="bullet"/>
      <w:lvlText w:val="•"/>
      <w:lvlJc w:val="left"/>
      <w:pPr>
        <w:ind w:left="7401" w:hanging="360"/>
      </w:pPr>
      <w:rPr>
        <w:rFonts w:hint="default"/>
        <w:lang w:val="es-ES" w:eastAsia="en-US" w:bidi="ar-SA"/>
      </w:rPr>
    </w:lvl>
  </w:abstractNum>
  <w:abstractNum w:abstractNumId="13" w15:restartNumberingAfterBreak="0">
    <w:nsid w:val="7C08144B"/>
    <w:multiLevelType w:val="hybridMultilevel"/>
    <w:tmpl w:val="7590700C"/>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CD371F1"/>
    <w:multiLevelType w:val="hybridMultilevel"/>
    <w:tmpl w:val="EB5E2BFE"/>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75093203">
    <w:abstractNumId w:val="1"/>
  </w:num>
  <w:num w:numId="2" w16cid:durableId="86586371">
    <w:abstractNumId w:val="12"/>
  </w:num>
  <w:num w:numId="3" w16cid:durableId="480078159">
    <w:abstractNumId w:val="10"/>
  </w:num>
  <w:num w:numId="4" w16cid:durableId="698165128">
    <w:abstractNumId w:val="8"/>
  </w:num>
  <w:num w:numId="5" w16cid:durableId="766582793">
    <w:abstractNumId w:val="9"/>
  </w:num>
  <w:num w:numId="6" w16cid:durableId="1837695409">
    <w:abstractNumId w:val="7"/>
  </w:num>
  <w:num w:numId="7" w16cid:durableId="822427800">
    <w:abstractNumId w:val="6"/>
  </w:num>
  <w:num w:numId="8" w16cid:durableId="155341933">
    <w:abstractNumId w:val="5"/>
  </w:num>
  <w:num w:numId="9" w16cid:durableId="1480071399">
    <w:abstractNumId w:val="0"/>
  </w:num>
  <w:num w:numId="10" w16cid:durableId="1674992352">
    <w:abstractNumId w:val="13"/>
  </w:num>
  <w:num w:numId="11" w16cid:durableId="2133329566">
    <w:abstractNumId w:val="2"/>
  </w:num>
  <w:num w:numId="12" w16cid:durableId="1804469330">
    <w:abstractNumId w:val="14"/>
  </w:num>
  <w:num w:numId="13" w16cid:durableId="707337057">
    <w:abstractNumId w:val="11"/>
  </w:num>
  <w:num w:numId="14" w16cid:durableId="1476139753">
    <w:abstractNumId w:val="4"/>
  </w:num>
  <w:num w:numId="15" w16cid:durableId="99303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DA7"/>
    <w:rsid w:val="00141DBB"/>
    <w:rsid w:val="00313355"/>
    <w:rsid w:val="003324FC"/>
    <w:rsid w:val="0056391C"/>
    <w:rsid w:val="0085310E"/>
    <w:rsid w:val="008545C0"/>
    <w:rsid w:val="00854761"/>
    <w:rsid w:val="008933B4"/>
    <w:rsid w:val="00BB3FE2"/>
    <w:rsid w:val="00BE08F5"/>
    <w:rsid w:val="00CB669D"/>
    <w:rsid w:val="00DA241B"/>
    <w:rsid w:val="00DD6851"/>
    <w:rsid w:val="00E428E8"/>
    <w:rsid w:val="00E76DA7"/>
    <w:rsid w:val="00F81D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2B71"/>
  <w15:docId w15:val="{4359EC6C-9AA9-4C95-99EE-090C4CF8B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545C0"/>
    <w:pPr>
      <w:tabs>
        <w:tab w:val="center" w:pos="4252"/>
        <w:tab w:val="right" w:pos="8504"/>
      </w:tabs>
    </w:pPr>
  </w:style>
  <w:style w:type="character" w:customStyle="1" w:styleId="EncabezadoCar">
    <w:name w:val="Encabezado Car"/>
    <w:basedOn w:val="Fuentedeprrafopredeter"/>
    <w:link w:val="Encabezado"/>
    <w:uiPriority w:val="99"/>
    <w:rsid w:val="008545C0"/>
    <w:rPr>
      <w:rFonts w:ascii="Arial MT" w:eastAsia="Arial MT" w:hAnsi="Arial MT" w:cs="Arial MT"/>
      <w:lang w:val="es-ES"/>
    </w:rPr>
  </w:style>
  <w:style w:type="paragraph" w:styleId="Piedepgina">
    <w:name w:val="footer"/>
    <w:basedOn w:val="Normal"/>
    <w:link w:val="PiedepginaCar"/>
    <w:uiPriority w:val="99"/>
    <w:unhideWhenUsed/>
    <w:rsid w:val="008545C0"/>
    <w:pPr>
      <w:tabs>
        <w:tab w:val="center" w:pos="4252"/>
        <w:tab w:val="right" w:pos="8504"/>
      </w:tabs>
    </w:pPr>
  </w:style>
  <w:style w:type="character" w:customStyle="1" w:styleId="PiedepginaCar">
    <w:name w:val="Pie de página Car"/>
    <w:basedOn w:val="Fuentedeprrafopredeter"/>
    <w:link w:val="Piedepgina"/>
    <w:uiPriority w:val="99"/>
    <w:rsid w:val="008545C0"/>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804</Words>
  <Characters>4424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Kevin Velasquez Rojas;administracion@agrominperu.com</dc:creator>
  <cp:lastModifiedBy>Gongora Flores, Juan</cp:lastModifiedBy>
  <cp:revision>5</cp:revision>
  <dcterms:created xsi:type="dcterms:W3CDTF">2025-05-16T16:38:00Z</dcterms:created>
  <dcterms:modified xsi:type="dcterms:W3CDTF">2025-05-16T18:06:00Z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2025-05-16T00:00:00Z</vt:filetime>
  </property>
  <property fmtid="{D5CDD505-2E9C-101B-9397-08002B2CF9AE}" pid="5" name="Producer">
    <vt:lpwstr>Microsoft® Word 2019</vt:lpwstr>
  </property>
</Properties>
</file>