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748A" w14:textId="77777777" w:rsidR="006D4614" w:rsidRPr="00242E97" w:rsidRDefault="00901B6B" w:rsidP="00A61A2E">
      <w:pPr>
        <w:spacing w:before="120" w:line="360" w:lineRule="auto"/>
        <w:rPr>
          <w:rFonts w:ascii="Arial" w:hAnsi="Arial" w:cs="Arial"/>
          <w:bCs/>
          <w:sz w:val="22"/>
          <w:szCs w:val="22"/>
        </w:rPr>
      </w:pPr>
      <w:r w:rsidRPr="00242E97">
        <w:rPr>
          <w:rFonts w:ascii="Arial" w:hAnsi="Arial" w:cs="Arial"/>
          <w:b/>
          <w:sz w:val="22"/>
          <w:szCs w:val="22"/>
        </w:rPr>
        <w:t>Título:</w:t>
      </w:r>
      <w:r w:rsidRPr="00242E97">
        <w:rPr>
          <w:rFonts w:ascii="Arial" w:hAnsi="Arial" w:cs="Arial"/>
          <w:bCs/>
          <w:sz w:val="22"/>
          <w:szCs w:val="22"/>
        </w:rPr>
        <w:t xml:space="preserve"> Análisis de Estabilidad</w:t>
      </w:r>
      <w:r w:rsidRPr="00242E97">
        <w:rPr>
          <w:rFonts w:ascii="Arial" w:hAnsi="Arial" w:cs="Arial"/>
          <w:sz w:val="22"/>
          <w:szCs w:val="22"/>
        </w:rPr>
        <w:t xml:space="preserve"> </w:t>
      </w:r>
      <w:r w:rsidRPr="00242E97">
        <w:rPr>
          <w:rFonts w:ascii="Arial" w:hAnsi="Arial" w:cs="Arial"/>
          <w:bCs/>
          <w:sz w:val="22"/>
          <w:szCs w:val="22"/>
        </w:rPr>
        <w:t>Determinístico por Equilibrio Límite y Probabilístico por Elementos Finitos de Taludes en las Canteras de Añashuayco, Ruta del Sillar - Arequipa, Perú</w:t>
      </w:r>
    </w:p>
    <w:p w14:paraId="1F302AE3" w14:textId="5E0BC2CF" w:rsidR="00E42DE8" w:rsidRPr="00242E97" w:rsidRDefault="00901B6B" w:rsidP="00A61A2E">
      <w:pPr>
        <w:spacing w:before="120" w:line="360" w:lineRule="auto"/>
        <w:rPr>
          <w:rFonts w:ascii="Arial" w:hAnsi="Arial" w:cs="Arial"/>
          <w:sz w:val="22"/>
          <w:szCs w:val="22"/>
        </w:rPr>
      </w:pPr>
      <w:r w:rsidRPr="00242E97">
        <w:rPr>
          <w:rFonts w:ascii="Arial" w:hAnsi="Arial" w:cs="Arial"/>
          <w:b/>
          <w:bCs/>
          <w:sz w:val="22"/>
          <w:szCs w:val="22"/>
        </w:rPr>
        <w:t xml:space="preserve">Tema: </w:t>
      </w:r>
      <w:r w:rsidRPr="00242E97">
        <w:rPr>
          <w:rFonts w:ascii="Arial" w:hAnsi="Arial" w:cs="Arial"/>
          <w:sz w:val="22"/>
          <w:szCs w:val="22"/>
        </w:rPr>
        <w:t>ESG (</w:t>
      </w:r>
      <w:proofErr w:type="spellStart"/>
      <w:r w:rsidRPr="00242E97">
        <w:rPr>
          <w:rFonts w:ascii="Arial" w:hAnsi="Arial" w:cs="Arial"/>
          <w:sz w:val="22"/>
          <w:szCs w:val="22"/>
        </w:rPr>
        <w:t>Environmental</w:t>
      </w:r>
      <w:proofErr w:type="spellEnd"/>
      <w:r w:rsidRPr="00242E97">
        <w:rPr>
          <w:rFonts w:ascii="Arial" w:hAnsi="Arial" w:cs="Arial"/>
          <w:sz w:val="22"/>
          <w:szCs w:val="22"/>
        </w:rPr>
        <w:t xml:space="preserve">, Social, </w:t>
      </w:r>
      <w:proofErr w:type="spellStart"/>
      <w:r w:rsidRPr="00242E97">
        <w:rPr>
          <w:rFonts w:ascii="Arial" w:hAnsi="Arial" w:cs="Arial"/>
          <w:sz w:val="22"/>
          <w:szCs w:val="22"/>
        </w:rPr>
        <w:t>Governance</w:t>
      </w:r>
      <w:proofErr w:type="spellEnd"/>
      <w:r w:rsidRPr="00242E97">
        <w:rPr>
          <w:rFonts w:ascii="Arial" w:hAnsi="Arial" w:cs="Arial"/>
          <w:sz w:val="22"/>
          <w:szCs w:val="22"/>
        </w:rPr>
        <w:t>)</w:t>
      </w:r>
    </w:p>
    <w:p w14:paraId="4059D2CF" w14:textId="634049B8" w:rsidR="00A61A2E" w:rsidRPr="00242E97" w:rsidRDefault="00901B6B" w:rsidP="006D4614">
      <w:pPr>
        <w:spacing w:line="360" w:lineRule="auto"/>
        <w:jc w:val="both"/>
        <w:rPr>
          <w:rFonts w:ascii="Arial" w:hAnsi="Arial" w:cs="Arial"/>
          <w:sz w:val="22"/>
          <w:szCs w:val="22"/>
        </w:rPr>
      </w:pPr>
      <w:r w:rsidRPr="00242E97">
        <w:rPr>
          <w:rFonts w:ascii="Arial" w:hAnsi="Arial" w:cs="Arial"/>
          <w:b/>
          <w:bCs/>
          <w:sz w:val="22"/>
          <w:szCs w:val="22"/>
        </w:rPr>
        <w:t>Palabras claves:</w:t>
      </w:r>
      <w:r w:rsidRPr="00242E97">
        <w:rPr>
          <w:rFonts w:ascii="Arial" w:hAnsi="Arial" w:cs="Arial"/>
          <w:sz w:val="22"/>
          <w:szCs w:val="22"/>
        </w:rPr>
        <w:t xml:space="preserve"> Macizo Rocoso, </w:t>
      </w:r>
      <w:r w:rsidR="00242E97" w:rsidRPr="00242E97">
        <w:rPr>
          <w:rFonts w:ascii="Arial" w:hAnsi="Arial" w:cs="Arial"/>
          <w:sz w:val="22"/>
          <w:szCs w:val="22"/>
        </w:rPr>
        <w:t>i</w:t>
      </w:r>
      <w:r w:rsidRPr="00242E97">
        <w:rPr>
          <w:rFonts w:ascii="Arial" w:hAnsi="Arial" w:cs="Arial"/>
          <w:sz w:val="22"/>
          <w:szCs w:val="22"/>
        </w:rPr>
        <w:t xml:space="preserve">gnimbrita, </w:t>
      </w:r>
      <w:r w:rsidR="00242E97" w:rsidRPr="00242E97">
        <w:rPr>
          <w:rFonts w:ascii="Arial" w:hAnsi="Arial" w:cs="Arial"/>
          <w:sz w:val="22"/>
          <w:szCs w:val="22"/>
        </w:rPr>
        <w:t>e</w:t>
      </w:r>
      <w:r w:rsidRPr="00242E97">
        <w:rPr>
          <w:rFonts w:ascii="Arial" w:hAnsi="Arial" w:cs="Arial"/>
          <w:sz w:val="22"/>
          <w:szCs w:val="22"/>
        </w:rPr>
        <w:t xml:space="preserve">stabilidad de </w:t>
      </w:r>
      <w:r w:rsidR="00242E97" w:rsidRPr="00242E97">
        <w:rPr>
          <w:rFonts w:ascii="Arial" w:hAnsi="Arial" w:cs="Arial"/>
          <w:sz w:val="22"/>
          <w:szCs w:val="22"/>
        </w:rPr>
        <w:t>t</w:t>
      </w:r>
      <w:r w:rsidRPr="00242E97">
        <w:rPr>
          <w:rFonts w:ascii="Arial" w:hAnsi="Arial" w:cs="Arial"/>
          <w:sz w:val="22"/>
          <w:szCs w:val="22"/>
        </w:rPr>
        <w:t>aludes, Método de Equilibrio Límite (MEL), Elementos Finitos (MEF), Factor de Seguridad (FS), Factor de Reducción de Resistencia (SRF), Probabilidad de Falla (PoF).</w:t>
      </w:r>
    </w:p>
    <w:p w14:paraId="00CD8DA0" w14:textId="25BB9ABF" w:rsidR="00A61A2E" w:rsidRDefault="00A61A2E" w:rsidP="006D4614">
      <w:pPr>
        <w:spacing w:line="360" w:lineRule="auto"/>
        <w:jc w:val="both"/>
        <w:rPr>
          <w:rFonts w:ascii="Arial" w:hAnsi="Arial" w:cs="Arial"/>
          <w:sz w:val="22"/>
          <w:szCs w:val="22"/>
        </w:rPr>
      </w:pPr>
      <w:r w:rsidRPr="00242E97">
        <w:rPr>
          <w:rFonts w:ascii="Arial" w:hAnsi="Arial" w:cs="Arial"/>
          <w:b/>
          <w:bCs/>
          <w:sz w:val="22"/>
          <w:szCs w:val="22"/>
        </w:rPr>
        <w:t xml:space="preserve">Datos del autor y coautores: </w:t>
      </w:r>
      <w:r w:rsidRPr="00242E97">
        <w:rPr>
          <w:rFonts w:ascii="Arial" w:hAnsi="Arial" w:cs="Arial"/>
          <w:sz w:val="22"/>
          <w:szCs w:val="22"/>
        </w:rPr>
        <w:t>Fernando Davor Mango Álvarez</w:t>
      </w:r>
      <w:r w:rsidRPr="00242E97">
        <w:rPr>
          <w:rFonts w:ascii="Arial" w:hAnsi="Arial" w:cs="Arial"/>
          <w:sz w:val="22"/>
          <w:szCs w:val="22"/>
          <w:vertAlign w:val="superscript"/>
        </w:rPr>
        <w:t>1</w:t>
      </w:r>
      <w:r w:rsidRPr="00242E97">
        <w:rPr>
          <w:rFonts w:ascii="Arial" w:hAnsi="Arial" w:cs="Arial"/>
          <w:sz w:val="22"/>
          <w:szCs w:val="22"/>
        </w:rPr>
        <w:t>, Ana Cecilia Tunquipa Huicho</w:t>
      </w:r>
      <w:r w:rsidRPr="00242E97">
        <w:rPr>
          <w:rFonts w:ascii="Arial" w:hAnsi="Arial" w:cs="Arial"/>
          <w:sz w:val="22"/>
          <w:szCs w:val="22"/>
          <w:vertAlign w:val="superscript"/>
        </w:rPr>
        <w:t>2</w:t>
      </w:r>
      <w:r w:rsidRPr="00242E97">
        <w:rPr>
          <w:rFonts w:ascii="Arial" w:hAnsi="Arial" w:cs="Arial"/>
          <w:sz w:val="22"/>
          <w:szCs w:val="22"/>
        </w:rPr>
        <w:t>, Carlos Belleza Villafuerte</w:t>
      </w:r>
      <w:r w:rsidR="00EF7A49">
        <w:rPr>
          <w:rFonts w:ascii="Arial" w:hAnsi="Arial" w:cs="Arial"/>
          <w:sz w:val="22"/>
          <w:szCs w:val="22"/>
          <w:vertAlign w:val="superscript"/>
        </w:rPr>
        <w:t>3</w:t>
      </w:r>
      <w:r w:rsidRPr="00242E97">
        <w:rPr>
          <w:rFonts w:ascii="Arial" w:hAnsi="Arial" w:cs="Arial"/>
          <w:sz w:val="22"/>
          <w:szCs w:val="22"/>
        </w:rPr>
        <w:t xml:space="preserve"> </w:t>
      </w:r>
    </w:p>
    <w:p w14:paraId="68BED60A" w14:textId="77777777" w:rsidR="00A61A2E" w:rsidRPr="00242E97" w:rsidRDefault="00A61A2E" w:rsidP="00A61A2E">
      <w:pPr>
        <w:spacing w:line="360" w:lineRule="auto"/>
        <w:ind w:left="142" w:hanging="142"/>
        <w:jc w:val="both"/>
        <w:rPr>
          <w:rFonts w:ascii="Arial" w:hAnsi="Arial" w:cs="Arial"/>
          <w:sz w:val="22"/>
          <w:szCs w:val="22"/>
        </w:rPr>
      </w:pPr>
      <w:r w:rsidRPr="00242E97">
        <w:rPr>
          <w:rFonts w:ascii="Arial" w:hAnsi="Arial" w:cs="Arial"/>
          <w:sz w:val="22"/>
          <w:szCs w:val="22"/>
          <w:vertAlign w:val="superscript"/>
        </w:rPr>
        <w:t>1</w:t>
      </w:r>
      <w:bookmarkStart w:id="0" w:name="_Hlk101199323"/>
      <w:r w:rsidRPr="00242E97">
        <w:rPr>
          <w:rFonts w:ascii="Arial" w:hAnsi="Arial" w:cs="Arial"/>
          <w:sz w:val="22"/>
          <w:szCs w:val="22"/>
        </w:rPr>
        <w:t xml:space="preserve">Geokorn, Ingeniero </w:t>
      </w:r>
      <w:proofErr w:type="spellStart"/>
      <w:r w:rsidRPr="00242E97">
        <w:rPr>
          <w:rFonts w:ascii="Arial" w:hAnsi="Arial" w:cs="Arial"/>
          <w:sz w:val="22"/>
          <w:szCs w:val="22"/>
        </w:rPr>
        <w:t>Geomecánico</w:t>
      </w:r>
      <w:proofErr w:type="spellEnd"/>
      <w:r w:rsidRPr="00242E97">
        <w:rPr>
          <w:rFonts w:ascii="Arial" w:hAnsi="Arial" w:cs="Arial"/>
          <w:sz w:val="22"/>
          <w:szCs w:val="22"/>
        </w:rPr>
        <w:t xml:space="preserve">, Av. Cesar Vallejo 801, Socabaya, Arequipa, </w:t>
      </w:r>
      <w:bookmarkEnd w:id="0"/>
      <w:r w:rsidRPr="00242E97">
        <w:rPr>
          <w:rFonts w:ascii="Arial" w:hAnsi="Arial" w:cs="Arial"/>
          <w:sz w:val="22"/>
          <w:szCs w:val="22"/>
        </w:rPr>
        <w:fldChar w:fldCharType="begin"/>
      </w:r>
      <w:r w:rsidRPr="00242E97">
        <w:rPr>
          <w:rFonts w:ascii="Arial" w:hAnsi="Arial" w:cs="Arial"/>
          <w:sz w:val="22"/>
          <w:szCs w:val="22"/>
        </w:rPr>
        <w:instrText xml:space="preserve"> HYPERLINK "mailto:fmangoalvarez@gmail.com" </w:instrText>
      </w:r>
      <w:r w:rsidRPr="00242E97">
        <w:rPr>
          <w:rFonts w:ascii="Arial" w:hAnsi="Arial" w:cs="Arial"/>
          <w:sz w:val="22"/>
          <w:szCs w:val="22"/>
        </w:rPr>
      </w:r>
      <w:r w:rsidRPr="00242E97">
        <w:rPr>
          <w:rFonts w:ascii="Arial" w:hAnsi="Arial" w:cs="Arial"/>
          <w:sz w:val="22"/>
          <w:szCs w:val="22"/>
        </w:rPr>
        <w:fldChar w:fldCharType="separate"/>
      </w:r>
      <w:r w:rsidRPr="00242E97">
        <w:rPr>
          <w:rStyle w:val="Hipervnculo"/>
          <w:rFonts w:ascii="Arial" w:hAnsi="Arial" w:cs="Arial"/>
          <w:sz w:val="22"/>
          <w:szCs w:val="22"/>
        </w:rPr>
        <w:t>fmangoalvarez@gmail.com</w:t>
      </w:r>
      <w:r w:rsidRPr="00242E97">
        <w:rPr>
          <w:rFonts w:ascii="Arial" w:hAnsi="Arial" w:cs="Arial"/>
          <w:sz w:val="22"/>
          <w:szCs w:val="22"/>
        </w:rPr>
        <w:fldChar w:fldCharType="end"/>
      </w:r>
      <w:r w:rsidRPr="00242E97">
        <w:rPr>
          <w:rFonts w:ascii="Arial" w:hAnsi="Arial" w:cs="Arial"/>
          <w:sz w:val="22"/>
          <w:szCs w:val="22"/>
        </w:rPr>
        <w:t xml:space="preserve"> y +51 981268668 </w:t>
      </w:r>
    </w:p>
    <w:p w14:paraId="7C263032" w14:textId="22F8BCD9" w:rsidR="00A61A2E" w:rsidRDefault="00EF7A49" w:rsidP="00A61A2E">
      <w:pPr>
        <w:spacing w:line="360" w:lineRule="auto"/>
        <w:ind w:left="142" w:hanging="142"/>
        <w:jc w:val="both"/>
        <w:rPr>
          <w:rFonts w:ascii="Arial" w:hAnsi="Arial" w:cs="Arial"/>
          <w:sz w:val="22"/>
          <w:szCs w:val="22"/>
        </w:rPr>
      </w:pPr>
      <w:r>
        <w:rPr>
          <w:rFonts w:ascii="Arial" w:hAnsi="Arial" w:cs="Arial"/>
          <w:sz w:val="22"/>
          <w:szCs w:val="22"/>
          <w:vertAlign w:val="superscript"/>
        </w:rPr>
        <w:t>3</w:t>
      </w:r>
      <w:r w:rsidR="00A61A2E" w:rsidRPr="00242E97">
        <w:rPr>
          <w:rFonts w:ascii="Arial" w:hAnsi="Arial" w:cs="Arial"/>
          <w:sz w:val="22"/>
          <w:szCs w:val="22"/>
        </w:rPr>
        <w:t xml:space="preserve">Anddes SAC, Ingeniero Geotécnico, Capital Golf, Av. Club Golf los Incas, Santiago de Surco 15046, </w:t>
      </w:r>
      <w:hyperlink r:id="rId5" w:history="1">
        <w:r w:rsidR="00A61A2E" w:rsidRPr="00242E97">
          <w:rPr>
            <w:rStyle w:val="Hipervnculo"/>
            <w:rFonts w:ascii="Arial" w:hAnsi="Arial" w:cs="Arial"/>
            <w:sz w:val="22"/>
            <w:szCs w:val="22"/>
          </w:rPr>
          <w:t>carlos.belleza@anddes.com</w:t>
        </w:r>
      </w:hyperlink>
      <w:r w:rsidR="00A61A2E" w:rsidRPr="00242E97">
        <w:rPr>
          <w:rFonts w:ascii="Arial" w:hAnsi="Arial" w:cs="Arial"/>
          <w:sz w:val="22"/>
          <w:szCs w:val="22"/>
        </w:rPr>
        <w:t xml:space="preserve"> y +51 941392989</w:t>
      </w:r>
    </w:p>
    <w:p w14:paraId="2F767F43" w14:textId="504E4FDA" w:rsidR="009D1E76" w:rsidRPr="009D1E76" w:rsidRDefault="009D1E76" w:rsidP="00A61A2E">
      <w:pPr>
        <w:spacing w:line="360" w:lineRule="auto"/>
        <w:ind w:left="142" w:hanging="142"/>
        <w:jc w:val="both"/>
        <w:rPr>
          <w:rFonts w:ascii="Arial" w:hAnsi="Arial" w:cs="Arial"/>
          <w:sz w:val="22"/>
          <w:szCs w:val="22"/>
          <w:vertAlign w:val="superscript"/>
        </w:rPr>
      </w:pPr>
      <w:r w:rsidRPr="00242E97">
        <w:rPr>
          <w:rFonts w:ascii="Arial" w:hAnsi="Arial" w:cs="Arial"/>
          <w:sz w:val="22"/>
          <w:szCs w:val="22"/>
          <w:vertAlign w:val="superscript"/>
        </w:rPr>
        <w:t>2</w:t>
      </w:r>
      <w:r w:rsidRPr="009D1E76">
        <w:rPr>
          <w:rFonts w:ascii="Arial" w:hAnsi="Arial" w:cs="Arial"/>
          <w:sz w:val="22"/>
          <w:szCs w:val="22"/>
          <w:vertAlign w:val="superscript"/>
        </w:rPr>
        <w:t>Ingeotecnia SAC</w:t>
      </w:r>
      <w:r>
        <w:rPr>
          <w:rFonts w:ascii="Arial" w:hAnsi="Arial" w:cs="Arial"/>
          <w:sz w:val="22"/>
          <w:szCs w:val="22"/>
          <w:vertAlign w:val="superscript"/>
        </w:rPr>
        <w:t xml:space="preserve">, </w:t>
      </w:r>
      <w:r w:rsidRPr="009D1E76">
        <w:rPr>
          <w:rFonts w:ascii="Arial" w:hAnsi="Arial" w:cs="Arial"/>
          <w:sz w:val="22"/>
          <w:szCs w:val="22"/>
          <w:vertAlign w:val="superscript"/>
        </w:rPr>
        <w:t>Asistente de Recursos Hídricos</w:t>
      </w:r>
      <w:r>
        <w:rPr>
          <w:rFonts w:ascii="Arial" w:hAnsi="Arial" w:cs="Arial"/>
          <w:sz w:val="22"/>
          <w:szCs w:val="22"/>
          <w:vertAlign w:val="superscript"/>
        </w:rPr>
        <w:t xml:space="preserve">, </w:t>
      </w:r>
      <w:hyperlink r:id="rId6" w:history="1">
        <w:r w:rsidRPr="009D1E76">
          <w:t>Anacetunquipa@hotmail.com</w:t>
        </w:r>
      </w:hyperlink>
      <w:r>
        <w:rPr>
          <w:rFonts w:ascii="Arial" w:hAnsi="Arial" w:cs="Arial"/>
          <w:sz w:val="22"/>
          <w:szCs w:val="22"/>
          <w:vertAlign w:val="superscript"/>
        </w:rPr>
        <w:t xml:space="preserve">, </w:t>
      </w:r>
      <w:r w:rsidRPr="009D1E76">
        <w:rPr>
          <w:rFonts w:ascii="Arial" w:hAnsi="Arial" w:cs="Arial"/>
          <w:sz w:val="22"/>
          <w:szCs w:val="22"/>
          <w:vertAlign w:val="superscript"/>
        </w:rPr>
        <w:t>+51929380650</w:t>
      </w:r>
    </w:p>
    <w:p w14:paraId="6013EF6A" w14:textId="77777777" w:rsidR="00A61A2E" w:rsidRPr="00242E97" w:rsidRDefault="00A61A2E" w:rsidP="006D4614">
      <w:pPr>
        <w:spacing w:line="360" w:lineRule="auto"/>
        <w:jc w:val="both"/>
        <w:rPr>
          <w:rFonts w:ascii="Arial" w:hAnsi="Arial" w:cs="Arial"/>
          <w:b/>
          <w:bCs/>
          <w:sz w:val="22"/>
          <w:szCs w:val="22"/>
        </w:rPr>
      </w:pPr>
      <w:r w:rsidRPr="00242E97">
        <w:rPr>
          <w:rFonts w:ascii="Arial" w:hAnsi="Arial" w:cs="Arial"/>
          <w:b/>
          <w:bCs/>
          <w:sz w:val="22"/>
          <w:szCs w:val="22"/>
        </w:rPr>
        <w:t>Reseña profesional:</w:t>
      </w:r>
    </w:p>
    <w:p w14:paraId="77D49C15" w14:textId="3B718761" w:rsidR="00A61A2E" w:rsidRPr="00242E97" w:rsidRDefault="00A61A2E" w:rsidP="00A61A2E">
      <w:pPr>
        <w:spacing w:line="360" w:lineRule="auto"/>
        <w:ind w:left="142" w:hanging="142"/>
        <w:jc w:val="both"/>
        <w:rPr>
          <w:rFonts w:ascii="Arial" w:hAnsi="Arial" w:cs="Arial"/>
          <w:sz w:val="22"/>
          <w:szCs w:val="22"/>
        </w:rPr>
      </w:pPr>
      <w:r w:rsidRPr="00242E97">
        <w:rPr>
          <w:rFonts w:ascii="Arial" w:hAnsi="Arial" w:cs="Arial"/>
          <w:sz w:val="22"/>
          <w:szCs w:val="22"/>
          <w:vertAlign w:val="superscript"/>
        </w:rPr>
        <w:t>1</w:t>
      </w:r>
      <w:r w:rsidR="00EF7A49">
        <w:rPr>
          <w:rFonts w:ascii="Arial" w:hAnsi="Arial" w:cs="Arial"/>
          <w:sz w:val="22"/>
          <w:szCs w:val="22"/>
          <w:vertAlign w:val="superscript"/>
        </w:rPr>
        <w:t xml:space="preserve"> </w:t>
      </w:r>
      <w:r w:rsidRPr="00242E97">
        <w:rPr>
          <w:rFonts w:ascii="Arial" w:hAnsi="Arial" w:cs="Arial"/>
          <w:sz w:val="22"/>
          <w:szCs w:val="22"/>
        </w:rPr>
        <w:t>Ingeniero Geotécnico - Geomecánico con formación académica y experiencia especializada en el sector minero. Complementó su formación con una especialización de Estabilidad de Taludes por la Fundación Universidad de Oviedo (España), actualmente cursa una especialización de Ingeniería Geomecánica Minera. Se desempeña como Ingeniero Geomecánico en Anddes SAC, brindando servicios de consultoría especializada para operaciones mineras a tajo abierto.</w:t>
      </w:r>
    </w:p>
    <w:p w14:paraId="27870FBE" w14:textId="77777777" w:rsidR="00901B6B" w:rsidRPr="00242E97" w:rsidRDefault="00901B6B" w:rsidP="00901B6B">
      <w:pPr>
        <w:spacing w:before="120" w:line="360" w:lineRule="auto"/>
        <w:rPr>
          <w:rFonts w:ascii="Arial" w:hAnsi="Arial" w:cs="Arial"/>
          <w:bCs/>
          <w:sz w:val="22"/>
          <w:szCs w:val="22"/>
        </w:rPr>
      </w:pPr>
      <w:bookmarkStart w:id="1" w:name="_Hlk195620020"/>
      <w:r w:rsidRPr="00242E97">
        <w:rPr>
          <w:rFonts w:ascii="Arial" w:hAnsi="Arial" w:cs="Arial"/>
          <w:b/>
          <w:sz w:val="22"/>
          <w:szCs w:val="22"/>
        </w:rPr>
        <w:t>Título:</w:t>
      </w:r>
      <w:r w:rsidRPr="00242E97">
        <w:rPr>
          <w:rFonts w:ascii="Arial" w:hAnsi="Arial" w:cs="Arial"/>
          <w:bCs/>
          <w:sz w:val="22"/>
          <w:szCs w:val="22"/>
        </w:rPr>
        <w:t xml:space="preserve"> Análisis de Estabilidad</w:t>
      </w:r>
      <w:r w:rsidRPr="00242E97">
        <w:rPr>
          <w:rFonts w:ascii="Arial" w:hAnsi="Arial" w:cs="Arial"/>
          <w:sz w:val="22"/>
          <w:szCs w:val="22"/>
        </w:rPr>
        <w:t xml:space="preserve"> </w:t>
      </w:r>
      <w:r w:rsidRPr="00242E97">
        <w:rPr>
          <w:rFonts w:ascii="Arial" w:hAnsi="Arial" w:cs="Arial"/>
          <w:bCs/>
          <w:sz w:val="22"/>
          <w:szCs w:val="22"/>
        </w:rPr>
        <w:t>Determinístico por Equilibrio Límite y Probabilístico por Elementos Finitos de Taludes en las Canteras de Añashuayco, Ruta del Sillar - Arequipa, Perú</w:t>
      </w:r>
    </w:p>
    <w:p w14:paraId="78F69A36" w14:textId="77777777" w:rsidR="00901B6B" w:rsidRPr="00242E97" w:rsidRDefault="00901B6B" w:rsidP="00901B6B">
      <w:pPr>
        <w:spacing w:line="360" w:lineRule="auto"/>
        <w:jc w:val="both"/>
        <w:rPr>
          <w:rFonts w:ascii="Arial" w:hAnsi="Arial" w:cs="Arial"/>
          <w:b/>
          <w:bCs/>
          <w:sz w:val="22"/>
          <w:szCs w:val="22"/>
        </w:rPr>
      </w:pPr>
    </w:p>
    <w:p w14:paraId="7F734B25" w14:textId="58762D66" w:rsidR="00901B6B" w:rsidRPr="00242E97" w:rsidRDefault="00901B6B" w:rsidP="00901B6B">
      <w:pPr>
        <w:spacing w:line="360" w:lineRule="auto"/>
        <w:jc w:val="both"/>
        <w:rPr>
          <w:rFonts w:ascii="Arial" w:hAnsi="Arial" w:cs="Arial"/>
          <w:b/>
          <w:bCs/>
          <w:sz w:val="22"/>
          <w:szCs w:val="22"/>
        </w:rPr>
      </w:pPr>
      <w:r w:rsidRPr="00242E97">
        <w:rPr>
          <w:rFonts w:ascii="Arial" w:hAnsi="Arial" w:cs="Arial"/>
          <w:b/>
          <w:bCs/>
          <w:sz w:val="22"/>
          <w:szCs w:val="22"/>
        </w:rPr>
        <w:t>1. RESUMEN</w:t>
      </w:r>
    </w:p>
    <w:p w14:paraId="0302397B" w14:textId="17363D70" w:rsidR="006D4614" w:rsidRPr="00242E97" w:rsidRDefault="006D4614" w:rsidP="006D4614">
      <w:pPr>
        <w:spacing w:line="360" w:lineRule="auto"/>
        <w:ind w:firstLine="142"/>
        <w:jc w:val="both"/>
        <w:rPr>
          <w:rFonts w:ascii="Arial" w:hAnsi="Arial" w:cs="Arial"/>
          <w:bCs/>
          <w:sz w:val="22"/>
          <w:szCs w:val="22"/>
        </w:rPr>
      </w:pPr>
      <w:r w:rsidRPr="00242E97">
        <w:rPr>
          <w:rFonts w:ascii="Arial" w:hAnsi="Arial" w:cs="Arial"/>
          <w:bCs/>
          <w:sz w:val="22"/>
          <w:szCs w:val="22"/>
        </w:rPr>
        <w:t>El presente artículo consiste en evaluar la estabilidad física de taludes de las canteras de Añashuayco, es por ello que se ha tomado en cuenta el método de equilibrio límite (MEL) y método por elementos finitos (MEF) en macizos rocosos. Obteniéndose el factor de seguridad (FS), factor de reducción de resistencia (SRF) y probabilidad de falla (PoF), cuyos resultados permiten entender la estabilidad física de los taludes en roca de la zona de estudio.</w:t>
      </w:r>
    </w:p>
    <w:p w14:paraId="2082E4D3" w14:textId="16DFAE3B" w:rsidR="00E42DE8" w:rsidRPr="00242E97" w:rsidRDefault="006D4614" w:rsidP="006D4614">
      <w:pPr>
        <w:spacing w:line="360" w:lineRule="auto"/>
        <w:ind w:firstLine="142"/>
        <w:jc w:val="both"/>
        <w:rPr>
          <w:rFonts w:ascii="Arial" w:hAnsi="Arial" w:cs="Arial"/>
          <w:bCs/>
          <w:sz w:val="22"/>
          <w:szCs w:val="22"/>
        </w:rPr>
      </w:pPr>
      <w:r w:rsidRPr="00242E97">
        <w:rPr>
          <w:rFonts w:ascii="Arial" w:hAnsi="Arial" w:cs="Arial"/>
          <w:bCs/>
          <w:sz w:val="22"/>
          <w:szCs w:val="22"/>
        </w:rPr>
        <w:t>Se realizó el análisis de estabilidad física de taludes del macizo rocoso en base a MEL y MEF, cuyos resultados en condiciones estáticas son: FS=1.66 (MEL), SRF=1.42 y PoF=0.00% (MEF); y condiciones pseudoestáticas son: FS=1.32 (MEL), SRF=1.10 y PoF=22.23% (MEF). Se concluye que los taludes de las canteras de Añashuayco presentan inestabilidad en condiciones estáticas y pseudoestáticas por MEF, según los FS mínimos permisibles establecidos. Es por ello que se recomienda medidas de estabilización (sistema de drenaje, refuerzo estructural, monitoreo instrumental, entre otros).</w:t>
      </w:r>
    </w:p>
    <w:p w14:paraId="57E96D73" w14:textId="08B2AAC4" w:rsidR="00901B6B" w:rsidRPr="00242E97" w:rsidRDefault="00901B6B" w:rsidP="00901B6B">
      <w:pPr>
        <w:spacing w:line="360" w:lineRule="auto"/>
        <w:jc w:val="both"/>
        <w:rPr>
          <w:rFonts w:ascii="Arial" w:hAnsi="Arial" w:cs="Arial"/>
          <w:b/>
          <w:bCs/>
          <w:sz w:val="22"/>
          <w:szCs w:val="22"/>
        </w:rPr>
      </w:pPr>
      <w:r w:rsidRPr="00242E97">
        <w:rPr>
          <w:rFonts w:ascii="Arial" w:hAnsi="Arial" w:cs="Arial"/>
          <w:b/>
          <w:bCs/>
          <w:sz w:val="22"/>
          <w:szCs w:val="22"/>
        </w:rPr>
        <w:t>2. INTRODUCCIÓN</w:t>
      </w:r>
    </w:p>
    <w:p w14:paraId="3118BAE8" w14:textId="552B16BC"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Las canteras de Añashuayco "La Ruta del Sillar", en Arequipa, son un recurso clave para la extracción de sillar (ignimbrita blanca), roca volcánica usada históricamente en la construcción del centro histórico, declarado Patrimonio Cultural de la Humanidad por la UNESCO. Sin embargo, enfrentan graves problemas de inestabilidad geotécnica debido a factores naturales (como la erosión y la alta sismicidad) </w:t>
      </w:r>
      <w:r w:rsidRPr="00242E97">
        <w:rPr>
          <w:rFonts w:ascii="Arial" w:hAnsi="Arial" w:cs="Arial"/>
          <w:bCs/>
          <w:sz w:val="22"/>
          <w:szCs w:val="22"/>
        </w:rPr>
        <w:lastRenderedPageBreak/>
        <w:t>y antrópicos (explotación informal y falta de planificación), lo que genera taludes con pendientes críticas, riesgo de caída de rocas y derrumbes. Un estudio de estabilidad de taludes es esencial para identificar riesgos, proponer medidas correctivas y garantizar una explotación segura y sostenible, protegiendo vidas humanas, infraestructura y el legado histórico de Arequipa.</w:t>
      </w:r>
    </w:p>
    <w:p w14:paraId="1E1E2300" w14:textId="60C38941" w:rsidR="00901B6B" w:rsidRPr="00242E97" w:rsidRDefault="00E42DE8" w:rsidP="00901B6B">
      <w:pPr>
        <w:spacing w:line="360" w:lineRule="auto"/>
        <w:jc w:val="both"/>
        <w:rPr>
          <w:rFonts w:ascii="Arial" w:hAnsi="Arial" w:cs="Arial"/>
          <w:b/>
          <w:bCs/>
          <w:sz w:val="22"/>
          <w:szCs w:val="22"/>
        </w:rPr>
      </w:pPr>
      <w:r w:rsidRPr="00242E97">
        <w:rPr>
          <w:rFonts w:ascii="Arial" w:hAnsi="Arial" w:cs="Arial"/>
          <w:b/>
          <w:bCs/>
          <w:sz w:val="22"/>
          <w:szCs w:val="22"/>
        </w:rPr>
        <w:t>3</w:t>
      </w:r>
      <w:r w:rsidR="00901B6B" w:rsidRPr="00242E97">
        <w:rPr>
          <w:rFonts w:ascii="Arial" w:hAnsi="Arial" w:cs="Arial"/>
          <w:b/>
          <w:bCs/>
          <w:sz w:val="22"/>
          <w:szCs w:val="22"/>
        </w:rPr>
        <w:t>. OBJETIVO</w:t>
      </w:r>
    </w:p>
    <w:p w14:paraId="053175F2" w14:textId="66F56CD5"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Evaluar la estabilidad física de los taludes en roca de las canteras de Añashuayco, mediante el enfoque determinista por MEL y probabilista por MEF, con el fin de determinar los </w:t>
      </w:r>
      <w:r w:rsidR="00BE5712" w:rsidRPr="00242E97">
        <w:rPr>
          <w:rFonts w:ascii="Arial" w:hAnsi="Arial" w:cs="Arial"/>
          <w:bCs/>
          <w:sz w:val="22"/>
          <w:szCs w:val="22"/>
        </w:rPr>
        <w:t>factores</w:t>
      </w:r>
      <w:r w:rsidRPr="00242E97">
        <w:rPr>
          <w:rFonts w:ascii="Arial" w:hAnsi="Arial" w:cs="Arial"/>
          <w:bCs/>
          <w:sz w:val="22"/>
          <w:szCs w:val="22"/>
        </w:rPr>
        <w:t xml:space="preserve"> seguridad y proponer medidas de estabilización adecuadas.</w:t>
      </w:r>
    </w:p>
    <w:p w14:paraId="205881F0" w14:textId="5CA19AB2" w:rsidR="00901B6B" w:rsidRPr="00242E97" w:rsidRDefault="00E42DE8" w:rsidP="00901B6B">
      <w:pPr>
        <w:spacing w:line="360" w:lineRule="auto"/>
        <w:jc w:val="both"/>
        <w:rPr>
          <w:rFonts w:ascii="Arial" w:hAnsi="Arial" w:cs="Arial"/>
          <w:b/>
          <w:bCs/>
          <w:sz w:val="22"/>
          <w:szCs w:val="22"/>
        </w:rPr>
      </w:pPr>
      <w:r w:rsidRPr="00242E97">
        <w:rPr>
          <w:rFonts w:ascii="Arial" w:hAnsi="Arial" w:cs="Arial"/>
          <w:b/>
          <w:bCs/>
          <w:sz w:val="22"/>
          <w:szCs w:val="22"/>
        </w:rPr>
        <w:t>4</w:t>
      </w:r>
      <w:r w:rsidR="00901B6B" w:rsidRPr="00242E97">
        <w:rPr>
          <w:rFonts w:ascii="Arial" w:hAnsi="Arial" w:cs="Arial"/>
          <w:b/>
          <w:bCs/>
          <w:sz w:val="22"/>
          <w:szCs w:val="22"/>
        </w:rPr>
        <w:t>. METODOLOGÍA</w:t>
      </w:r>
    </w:p>
    <w:p w14:paraId="7E7D8F01" w14:textId="5346D700" w:rsidR="00901B6B" w:rsidRDefault="009D1E76" w:rsidP="00901B6B">
      <w:pPr>
        <w:spacing w:line="360" w:lineRule="auto"/>
        <w:ind w:firstLine="142"/>
        <w:jc w:val="both"/>
        <w:rPr>
          <w:rFonts w:ascii="Arial" w:hAnsi="Arial" w:cs="Arial"/>
          <w:bCs/>
          <w:sz w:val="22"/>
          <w:szCs w:val="22"/>
        </w:rPr>
      </w:pPr>
      <w:r>
        <w:rPr>
          <w:rFonts w:ascii="Arial" w:hAnsi="Arial" w:cs="Arial"/>
          <w:bCs/>
          <w:i/>
          <w:iCs/>
          <w:noProof/>
          <w:sz w:val="22"/>
          <w:szCs w:val="22"/>
        </w:rPr>
        <w:drawing>
          <wp:anchor distT="0" distB="0" distL="114300" distR="114300" simplePos="0" relativeHeight="251658240" behindDoc="1" locked="0" layoutInCell="1" allowOverlap="1" wp14:anchorId="20EBDB04" wp14:editId="775C0EFC">
            <wp:simplePos x="0" y="0"/>
            <wp:positionH relativeFrom="column">
              <wp:posOffset>4392930</wp:posOffset>
            </wp:positionH>
            <wp:positionV relativeFrom="paragraph">
              <wp:posOffset>434340</wp:posOffset>
            </wp:positionV>
            <wp:extent cx="2047875" cy="1330325"/>
            <wp:effectExtent l="0" t="0" r="9525" b="3175"/>
            <wp:wrapTight wrapText="bothSides">
              <wp:wrapPolygon edited="0">
                <wp:start x="0" y="0"/>
                <wp:lineTo x="0" y="21342"/>
                <wp:lineTo x="21500" y="21342"/>
                <wp:lineTo x="21500" y="0"/>
                <wp:lineTo x="0" y="0"/>
              </wp:wrapPolygon>
            </wp:wrapTight>
            <wp:docPr id="901202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7875" cy="1330325"/>
                    </a:xfrm>
                    <a:prstGeom prst="rect">
                      <a:avLst/>
                    </a:prstGeom>
                    <a:noFill/>
                  </pic:spPr>
                </pic:pic>
              </a:graphicData>
            </a:graphic>
            <wp14:sizeRelH relativeFrom="margin">
              <wp14:pctWidth>0</wp14:pctWidth>
            </wp14:sizeRelH>
            <wp14:sizeRelV relativeFrom="margin">
              <wp14:pctHeight>0</wp14:pctHeight>
            </wp14:sizeRelV>
          </wp:anchor>
        </w:drawing>
      </w:r>
      <w:r w:rsidR="00901B6B" w:rsidRPr="00242E97">
        <w:rPr>
          <w:rFonts w:ascii="Arial" w:hAnsi="Arial" w:cs="Arial"/>
          <w:bCs/>
          <w:sz w:val="22"/>
          <w:szCs w:val="22"/>
        </w:rPr>
        <w:t>El estudio de estabilidad de taludes en las canteras de Añashuayco se identificaron los siguientes materiales geológicos: ignimbrita “Aeropuerto” (unidad blanca y rosa) y depósitos flujo de detritos (lahares) antiguos; ver Fotografía N°01.</w:t>
      </w:r>
    </w:p>
    <w:p w14:paraId="45D7DD33" w14:textId="6A5B7FE8" w:rsidR="009D1E76" w:rsidRDefault="009D1E76" w:rsidP="009D1E76">
      <w:pPr>
        <w:spacing w:line="360" w:lineRule="auto"/>
        <w:jc w:val="both"/>
        <w:rPr>
          <w:rFonts w:ascii="Arial" w:hAnsi="Arial" w:cs="Arial"/>
          <w:bCs/>
          <w:sz w:val="22"/>
          <w:szCs w:val="22"/>
        </w:rPr>
      </w:pPr>
      <w:r w:rsidRPr="00242E97">
        <w:rPr>
          <w:rFonts w:ascii="Arial" w:hAnsi="Arial" w:cs="Arial"/>
          <w:bCs/>
          <w:i/>
          <w:iCs/>
          <w:sz w:val="22"/>
          <w:szCs w:val="22"/>
        </w:rPr>
        <w:t>Fotografía N°01: a) Depósitos de flujo de detritos (lahares) antiguos, b) Ignimbrita “Aeropuerto” (unidad rosa) y c) Ignimbrita “Aeropuerto” (unidad blanca)</w:t>
      </w:r>
    </w:p>
    <w:p w14:paraId="71801DF3" w14:textId="77777777"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Los parámetros geotécnicos se adoptaron en base a estudios previos realizados por </w:t>
      </w:r>
      <w:proofErr w:type="spellStart"/>
      <w:r w:rsidRPr="00242E97">
        <w:rPr>
          <w:rFonts w:ascii="Arial" w:hAnsi="Arial" w:cs="Arial"/>
          <w:bCs/>
          <w:sz w:val="22"/>
          <w:szCs w:val="22"/>
        </w:rPr>
        <w:t>Luza</w:t>
      </w:r>
      <w:proofErr w:type="spellEnd"/>
      <w:r w:rsidRPr="00242E97">
        <w:rPr>
          <w:rFonts w:ascii="Arial" w:hAnsi="Arial" w:cs="Arial"/>
          <w:bCs/>
          <w:sz w:val="22"/>
          <w:szCs w:val="22"/>
        </w:rPr>
        <w:t xml:space="preserve"> et al. (2022) en las canteras de Añashuayco, ajustados a las condiciones específicas de estudio mediante criterio geotécnico. La Tabla N°01, resume los valores representativos utilizados para los análisis.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5"/>
        <w:gridCol w:w="3465"/>
        <w:gridCol w:w="3344"/>
      </w:tblGrid>
      <w:tr w:rsidR="00A62002" w:rsidRPr="00242E97" w14:paraId="0A47A07A" w14:textId="77777777" w:rsidTr="00BE5712">
        <w:tc>
          <w:tcPr>
            <w:tcW w:w="10204" w:type="dxa"/>
            <w:gridSpan w:val="3"/>
          </w:tcPr>
          <w:p w14:paraId="7C33C08F" w14:textId="77777777" w:rsidR="00A62002" w:rsidRPr="00242E97" w:rsidRDefault="00A62002" w:rsidP="00BE5712">
            <w:pPr>
              <w:jc w:val="center"/>
              <w:rPr>
                <w:rFonts w:ascii="Arial" w:hAnsi="Arial" w:cs="Arial"/>
                <w:i/>
                <w:sz w:val="22"/>
                <w:szCs w:val="22"/>
              </w:rPr>
            </w:pPr>
            <w:r w:rsidRPr="00242E97">
              <w:rPr>
                <w:rFonts w:ascii="Arial" w:hAnsi="Arial" w:cs="Arial"/>
                <w:i/>
                <w:sz w:val="22"/>
                <w:szCs w:val="22"/>
              </w:rPr>
              <w:t>Tabla N°01: Parámetros geotécnicos</w:t>
            </w:r>
          </w:p>
          <w:p w14:paraId="009FB74C" w14:textId="34D57513" w:rsidR="00A61A2E" w:rsidRPr="00242E97" w:rsidRDefault="00A61A2E" w:rsidP="00BE5712">
            <w:pPr>
              <w:jc w:val="center"/>
              <w:rPr>
                <w:rFonts w:ascii="Arial" w:hAnsi="Arial" w:cs="Arial"/>
                <w:i/>
                <w:sz w:val="22"/>
                <w:szCs w:val="22"/>
              </w:rPr>
            </w:pPr>
          </w:p>
        </w:tc>
      </w:tr>
      <w:tr w:rsidR="00A62002" w:rsidRPr="00242E97" w14:paraId="4627C187" w14:textId="77777777" w:rsidTr="00BE5712">
        <w:tc>
          <w:tcPr>
            <w:tcW w:w="3402" w:type="dxa"/>
          </w:tcPr>
          <w:p w14:paraId="78E40ED5" w14:textId="10585B75" w:rsidR="00A62002" w:rsidRPr="00242E97" w:rsidRDefault="00A62002" w:rsidP="00901B6B">
            <w:pPr>
              <w:spacing w:line="360" w:lineRule="auto"/>
              <w:ind w:left="-111"/>
              <w:jc w:val="both"/>
              <w:rPr>
                <w:rFonts w:ascii="Arial" w:hAnsi="Arial" w:cs="Arial"/>
                <w:bCs/>
                <w:sz w:val="22"/>
                <w:szCs w:val="22"/>
              </w:rPr>
            </w:pPr>
            <w:r w:rsidRPr="00242E97">
              <w:rPr>
                <w:rFonts w:ascii="Arial" w:hAnsi="Arial" w:cs="Arial"/>
                <w:bCs/>
                <w:noProof/>
                <w:sz w:val="22"/>
                <w:szCs w:val="22"/>
              </w:rPr>
              <w:drawing>
                <wp:inline distT="0" distB="0" distL="0" distR="0" wp14:anchorId="28B94E94" wp14:editId="614BFA3A">
                  <wp:extent cx="2042351" cy="1751134"/>
                  <wp:effectExtent l="19050" t="19050" r="15240" b="20955"/>
                  <wp:docPr id="1483576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6439" name=""/>
                          <pic:cNvPicPr/>
                        </pic:nvPicPr>
                        <pic:blipFill>
                          <a:blip r:embed="rId8"/>
                          <a:stretch>
                            <a:fillRect/>
                          </a:stretch>
                        </pic:blipFill>
                        <pic:spPr>
                          <a:xfrm>
                            <a:off x="0" y="0"/>
                            <a:ext cx="2064122" cy="1769801"/>
                          </a:xfrm>
                          <a:prstGeom prst="rect">
                            <a:avLst/>
                          </a:prstGeom>
                          <a:ln w="3175">
                            <a:solidFill>
                              <a:schemeClr val="tx1"/>
                            </a:solidFill>
                          </a:ln>
                        </pic:spPr>
                      </pic:pic>
                    </a:graphicData>
                  </a:graphic>
                </wp:inline>
              </w:drawing>
            </w:r>
          </w:p>
        </w:tc>
        <w:tc>
          <w:tcPr>
            <w:tcW w:w="3432" w:type="dxa"/>
          </w:tcPr>
          <w:p w14:paraId="6019F4A8" w14:textId="1A0415D7" w:rsidR="00A62002" w:rsidRPr="00242E97" w:rsidRDefault="00A62002" w:rsidP="00901B6B">
            <w:pPr>
              <w:spacing w:line="360" w:lineRule="auto"/>
              <w:ind w:left="-111"/>
              <w:jc w:val="both"/>
              <w:rPr>
                <w:rFonts w:ascii="Arial" w:hAnsi="Arial" w:cs="Arial"/>
                <w:bCs/>
                <w:sz w:val="22"/>
                <w:szCs w:val="22"/>
              </w:rPr>
            </w:pPr>
            <w:r w:rsidRPr="00242E97">
              <w:rPr>
                <w:rFonts w:ascii="Arial" w:hAnsi="Arial" w:cs="Arial"/>
                <w:bCs/>
                <w:noProof/>
                <w:sz w:val="22"/>
                <w:szCs w:val="22"/>
              </w:rPr>
              <w:drawing>
                <wp:inline distT="0" distB="0" distL="0" distR="0" wp14:anchorId="29C69FEA" wp14:editId="4DDF9B27">
                  <wp:extent cx="2104935" cy="1253469"/>
                  <wp:effectExtent l="19050" t="19050" r="10160" b="23495"/>
                  <wp:docPr id="52416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9237" name=""/>
                          <pic:cNvPicPr/>
                        </pic:nvPicPr>
                        <pic:blipFill>
                          <a:blip r:embed="rId9"/>
                          <a:stretch>
                            <a:fillRect/>
                          </a:stretch>
                        </pic:blipFill>
                        <pic:spPr>
                          <a:xfrm>
                            <a:off x="0" y="0"/>
                            <a:ext cx="2147611" cy="1278882"/>
                          </a:xfrm>
                          <a:prstGeom prst="rect">
                            <a:avLst/>
                          </a:prstGeom>
                          <a:ln w="3175">
                            <a:solidFill>
                              <a:schemeClr val="tx1"/>
                            </a:solidFill>
                          </a:ln>
                        </pic:spPr>
                      </pic:pic>
                    </a:graphicData>
                  </a:graphic>
                </wp:inline>
              </w:drawing>
            </w:r>
          </w:p>
        </w:tc>
        <w:tc>
          <w:tcPr>
            <w:tcW w:w="3370" w:type="dxa"/>
          </w:tcPr>
          <w:p w14:paraId="5ECBA938" w14:textId="74C63C4A" w:rsidR="00A62002" w:rsidRPr="00242E97" w:rsidRDefault="00A62002" w:rsidP="00901B6B">
            <w:pPr>
              <w:spacing w:line="360" w:lineRule="auto"/>
              <w:ind w:left="-104"/>
              <w:jc w:val="both"/>
              <w:rPr>
                <w:rFonts w:ascii="Arial" w:hAnsi="Arial" w:cs="Arial"/>
                <w:bCs/>
                <w:sz w:val="22"/>
                <w:szCs w:val="22"/>
              </w:rPr>
            </w:pPr>
            <w:r w:rsidRPr="00242E97">
              <w:rPr>
                <w:rFonts w:ascii="Arial" w:hAnsi="Arial" w:cs="Arial"/>
                <w:bCs/>
                <w:noProof/>
                <w:sz w:val="22"/>
                <w:szCs w:val="22"/>
              </w:rPr>
              <w:drawing>
                <wp:inline distT="0" distB="0" distL="0" distR="0" wp14:anchorId="7403D2BF" wp14:editId="42ED2BBE">
                  <wp:extent cx="1955331" cy="1007745"/>
                  <wp:effectExtent l="19050" t="19050" r="26035" b="20955"/>
                  <wp:docPr id="1847439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9835" name=""/>
                          <pic:cNvPicPr/>
                        </pic:nvPicPr>
                        <pic:blipFill>
                          <a:blip r:embed="rId10"/>
                          <a:stretch>
                            <a:fillRect/>
                          </a:stretch>
                        </pic:blipFill>
                        <pic:spPr>
                          <a:xfrm>
                            <a:off x="0" y="0"/>
                            <a:ext cx="1992651" cy="1026979"/>
                          </a:xfrm>
                          <a:prstGeom prst="rect">
                            <a:avLst/>
                          </a:prstGeom>
                          <a:ln w="3175">
                            <a:solidFill>
                              <a:schemeClr val="tx1"/>
                            </a:solidFill>
                          </a:ln>
                        </pic:spPr>
                      </pic:pic>
                    </a:graphicData>
                  </a:graphic>
                </wp:inline>
              </w:drawing>
            </w:r>
          </w:p>
        </w:tc>
      </w:tr>
    </w:tbl>
    <w:bookmarkEnd w:id="1"/>
    <w:p w14:paraId="5E2E6A3C" w14:textId="0359F63E"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Se abordaron recomendaciones específicas sobre FS o SRF tanto en condiciones estáticas</w:t>
      </w:r>
      <w:r w:rsidR="00A62002" w:rsidRPr="00242E97">
        <w:rPr>
          <w:rFonts w:ascii="Arial" w:hAnsi="Arial" w:cs="Arial"/>
          <w:bCs/>
          <w:sz w:val="22"/>
          <w:szCs w:val="22"/>
        </w:rPr>
        <w:t xml:space="preserve"> (FS ≥ 1.5 (por alto riesgo))</w:t>
      </w:r>
      <w:r w:rsidRPr="00242E97">
        <w:rPr>
          <w:rFonts w:ascii="Arial" w:hAnsi="Arial" w:cs="Arial"/>
          <w:bCs/>
          <w:sz w:val="22"/>
          <w:szCs w:val="22"/>
        </w:rPr>
        <w:t xml:space="preserve"> como pseudoestáticas</w:t>
      </w:r>
      <w:r w:rsidR="00A62002" w:rsidRPr="00242E97">
        <w:rPr>
          <w:rFonts w:ascii="Arial" w:hAnsi="Arial" w:cs="Arial"/>
          <w:bCs/>
          <w:sz w:val="22"/>
          <w:szCs w:val="22"/>
        </w:rPr>
        <w:t xml:space="preserve"> (</w:t>
      </w:r>
      <w:r w:rsidR="00A62002" w:rsidRPr="00242E97">
        <w:rPr>
          <w:rFonts w:ascii="Arial" w:eastAsia="Times New Roman" w:hAnsi="Arial" w:cs="Arial"/>
          <w:color w:val="000000"/>
          <w:sz w:val="22"/>
          <w:szCs w:val="22"/>
          <w:lang w:eastAsia="es-PE"/>
        </w:rPr>
        <w:t>FS ≥ 1.1 (sismicidad en las canteras de Añashuayco)</w:t>
      </w:r>
      <w:r w:rsidR="00A62002" w:rsidRPr="00242E97">
        <w:rPr>
          <w:rFonts w:ascii="Arial" w:hAnsi="Arial" w:cs="Arial"/>
          <w:bCs/>
          <w:sz w:val="22"/>
          <w:szCs w:val="22"/>
        </w:rPr>
        <w:t>)</w:t>
      </w:r>
      <w:r w:rsidR="00BE5712" w:rsidRPr="00242E97">
        <w:rPr>
          <w:rFonts w:ascii="Arial" w:hAnsi="Arial" w:cs="Arial"/>
          <w:bCs/>
          <w:sz w:val="22"/>
          <w:szCs w:val="22"/>
        </w:rPr>
        <w:t xml:space="preserve"> </w:t>
      </w:r>
      <w:r w:rsidRPr="00242E97">
        <w:rPr>
          <w:rFonts w:ascii="Arial" w:hAnsi="Arial" w:cs="Arial"/>
          <w:bCs/>
          <w:sz w:val="22"/>
          <w:szCs w:val="22"/>
        </w:rPr>
        <w:t>(INGEMMET, 2018).</w:t>
      </w:r>
    </w:p>
    <w:p w14:paraId="35D8DB9F" w14:textId="46DC940F" w:rsidR="00901B6B" w:rsidRPr="00242E97" w:rsidRDefault="00E42DE8" w:rsidP="00901B6B">
      <w:pPr>
        <w:spacing w:line="360" w:lineRule="auto"/>
        <w:jc w:val="both"/>
        <w:rPr>
          <w:rFonts w:ascii="Arial" w:hAnsi="Arial" w:cs="Arial"/>
          <w:b/>
          <w:bCs/>
          <w:sz w:val="22"/>
          <w:szCs w:val="22"/>
        </w:rPr>
      </w:pPr>
      <w:r w:rsidRPr="00242E97">
        <w:rPr>
          <w:rFonts w:ascii="Arial" w:hAnsi="Arial" w:cs="Arial"/>
          <w:b/>
          <w:bCs/>
          <w:sz w:val="22"/>
          <w:szCs w:val="22"/>
        </w:rPr>
        <w:t>5</w:t>
      </w:r>
      <w:r w:rsidR="00901B6B" w:rsidRPr="00242E97">
        <w:rPr>
          <w:rFonts w:ascii="Arial" w:hAnsi="Arial" w:cs="Arial"/>
          <w:b/>
          <w:bCs/>
          <w:sz w:val="22"/>
          <w:szCs w:val="22"/>
        </w:rPr>
        <w:t>. ANÁLISIS Y RESULTADOS</w:t>
      </w:r>
    </w:p>
    <w:p w14:paraId="5B6E3540" w14:textId="589C6A6E" w:rsidR="00901B6B" w:rsidRPr="00242E97" w:rsidRDefault="00E42DE8" w:rsidP="00901B6B">
      <w:pPr>
        <w:spacing w:line="360" w:lineRule="auto"/>
        <w:jc w:val="both"/>
        <w:rPr>
          <w:rFonts w:ascii="Arial" w:hAnsi="Arial" w:cs="Arial"/>
          <w:b/>
          <w:bCs/>
          <w:iCs/>
          <w:sz w:val="22"/>
          <w:szCs w:val="22"/>
        </w:rPr>
      </w:pPr>
      <w:r w:rsidRPr="00242E97">
        <w:rPr>
          <w:rFonts w:ascii="Arial" w:hAnsi="Arial" w:cs="Arial"/>
          <w:b/>
          <w:bCs/>
          <w:iCs/>
          <w:sz w:val="22"/>
          <w:szCs w:val="22"/>
        </w:rPr>
        <w:t>5</w:t>
      </w:r>
      <w:r w:rsidR="00901B6B" w:rsidRPr="00242E97">
        <w:rPr>
          <w:rFonts w:ascii="Arial" w:hAnsi="Arial" w:cs="Arial"/>
          <w:b/>
          <w:bCs/>
          <w:iCs/>
          <w:sz w:val="22"/>
          <w:szCs w:val="22"/>
        </w:rPr>
        <w:t>.</w:t>
      </w:r>
      <w:r w:rsidRPr="00242E97">
        <w:rPr>
          <w:rFonts w:ascii="Arial" w:hAnsi="Arial" w:cs="Arial"/>
          <w:b/>
          <w:bCs/>
          <w:iCs/>
          <w:sz w:val="22"/>
          <w:szCs w:val="22"/>
        </w:rPr>
        <w:t>1</w:t>
      </w:r>
      <w:r w:rsidR="00901B6B" w:rsidRPr="00242E97">
        <w:rPr>
          <w:rFonts w:ascii="Arial" w:hAnsi="Arial" w:cs="Arial"/>
          <w:b/>
          <w:bCs/>
          <w:iCs/>
          <w:sz w:val="22"/>
          <w:szCs w:val="22"/>
        </w:rPr>
        <w:t xml:space="preserve">. ANÁLISIS DE ESTABILIDAD </w:t>
      </w:r>
    </w:p>
    <w:p w14:paraId="2DFDD049" w14:textId="75D29EFE" w:rsidR="00901B6B" w:rsidRPr="00242E97" w:rsidRDefault="00E42DE8" w:rsidP="00901B6B">
      <w:pPr>
        <w:spacing w:line="360" w:lineRule="auto"/>
        <w:ind w:firstLine="142"/>
        <w:jc w:val="both"/>
        <w:rPr>
          <w:rFonts w:ascii="Arial" w:hAnsi="Arial" w:cs="Arial"/>
          <w:bCs/>
          <w:i/>
          <w:sz w:val="22"/>
          <w:szCs w:val="22"/>
        </w:rPr>
      </w:pPr>
      <w:r w:rsidRPr="00242E97">
        <w:rPr>
          <w:rFonts w:ascii="Arial" w:hAnsi="Arial" w:cs="Arial"/>
          <w:bCs/>
          <w:i/>
          <w:sz w:val="22"/>
          <w:szCs w:val="22"/>
        </w:rPr>
        <w:t>5</w:t>
      </w:r>
      <w:r w:rsidR="00901B6B" w:rsidRPr="00242E97">
        <w:rPr>
          <w:rFonts w:ascii="Arial" w:hAnsi="Arial" w:cs="Arial"/>
          <w:bCs/>
          <w:i/>
          <w:sz w:val="22"/>
          <w:szCs w:val="22"/>
        </w:rPr>
        <w:t>.</w:t>
      </w:r>
      <w:r w:rsidRPr="00242E97">
        <w:rPr>
          <w:rFonts w:ascii="Arial" w:hAnsi="Arial" w:cs="Arial"/>
          <w:bCs/>
          <w:i/>
          <w:sz w:val="22"/>
          <w:szCs w:val="22"/>
        </w:rPr>
        <w:t>1</w:t>
      </w:r>
      <w:r w:rsidR="00901B6B" w:rsidRPr="00242E97">
        <w:rPr>
          <w:rFonts w:ascii="Arial" w:hAnsi="Arial" w:cs="Arial"/>
          <w:bCs/>
          <w:i/>
          <w:sz w:val="22"/>
          <w:szCs w:val="22"/>
        </w:rPr>
        <w:t>.1. Análisis determinista (MEL)</w:t>
      </w:r>
    </w:p>
    <w:p w14:paraId="7D2C59E8" w14:textId="77777777"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Los resultados obtenidos mostraron un FS de 1.66 en condición estática con una superficie de falla profunda (12 m.) y un FS de 1.32 en condición pseudoestática con una superficie de falla profunda (14 m.), así como se puede ver en las Figuras N°01 y N°02 correspondientemente.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5092"/>
      </w:tblGrid>
      <w:tr w:rsidR="00901B6B" w:rsidRPr="00242E97" w14:paraId="69B28BC3" w14:textId="77777777" w:rsidTr="00901B6B">
        <w:tc>
          <w:tcPr>
            <w:tcW w:w="5169" w:type="dxa"/>
          </w:tcPr>
          <w:p w14:paraId="3CD18A60" w14:textId="733B587F" w:rsidR="00901B6B" w:rsidRPr="00242E97" w:rsidRDefault="00901B6B" w:rsidP="00BE5712">
            <w:pPr>
              <w:spacing w:line="360" w:lineRule="auto"/>
              <w:jc w:val="center"/>
              <w:rPr>
                <w:rFonts w:ascii="Arial" w:hAnsi="Arial" w:cs="Arial"/>
                <w:bCs/>
                <w:sz w:val="22"/>
                <w:szCs w:val="22"/>
              </w:rPr>
            </w:pPr>
            <w:r w:rsidRPr="00242E97">
              <w:rPr>
                <w:rFonts w:ascii="Arial" w:hAnsi="Arial" w:cs="Arial"/>
                <w:b/>
                <w:bCs/>
                <w:i/>
                <w:noProof/>
                <w:sz w:val="22"/>
                <w:szCs w:val="22"/>
              </w:rPr>
              <w:lastRenderedPageBreak/>
              <w:drawing>
                <wp:inline distT="0" distB="0" distL="0" distR="0" wp14:anchorId="46BF04C2" wp14:editId="7E2A78B6">
                  <wp:extent cx="2552700" cy="1367064"/>
                  <wp:effectExtent l="19050" t="19050" r="19050" b="24130"/>
                  <wp:docPr id="12608928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756" name="Imagen 1" descr="Gráfico&#10;&#10;El contenido generado por IA puede ser incorrecto."/>
                          <pic:cNvPicPr/>
                        </pic:nvPicPr>
                        <pic:blipFill rotWithShape="1">
                          <a:blip r:embed="rId11"/>
                          <a:srcRect l="2082" t="3224" b="-1"/>
                          <a:stretch/>
                        </pic:blipFill>
                        <pic:spPr bwMode="auto">
                          <a:xfrm>
                            <a:off x="0" y="0"/>
                            <a:ext cx="2568944" cy="1375763"/>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5169" w:type="dxa"/>
          </w:tcPr>
          <w:p w14:paraId="4DB667A2" w14:textId="34888FAB" w:rsidR="00901B6B" w:rsidRPr="00242E97" w:rsidRDefault="00901B6B" w:rsidP="00BE5712">
            <w:pPr>
              <w:spacing w:line="360" w:lineRule="auto"/>
              <w:jc w:val="center"/>
              <w:rPr>
                <w:rFonts w:ascii="Arial" w:hAnsi="Arial" w:cs="Arial"/>
                <w:bCs/>
                <w:sz w:val="22"/>
                <w:szCs w:val="22"/>
              </w:rPr>
            </w:pPr>
            <w:r w:rsidRPr="00242E97">
              <w:rPr>
                <w:rFonts w:ascii="Arial" w:hAnsi="Arial" w:cs="Arial"/>
                <w:i/>
                <w:noProof/>
                <w:sz w:val="22"/>
                <w:szCs w:val="22"/>
              </w:rPr>
              <w:drawing>
                <wp:inline distT="0" distB="0" distL="0" distR="0" wp14:anchorId="75FC6850" wp14:editId="3A16B5DC">
                  <wp:extent cx="2358054" cy="1333500"/>
                  <wp:effectExtent l="19050" t="19050" r="23495" b="19050"/>
                  <wp:docPr id="208088254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2359" name="Imagen 1" descr="Gráfico, Gráfico de líneas&#10;&#10;El contenido generado por IA puede ser incorrecto."/>
                          <pic:cNvPicPr/>
                        </pic:nvPicPr>
                        <pic:blipFill rotWithShape="1">
                          <a:blip r:embed="rId12"/>
                          <a:srcRect l="440" r="-819" b="-1674"/>
                          <a:stretch/>
                        </pic:blipFill>
                        <pic:spPr bwMode="auto">
                          <a:xfrm>
                            <a:off x="0" y="0"/>
                            <a:ext cx="2372882" cy="134188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901B6B" w:rsidRPr="00242E97" w14:paraId="55FB8E43" w14:textId="77777777" w:rsidTr="00A62002">
        <w:tc>
          <w:tcPr>
            <w:tcW w:w="5169" w:type="dxa"/>
            <w:vAlign w:val="center"/>
          </w:tcPr>
          <w:p w14:paraId="01A8B6D9" w14:textId="328AD314" w:rsidR="00901B6B" w:rsidRPr="00242E97" w:rsidRDefault="00901B6B" w:rsidP="00A62002">
            <w:pPr>
              <w:spacing w:line="276" w:lineRule="auto"/>
              <w:ind w:firstLine="142"/>
              <w:jc w:val="center"/>
              <w:rPr>
                <w:rFonts w:ascii="Arial" w:hAnsi="Arial" w:cs="Arial"/>
                <w:i/>
                <w:sz w:val="22"/>
                <w:szCs w:val="22"/>
              </w:rPr>
            </w:pPr>
            <w:r w:rsidRPr="00242E97">
              <w:rPr>
                <w:rFonts w:ascii="Arial" w:hAnsi="Arial" w:cs="Arial"/>
                <w:i/>
                <w:sz w:val="22"/>
                <w:szCs w:val="22"/>
              </w:rPr>
              <w:t>Figura N°01: Análisis de estabilidad por MEL en condiciones estáticas</w:t>
            </w:r>
          </w:p>
        </w:tc>
        <w:tc>
          <w:tcPr>
            <w:tcW w:w="5169" w:type="dxa"/>
            <w:vAlign w:val="center"/>
          </w:tcPr>
          <w:p w14:paraId="407B51BD" w14:textId="4F249820" w:rsidR="00901B6B" w:rsidRPr="00242E97" w:rsidRDefault="00901B6B" w:rsidP="00A62002">
            <w:pPr>
              <w:spacing w:line="276" w:lineRule="auto"/>
              <w:ind w:firstLine="142"/>
              <w:jc w:val="center"/>
              <w:rPr>
                <w:rFonts w:ascii="Arial" w:hAnsi="Arial" w:cs="Arial"/>
                <w:i/>
                <w:sz w:val="22"/>
                <w:szCs w:val="22"/>
              </w:rPr>
            </w:pPr>
            <w:r w:rsidRPr="00242E97">
              <w:rPr>
                <w:rFonts w:ascii="Arial" w:hAnsi="Arial" w:cs="Arial"/>
                <w:i/>
                <w:sz w:val="22"/>
                <w:szCs w:val="22"/>
              </w:rPr>
              <w:t>Figura N°03: Análisis de estabilidad por MEL en condiciones pseudoestáticas</w:t>
            </w:r>
          </w:p>
        </w:tc>
      </w:tr>
    </w:tbl>
    <w:p w14:paraId="2A6EEE16" w14:textId="2C2A5B94" w:rsidR="00901B6B" w:rsidRPr="00242E97" w:rsidRDefault="00E42DE8" w:rsidP="00901B6B">
      <w:pPr>
        <w:spacing w:line="360" w:lineRule="auto"/>
        <w:ind w:firstLine="142"/>
        <w:jc w:val="both"/>
        <w:rPr>
          <w:rFonts w:ascii="Arial" w:hAnsi="Arial" w:cs="Arial"/>
          <w:bCs/>
          <w:i/>
          <w:sz w:val="22"/>
          <w:szCs w:val="22"/>
        </w:rPr>
      </w:pPr>
      <w:r w:rsidRPr="00242E97">
        <w:rPr>
          <w:rFonts w:ascii="Arial" w:hAnsi="Arial" w:cs="Arial"/>
          <w:bCs/>
          <w:i/>
          <w:sz w:val="22"/>
          <w:szCs w:val="22"/>
        </w:rPr>
        <w:t>5</w:t>
      </w:r>
      <w:r w:rsidR="00901B6B" w:rsidRPr="00242E97">
        <w:rPr>
          <w:rFonts w:ascii="Arial" w:hAnsi="Arial" w:cs="Arial"/>
          <w:bCs/>
          <w:i/>
          <w:sz w:val="22"/>
          <w:szCs w:val="22"/>
        </w:rPr>
        <w:t>..2. Análisis probabilístico (MEF)</w:t>
      </w:r>
    </w:p>
    <w:p w14:paraId="670A5E1C" w14:textId="2B61EE4D"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El SRF obtenido fue 1.42 en condiciones estáticas con un PoF de 0.0% (ver Figura N°03), validando la situación actual de las canteras de Añashuayco, ruta del sillar. </w:t>
      </w:r>
      <w:r w:rsidRPr="00242E97">
        <w:rPr>
          <w:rFonts w:ascii="Arial" w:hAnsi="Arial" w:cs="Arial"/>
          <w:sz w:val="22"/>
          <w:szCs w:val="22"/>
        </w:rPr>
        <w:t>El SRF obtenido fue 1.10 en condiciones pseudoestáticas con un PoF de 22.23%, ver</w:t>
      </w:r>
      <w:r w:rsidRPr="00242E97">
        <w:rPr>
          <w:rFonts w:ascii="Arial" w:hAnsi="Arial" w:cs="Arial"/>
          <w:bCs/>
          <w:sz w:val="22"/>
          <w:szCs w:val="22"/>
        </w:rPr>
        <w:t xml:space="preserve"> Figura N°04.</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5245"/>
      </w:tblGrid>
      <w:tr w:rsidR="00901B6B" w:rsidRPr="00242E97" w14:paraId="471C8007" w14:textId="77777777" w:rsidTr="00A62002">
        <w:tc>
          <w:tcPr>
            <w:tcW w:w="5103" w:type="dxa"/>
          </w:tcPr>
          <w:p w14:paraId="621FE16E" w14:textId="761F7C39" w:rsidR="00901B6B" w:rsidRPr="00242E97" w:rsidRDefault="00901B6B" w:rsidP="00A2030D">
            <w:pPr>
              <w:spacing w:line="360" w:lineRule="auto"/>
              <w:ind w:left="-253" w:firstLine="142"/>
              <w:jc w:val="center"/>
              <w:rPr>
                <w:rFonts w:ascii="Arial" w:hAnsi="Arial" w:cs="Arial"/>
                <w:bCs/>
                <w:sz w:val="22"/>
                <w:szCs w:val="22"/>
              </w:rPr>
            </w:pPr>
            <w:r w:rsidRPr="00242E97">
              <w:rPr>
                <w:rFonts w:ascii="Arial" w:hAnsi="Arial" w:cs="Arial"/>
                <w:b/>
                <w:bCs/>
                <w:i/>
                <w:noProof/>
                <w:sz w:val="22"/>
                <w:szCs w:val="22"/>
              </w:rPr>
              <w:drawing>
                <wp:inline distT="0" distB="0" distL="0" distR="0" wp14:anchorId="30ED7BF0" wp14:editId="144B7D8F">
                  <wp:extent cx="2590800" cy="1502361"/>
                  <wp:effectExtent l="19050" t="19050" r="19050" b="22225"/>
                  <wp:docPr id="2098035209" name="Imagen 5"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52342" name="Imagen 5" descr="Gráfico, Gráfico de superficie&#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83" t="-2056" r="-34" b="5916"/>
                          <a:stretch/>
                        </pic:blipFill>
                        <pic:spPr bwMode="auto">
                          <a:xfrm>
                            <a:off x="0" y="0"/>
                            <a:ext cx="2657248" cy="1540893"/>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tc>
        <w:tc>
          <w:tcPr>
            <w:tcW w:w="5245" w:type="dxa"/>
          </w:tcPr>
          <w:p w14:paraId="7C1830FE" w14:textId="64FB25AD" w:rsidR="00901B6B" w:rsidRPr="00242E97" w:rsidRDefault="00901B6B" w:rsidP="00A2030D">
            <w:pPr>
              <w:spacing w:line="360" w:lineRule="auto"/>
              <w:jc w:val="center"/>
              <w:rPr>
                <w:rFonts w:ascii="Arial" w:hAnsi="Arial" w:cs="Arial"/>
                <w:bCs/>
                <w:sz w:val="22"/>
                <w:szCs w:val="22"/>
              </w:rPr>
            </w:pPr>
            <w:r w:rsidRPr="00242E97">
              <w:rPr>
                <w:rFonts w:ascii="Arial" w:hAnsi="Arial" w:cs="Arial"/>
                <w:b/>
                <w:bCs/>
                <w:noProof/>
                <w:sz w:val="22"/>
                <w:szCs w:val="22"/>
              </w:rPr>
              <w:drawing>
                <wp:inline distT="0" distB="0" distL="0" distR="0" wp14:anchorId="11E155E3" wp14:editId="4E6F45C3">
                  <wp:extent cx="2438400" cy="1479802"/>
                  <wp:effectExtent l="19050" t="19050" r="19050" b="25400"/>
                  <wp:docPr id="20350524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94618" name="Imagen 1" descr="Gráfico&#10;&#10;El contenido generado por IA puede ser incorrecto."/>
                          <pic:cNvPicPr/>
                        </pic:nvPicPr>
                        <pic:blipFill rotWithShape="1">
                          <a:blip r:embed="rId14"/>
                          <a:srcRect b="3341"/>
                          <a:stretch/>
                        </pic:blipFill>
                        <pic:spPr bwMode="auto">
                          <a:xfrm>
                            <a:off x="0" y="0"/>
                            <a:ext cx="2484159" cy="1507572"/>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901B6B" w:rsidRPr="00242E97" w14:paraId="752596A7" w14:textId="77777777" w:rsidTr="00A62002">
        <w:tc>
          <w:tcPr>
            <w:tcW w:w="5103" w:type="dxa"/>
            <w:vAlign w:val="center"/>
          </w:tcPr>
          <w:p w14:paraId="2B685AD8" w14:textId="1528833F" w:rsidR="00901B6B" w:rsidRPr="00242E97" w:rsidRDefault="00901B6B" w:rsidP="00A62002">
            <w:pPr>
              <w:spacing w:line="276" w:lineRule="auto"/>
              <w:ind w:firstLine="142"/>
              <w:jc w:val="center"/>
              <w:rPr>
                <w:rFonts w:ascii="Arial" w:hAnsi="Arial" w:cs="Arial"/>
                <w:i/>
                <w:sz w:val="22"/>
                <w:szCs w:val="22"/>
              </w:rPr>
            </w:pPr>
            <w:r w:rsidRPr="00242E97">
              <w:rPr>
                <w:rFonts w:ascii="Arial" w:hAnsi="Arial" w:cs="Arial"/>
                <w:i/>
                <w:sz w:val="22"/>
                <w:szCs w:val="22"/>
              </w:rPr>
              <w:t>Figura N°03: Análisis de estabilidad probabilístico por MEF en condiciones estáticas</w:t>
            </w:r>
          </w:p>
        </w:tc>
        <w:tc>
          <w:tcPr>
            <w:tcW w:w="5245" w:type="dxa"/>
            <w:vAlign w:val="center"/>
          </w:tcPr>
          <w:p w14:paraId="5D71E330" w14:textId="6E239104" w:rsidR="00901B6B" w:rsidRPr="00242E97" w:rsidRDefault="00901B6B" w:rsidP="00A62002">
            <w:pPr>
              <w:ind w:firstLine="142"/>
              <w:jc w:val="center"/>
              <w:rPr>
                <w:rFonts w:ascii="Arial" w:hAnsi="Arial" w:cs="Arial"/>
                <w:i/>
                <w:sz w:val="22"/>
                <w:szCs w:val="22"/>
              </w:rPr>
            </w:pPr>
            <w:r w:rsidRPr="00242E97">
              <w:rPr>
                <w:rFonts w:ascii="Arial" w:hAnsi="Arial" w:cs="Arial"/>
                <w:i/>
                <w:sz w:val="22"/>
                <w:szCs w:val="22"/>
              </w:rPr>
              <w:t>Figura N°04: Análisis de estabilidad probabilístico por MEF en condiciones pseudoestáticas</w:t>
            </w:r>
          </w:p>
        </w:tc>
      </w:tr>
    </w:tbl>
    <w:p w14:paraId="6DACE3DC" w14:textId="522149F4" w:rsidR="00901B6B" w:rsidRPr="00242E97" w:rsidRDefault="00E42DE8" w:rsidP="00901B6B">
      <w:pPr>
        <w:spacing w:line="360" w:lineRule="auto"/>
        <w:jc w:val="both"/>
        <w:rPr>
          <w:rFonts w:ascii="Arial" w:hAnsi="Arial" w:cs="Arial"/>
          <w:b/>
          <w:bCs/>
          <w:sz w:val="22"/>
          <w:szCs w:val="22"/>
        </w:rPr>
      </w:pPr>
      <w:r w:rsidRPr="00242E97">
        <w:rPr>
          <w:rFonts w:ascii="Arial" w:hAnsi="Arial" w:cs="Arial"/>
          <w:b/>
          <w:bCs/>
          <w:sz w:val="22"/>
          <w:szCs w:val="22"/>
        </w:rPr>
        <w:t>6</w:t>
      </w:r>
      <w:r w:rsidR="00901B6B" w:rsidRPr="00242E97">
        <w:rPr>
          <w:rFonts w:ascii="Arial" w:hAnsi="Arial" w:cs="Arial"/>
          <w:b/>
          <w:bCs/>
          <w:sz w:val="22"/>
          <w:szCs w:val="22"/>
        </w:rPr>
        <w:t>. CONCLUSIONES</w:t>
      </w:r>
    </w:p>
    <w:p w14:paraId="1CAE59EC" w14:textId="77777777" w:rsidR="00901B6B" w:rsidRPr="00242E97" w:rsidRDefault="00901B6B" w:rsidP="00901B6B">
      <w:pPr>
        <w:spacing w:line="360" w:lineRule="auto"/>
        <w:ind w:firstLine="142"/>
        <w:jc w:val="both"/>
        <w:rPr>
          <w:rFonts w:ascii="Arial" w:hAnsi="Arial" w:cs="Arial"/>
          <w:bCs/>
          <w:sz w:val="22"/>
          <w:szCs w:val="22"/>
          <w:highlight w:val="yellow"/>
        </w:rPr>
      </w:pPr>
      <w:r w:rsidRPr="00242E97">
        <w:rPr>
          <w:rFonts w:ascii="Arial" w:hAnsi="Arial" w:cs="Arial"/>
          <w:bCs/>
          <w:sz w:val="22"/>
          <w:szCs w:val="22"/>
        </w:rPr>
        <w:t>El análisis con enfoque determinista por MEL en condición estática reveló un FS de 1.66 para el talud evaluado de la cantera, dicho valor es ligeramente superior al mínimo recomendado (FS ≥ 1.5)</w:t>
      </w:r>
      <w:r w:rsidRPr="00242E97">
        <w:rPr>
          <w:rStyle w:val="Refdecomentario"/>
          <w:rFonts w:ascii="Arial" w:hAnsi="Arial" w:cs="Arial"/>
          <w:sz w:val="22"/>
          <w:szCs w:val="22"/>
        </w:rPr>
        <w:t>.</w:t>
      </w:r>
      <w:r w:rsidRPr="00242E97">
        <w:rPr>
          <w:rFonts w:ascii="Arial" w:hAnsi="Arial" w:cs="Arial"/>
          <w:bCs/>
          <w:sz w:val="22"/>
          <w:szCs w:val="22"/>
        </w:rPr>
        <w:t xml:space="preserve"> Bajo condiciones sísmicas el FS disminuye a 1.32, cercano al del límite permisible (FS ≥ 1.1).</w:t>
      </w:r>
    </w:p>
    <w:p w14:paraId="67BC74E5" w14:textId="0D6DE264"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El análisis probabilístico por MEF con el método SSR en condición estática reveló un SRF de 1.42 con un PoF de 0,00% y en condición pseudoestática un SRF de 1.10 con una PoF de 22.23%, la cual es un riesgo significativo de fallo con una zona crítica profunda (10-14m.). Las mayores deformaciones plásticas se concentraron en la zona alterada y pie del talud, coincidiendo </w:t>
      </w:r>
      <w:r w:rsidR="00A2030D" w:rsidRPr="00242E97">
        <w:rPr>
          <w:rFonts w:ascii="Arial" w:hAnsi="Arial" w:cs="Arial"/>
          <w:bCs/>
          <w:sz w:val="22"/>
          <w:szCs w:val="22"/>
        </w:rPr>
        <w:t>con</w:t>
      </w:r>
      <w:r w:rsidRPr="00242E97">
        <w:rPr>
          <w:rFonts w:ascii="Arial" w:hAnsi="Arial" w:cs="Arial"/>
          <w:bCs/>
          <w:sz w:val="22"/>
          <w:szCs w:val="22"/>
        </w:rPr>
        <w:t xml:space="preserve"> el enfoque determinista.</w:t>
      </w:r>
    </w:p>
    <w:p w14:paraId="43DD5DF1" w14:textId="37E385D2"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Los valores obtenidos por MEF son menores en un 14% en condición estática y un 16% en condición pseudoestática respecto al MEL. </w:t>
      </w:r>
      <w:r w:rsidR="00E42DE8" w:rsidRPr="00242E97">
        <w:rPr>
          <w:rFonts w:ascii="Arial" w:hAnsi="Arial" w:cs="Arial"/>
          <w:bCs/>
          <w:sz w:val="22"/>
          <w:szCs w:val="22"/>
        </w:rPr>
        <w:t>Los resultados obtenidos por</w:t>
      </w:r>
      <w:r w:rsidRPr="00242E97">
        <w:rPr>
          <w:rFonts w:ascii="Arial" w:hAnsi="Arial" w:cs="Arial"/>
          <w:bCs/>
          <w:sz w:val="22"/>
          <w:szCs w:val="22"/>
        </w:rPr>
        <w:t xml:space="preserve"> MEF se encuentra</w:t>
      </w:r>
      <w:r w:rsidR="00E42DE8" w:rsidRPr="00242E97">
        <w:rPr>
          <w:rFonts w:ascii="Arial" w:hAnsi="Arial" w:cs="Arial"/>
          <w:bCs/>
          <w:sz w:val="22"/>
          <w:szCs w:val="22"/>
        </w:rPr>
        <w:t>n</w:t>
      </w:r>
      <w:r w:rsidRPr="00242E97">
        <w:rPr>
          <w:rFonts w:ascii="Arial" w:hAnsi="Arial" w:cs="Arial"/>
          <w:bCs/>
          <w:sz w:val="22"/>
          <w:szCs w:val="22"/>
        </w:rPr>
        <w:t xml:space="preserve"> por debajo del </w:t>
      </w:r>
      <w:r w:rsidR="00A2030D" w:rsidRPr="00242E97">
        <w:rPr>
          <w:rFonts w:ascii="Arial" w:hAnsi="Arial" w:cs="Arial"/>
          <w:bCs/>
          <w:sz w:val="22"/>
          <w:szCs w:val="22"/>
        </w:rPr>
        <w:t>mínimo</w:t>
      </w:r>
      <w:r w:rsidRPr="00242E97">
        <w:rPr>
          <w:rFonts w:ascii="Arial" w:hAnsi="Arial" w:cs="Arial"/>
          <w:bCs/>
          <w:sz w:val="22"/>
          <w:szCs w:val="22"/>
        </w:rPr>
        <w:t xml:space="preserve"> permisible para condición estática y al límite para condición pseudoestática.</w:t>
      </w:r>
    </w:p>
    <w:p w14:paraId="1E69BDD8" w14:textId="77777777"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Se recomiendan medidas de estabilización (sistema de drenaje,</w:t>
      </w:r>
      <w:r w:rsidRPr="00242E97">
        <w:rPr>
          <w:rFonts w:ascii="Arial" w:hAnsi="Arial" w:cs="Arial"/>
          <w:sz w:val="22"/>
          <w:szCs w:val="22"/>
        </w:rPr>
        <w:t xml:space="preserve"> </w:t>
      </w:r>
      <w:r w:rsidRPr="00242E97">
        <w:rPr>
          <w:rFonts w:ascii="Arial" w:hAnsi="Arial" w:cs="Arial"/>
          <w:bCs/>
          <w:sz w:val="22"/>
          <w:szCs w:val="22"/>
        </w:rPr>
        <w:t>refuerzo estructural, monitoreo instrumental, entre otros) en sectores con FS o SRF ≤ 1.5 en condiciones estáticas y con FS o SRF&lt;1.1 en condiciones pseudoestáticas, priorizando el contacto entre unidades geotécnicas.</w:t>
      </w:r>
    </w:p>
    <w:p w14:paraId="5ED576A8" w14:textId="27685C97" w:rsidR="00901B6B" w:rsidRPr="00242E97" w:rsidRDefault="00901B6B" w:rsidP="009D1E76">
      <w:pPr>
        <w:spacing w:line="360" w:lineRule="auto"/>
        <w:jc w:val="both"/>
        <w:rPr>
          <w:rFonts w:ascii="Arial" w:hAnsi="Arial" w:cs="Arial"/>
          <w:bCs/>
          <w:sz w:val="22"/>
          <w:szCs w:val="22"/>
        </w:rPr>
      </w:pPr>
      <w:r w:rsidRPr="00242E97">
        <w:rPr>
          <w:rFonts w:ascii="Arial" w:hAnsi="Arial" w:cs="Arial"/>
          <w:b/>
          <w:bCs/>
          <w:sz w:val="22"/>
          <w:szCs w:val="22"/>
        </w:rPr>
        <w:t>REFERENCIAS</w:t>
      </w:r>
      <w:r w:rsidR="009D1E76">
        <w:rPr>
          <w:rFonts w:ascii="Arial" w:hAnsi="Arial" w:cs="Arial"/>
          <w:b/>
          <w:bCs/>
          <w:sz w:val="22"/>
          <w:szCs w:val="22"/>
        </w:rPr>
        <w:t xml:space="preserve">: </w:t>
      </w:r>
      <w:r w:rsidRPr="00242E97">
        <w:rPr>
          <w:rFonts w:ascii="Arial" w:hAnsi="Arial" w:cs="Arial"/>
          <w:bCs/>
          <w:sz w:val="22"/>
          <w:szCs w:val="22"/>
        </w:rPr>
        <w:t xml:space="preserve">Bieniawski, Z.T. (1989). </w:t>
      </w:r>
      <w:proofErr w:type="spellStart"/>
      <w:r w:rsidRPr="00242E97">
        <w:rPr>
          <w:rFonts w:ascii="Arial" w:hAnsi="Arial" w:cs="Arial"/>
          <w:bCs/>
          <w:sz w:val="22"/>
          <w:szCs w:val="22"/>
        </w:rPr>
        <w:t>Engineering</w:t>
      </w:r>
      <w:proofErr w:type="spellEnd"/>
      <w:r w:rsidRPr="00242E97">
        <w:rPr>
          <w:rFonts w:ascii="Arial" w:hAnsi="Arial" w:cs="Arial"/>
          <w:bCs/>
          <w:sz w:val="22"/>
          <w:szCs w:val="22"/>
        </w:rPr>
        <w:t xml:space="preserve"> Rock </w:t>
      </w:r>
      <w:proofErr w:type="spellStart"/>
      <w:r w:rsidRPr="00242E97">
        <w:rPr>
          <w:rFonts w:ascii="Arial" w:hAnsi="Arial" w:cs="Arial"/>
          <w:bCs/>
          <w:sz w:val="22"/>
          <w:szCs w:val="22"/>
        </w:rPr>
        <w:t>Mass</w:t>
      </w:r>
      <w:proofErr w:type="spellEnd"/>
      <w:r w:rsidRPr="00242E97">
        <w:rPr>
          <w:rFonts w:ascii="Arial" w:hAnsi="Arial" w:cs="Arial"/>
          <w:bCs/>
          <w:sz w:val="22"/>
          <w:szCs w:val="22"/>
        </w:rPr>
        <w:t xml:space="preserve"> </w:t>
      </w:r>
      <w:proofErr w:type="spellStart"/>
      <w:r w:rsidRPr="00242E97">
        <w:rPr>
          <w:rFonts w:ascii="Arial" w:hAnsi="Arial" w:cs="Arial"/>
          <w:bCs/>
          <w:sz w:val="22"/>
          <w:szCs w:val="22"/>
        </w:rPr>
        <w:t>Classifications</w:t>
      </w:r>
      <w:proofErr w:type="spellEnd"/>
      <w:r w:rsidRPr="00242E97">
        <w:rPr>
          <w:rFonts w:ascii="Arial" w:hAnsi="Arial" w:cs="Arial"/>
          <w:bCs/>
          <w:sz w:val="22"/>
          <w:szCs w:val="22"/>
        </w:rPr>
        <w:t>. Wiley.</w:t>
      </w:r>
    </w:p>
    <w:p w14:paraId="38E6DA39" w14:textId="17B88A76" w:rsidR="00901B6B" w:rsidRPr="00242E97" w:rsidRDefault="00901B6B" w:rsidP="00901B6B">
      <w:pPr>
        <w:spacing w:line="360" w:lineRule="auto"/>
        <w:ind w:hanging="142"/>
        <w:jc w:val="both"/>
        <w:rPr>
          <w:rFonts w:ascii="Arial" w:hAnsi="Arial" w:cs="Arial"/>
          <w:sz w:val="22"/>
          <w:szCs w:val="22"/>
        </w:rPr>
      </w:pPr>
      <w:r w:rsidRPr="00242E97">
        <w:rPr>
          <w:rFonts w:ascii="Arial" w:hAnsi="Arial" w:cs="Arial"/>
          <w:bCs/>
          <w:sz w:val="22"/>
          <w:szCs w:val="22"/>
        </w:rPr>
        <w:t>Instituto Geológico, Minero y Metalúrgico (INGEMMET). 2018. Guía de estabilidad de taludes en zonas mineras. Lima: INGEMMET.</w:t>
      </w:r>
      <w:r w:rsidR="009D1E76">
        <w:rPr>
          <w:rFonts w:ascii="Arial" w:hAnsi="Arial" w:cs="Arial"/>
          <w:bCs/>
          <w:sz w:val="22"/>
          <w:szCs w:val="22"/>
        </w:rPr>
        <w:t xml:space="preserve"> / </w:t>
      </w:r>
      <w:proofErr w:type="spellStart"/>
      <w:r w:rsidRPr="00242E97">
        <w:rPr>
          <w:rFonts w:ascii="Arial" w:hAnsi="Arial" w:cs="Arial"/>
          <w:bCs/>
          <w:sz w:val="22"/>
          <w:szCs w:val="22"/>
        </w:rPr>
        <w:t>Luza</w:t>
      </w:r>
      <w:proofErr w:type="spellEnd"/>
      <w:r w:rsidRPr="00242E97">
        <w:rPr>
          <w:rFonts w:ascii="Arial" w:hAnsi="Arial" w:cs="Arial"/>
          <w:bCs/>
          <w:sz w:val="22"/>
          <w:szCs w:val="22"/>
        </w:rPr>
        <w:t>, C., Mango F. 2022. Caracterización del Macizo Rocoso de las Canteras de Añashuayco. IX FIPVO. Arequipa, Perú.</w:t>
      </w:r>
      <w:r w:rsidR="009D1E76">
        <w:rPr>
          <w:rFonts w:ascii="Arial" w:hAnsi="Arial" w:cs="Arial"/>
          <w:bCs/>
          <w:sz w:val="22"/>
          <w:szCs w:val="22"/>
        </w:rPr>
        <w:t xml:space="preserve"> / </w:t>
      </w:r>
      <w:r w:rsidRPr="00242E97">
        <w:rPr>
          <w:rFonts w:ascii="Arial" w:hAnsi="Arial" w:cs="Arial"/>
          <w:sz w:val="22"/>
          <w:szCs w:val="22"/>
        </w:rPr>
        <w:t>Ministerio de Vivienda, Construcción y Saneamiento. (MVCS). 2019. Norma Técnica E.030: Diseño Sismorresistente. En Reglamento Nacional de Edificaciones (modificada por R.M. N.º 043-2019-VIVIENDA). Lima, Perú.</w:t>
      </w:r>
    </w:p>
    <w:sectPr w:rsidR="00901B6B" w:rsidRPr="00242E97" w:rsidSect="00BE5712">
      <w:pgSz w:w="11906" w:h="16838"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B6B"/>
    <w:rsid w:val="001E7FAA"/>
    <w:rsid w:val="00235B3B"/>
    <w:rsid w:val="00242E97"/>
    <w:rsid w:val="00401DFC"/>
    <w:rsid w:val="00465FB6"/>
    <w:rsid w:val="006D4614"/>
    <w:rsid w:val="00901B6B"/>
    <w:rsid w:val="009D1E76"/>
    <w:rsid w:val="00A2030D"/>
    <w:rsid w:val="00A61A2E"/>
    <w:rsid w:val="00A62002"/>
    <w:rsid w:val="00B813DB"/>
    <w:rsid w:val="00BE5712"/>
    <w:rsid w:val="00E10E54"/>
    <w:rsid w:val="00E42DE8"/>
    <w:rsid w:val="00EF7A49"/>
    <w:rsid w:val="00F67C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BD69"/>
  <w15:chartTrackingRefBased/>
  <w15:docId w15:val="{CF39D797-9228-4725-9CD5-4A91ECE8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B6B"/>
    <w:pPr>
      <w:spacing w:after="0" w:line="240" w:lineRule="auto"/>
    </w:pPr>
    <w:rPr>
      <w:rFonts w:ascii="Cambria" w:eastAsia="MS Mincho" w:hAnsi="Cambria" w:cs="Times New Roman"/>
      <w:kern w:val="0"/>
      <w:lang w:eastAsia="fr-FR"/>
      <w14:ligatures w14:val="none"/>
    </w:rPr>
  </w:style>
  <w:style w:type="paragraph" w:styleId="Ttulo1">
    <w:name w:val="heading 1"/>
    <w:basedOn w:val="Normal"/>
    <w:next w:val="Normal"/>
    <w:link w:val="Ttulo1Car"/>
    <w:uiPriority w:val="9"/>
    <w:qFormat/>
    <w:rsid w:val="00901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1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1B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1B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1B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1B6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1B6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1B6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1B6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B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1B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1B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1B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1B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1B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1B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1B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1B6B"/>
    <w:rPr>
      <w:rFonts w:eastAsiaTheme="majorEastAsia" w:cstheme="majorBidi"/>
      <w:color w:val="272727" w:themeColor="text1" w:themeTint="D8"/>
    </w:rPr>
  </w:style>
  <w:style w:type="paragraph" w:styleId="Ttulo">
    <w:name w:val="Title"/>
    <w:basedOn w:val="Normal"/>
    <w:next w:val="Normal"/>
    <w:link w:val="TtuloCar"/>
    <w:uiPriority w:val="10"/>
    <w:qFormat/>
    <w:rsid w:val="00901B6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1B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1B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1B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1B6B"/>
    <w:pPr>
      <w:spacing w:before="160"/>
      <w:jc w:val="center"/>
    </w:pPr>
    <w:rPr>
      <w:i/>
      <w:iCs/>
      <w:color w:val="404040" w:themeColor="text1" w:themeTint="BF"/>
    </w:rPr>
  </w:style>
  <w:style w:type="character" w:customStyle="1" w:styleId="CitaCar">
    <w:name w:val="Cita Car"/>
    <w:basedOn w:val="Fuentedeprrafopredeter"/>
    <w:link w:val="Cita"/>
    <w:uiPriority w:val="29"/>
    <w:rsid w:val="00901B6B"/>
    <w:rPr>
      <w:i/>
      <w:iCs/>
      <w:color w:val="404040" w:themeColor="text1" w:themeTint="BF"/>
    </w:rPr>
  </w:style>
  <w:style w:type="paragraph" w:styleId="Prrafodelista">
    <w:name w:val="List Paragraph"/>
    <w:basedOn w:val="Normal"/>
    <w:uiPriority w:val="34"/>
    <w:qFormat/>
    <w:rsid w:val="00901B6B"/>
    <w:pPr>
      <w:ind w:left="720"/>
      <w:contextualSpacing/>
    </w:pPr>
  </w:style>
  <w:style w:type="character" w:styleId="nfasisintenso">
    <w:name w:val="Intense Emphasis"/>
    <w:basedOn w:val="Fuentedeprrafopredeter"/>
    <w:uiPriority w:val="21"/>
    <w:qFormat/>
    <w:rsid w:val="00901B6B"/>
    <w:rPr>
      <w:i/>
      <w:iCs/>
      <w:color w:val="0F4761" w:themeColor="accent1" w:themeShade="BF"/>
    </w:rPr>
  </w:style>
  <w:style w:type="paragraph" w:styleId="Citadestacada">
    <w:name w:val="Intense Quote"/>
    <w:basedOn w:val="Normal"/>
    <w:next w:val="Normal"/>
    <w:link w:val="CitadestacadaCar"/>
    <w:uiPriority w:val="30"/>
    <w:qFormat/>
    <w:rsid w:val="00901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1B6B"/>
    <w:rPr>
      <w:i/>
      <w:iCs/>
      <w:color w:val="0F4761" w:themeColor="accent1" w:themeShade="BF"/>
    </w:rPr>
  </w:style>
  <w:style w:type="character" w:styleId="Referenciaintensa">
    <w:name w:val="Intense Reference"/>
    <w:basedOn w:val="Fuentedeprrafopredeter"/>
    <w:uiPriority w:val="32"/>
    <w:qFormat/>
    <w:rsid w:val="00901B6B"/>
    <w:rPr>
      <w:b/>
      <w:bCs/>
      <w:smallCaps/>
      <w:color w:val="0F4761" w:themeColor="accent1" w:themeShade="BF"/>
      <w:spacing w:val="5"/>
    </w:rPr>
  </w:style>
  <w:style w:type="character" w:styleId="Hipervnculo">
    <w:name w:val="Hyperlink"/>
    <w:uiPriority w:val="99"/>
    <w:unhideWhenUsed/>
    <w:rsid w:val="00901B6B"/>
    <w:rPr>
      <w:color w:val="0000FF"/>
      <w:u w:val="single"/>
    </w:rPr>
  </w:style>
  <w:style w:type="paragraph" w:styleId="NormalWeb">
    <w:name w:val="Normal (Web)"/>
    <w:basedOn w:val="Normal"/>
    <w:uiPriority w:val="99"/>
    <w:unhideWhenUsed/>
    <w:rsid w:val="00901B6B"/>
    <w:pPr>
      <w:spacing w:before="100" w:beforeAutospacing="1" w:after="100" w:afterAutospacing="1"/>
    </w:pPr>
    <w:rPr>
      <w:rFonts w:ascii="Times New Roman" w:eastAsia="Times New Roman" w:hAnsi="Times New Roman"/>
      <w:lang w:eastAsia="es-PE"/>
    </w:rPr>
  </w:style>
  <w:style w:type="character" w:styleId="Refdecomentario">
    <w:name w:val="annotation reference"/>
    <w:basedOn w:val="Fuentedeprrafopredeter"/>
    <w:uiPriority w:val="99"/>
    <w:semiHidden/>
    <w:unhideWhenUsed/>
    <w:rsid w:val="00901B6B"/>
    <w:rPr>
      <w:sz w:val="16"/>
      <w:szCs w:val="16"/>
    </w:rPr>
  </w:style>
  <w:style w:type="table" w:styleId="Tablaconcuadrcula">
    <w:name w:val="Table Grid"/>
    <w:basedOn w:val="Tablanormal"/>
    <w:uiPriority w:val="39"/>
    <w:rsid w:val="0090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D1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nacetunquipa@hotmail.com" TargetMode="External"/><Relationship Id="rId11" Type="http://schemas.openxmlformats.org/officeDocument/2006/relationships/image" Target="media/image5.png"/><Relationship Id="rId5" Type="http://schemas.openxmlformats.org/officeDocument/2006/relationships/hyperlink" Target="mailto:carlos.belleza@anddes.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50957-75B5-4325-83F6-A197DD182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1166</Words>
  <Characters>6417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Mango</dc:creator>
  <cp:keywords/>
  <dc:description/>
  <cp:lastModifiedBy>Carla Bustamante</cp:lastModifiedBy>
  <cp:revision>3</cp:revision>
  <dcterms:created xsi:type="dcterms:W3CDTF">2025-04-16T22:34:00Z</dcterms:created>
  <dcterms:modified xsi:type="dcterms:W3CDTF">2025-04-16T22:42:00Z</dcterms:modified>
</cp:coreProperties>
</file>