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ADCE6" w14:textId="77777777" w:rsidR="00493793" w:rsidRPr="00070851" w:rsidRDefault="00493793" w:rsidP="00493793">
      <w:pPr>
        <w:jc w:val="center"/>
        <w:rPr>
          <w:rFonts w:ascii="Arial" w:hAnsi="Arial" w:cs="Arial"/>
          <w:b/>
          <w:bCs/>
          <w:sz w:val="22"/>
          <w:szCs w:val="22"/>
        </w:rPr>
      </w:pPr>
    </w:p>
    <w:p w14:paraId="420936F3" w14:textId="10DC4DFA" w:rsidR="00493793" w:rsidRPr="00070851" w:rsidRDefault="00617CE8" w:rsidP="00617CE8">
      <w:pPr>
        <w:ind w:left="708" w:firstLine="708"/>
        <w:rPr>
          <w:rFonts w:ascii="Arial" w:hAnsi="Arial" w:cs="Arial"/>
          <w:b/>
          <w:bCs/>
          <w:sz w:val="22"/>
          <w:szCs w:val="22"/>
        </w:rPr>
      </w:pPr>
      <w:r>
        <w:rPr>
          <w:rFonts w:ascii="Arial" w:hAnsi="Arial" w:cs="Arial"/>
          <w:b/>
          <w:bCs/>
          <w:sz w:val="22"/>
          <w:szCs w:val="22"/>
        </w:rPr>
        <w:t xml:space="preserve">                 </w:t>
      </w:r>
      <w:r w:rsidR="00493793" w:rsidRPr="00070851">
        <w:rPr>
          <w:rFonts w:ascii="Arial" w:hAnsi="Arial" w:cs="Arial"/>
          <w:b/>
          <w:bCs/>
          <w:sz w:val="22"/>
          <w:szCs w:val="22"/>
        </w:rPr>
        <w:t>PERUMIN 37 Convención Minera</w:t>
      </w:r>
    </w:p>
    <w:p w14:paraId="768DE87B" w14:textId="77777777" w:rsidR="00493793" w:rsidRPr="00070851" w:rsidRDefault="00493793" w:rsidP="00493793">
      <w:pPr>
        <w:jc w:val="center"/>
        <w:rPr>
          <w:rFonts w:ascii="Arial" w:hAnsi="Arial" w:cs="Arial"/>
          <w:b/>
          <w:bCs/>
          <w:sz w:val="22"/>
          <w:szCs w:val="22"/>
        </w:rPr>
      </w:pPr>
      <w:r w:rsidRPr="00070851">
        <w:rPr>
          <w:rFonts w:ascii="Arial" w:hAnsi="Arial" w:cs="Arial"/>
          <w:b/>
          <w:bCs/>
          <w:sz w:val="22"/>
          <w:szCs w:val="22"/>
        </w:rPr>
        <w:t>FORO DE TECNOLOGÍA, INNOVACIÓN Y SOSTENIBILIDAD</w:t>
      </w:r>
    </w:p>
    <w:p w14:paraId="3D1CBF94" w14:textId="77777777" w:rsidR="00493793" w:rsidRPr="00070851" w:rsidRDefault="00493793" w:rsidP="00493793">
      <w:pPr>
        <w:jc w:val="center"/>
        <w:rPr>
          <w:rFonts w:ascii="Arial" w:hAnsi="Arial" w:cs="Arial"/>
          <w:b/>
          <w:bCs/>
          <w:sz w:val="22"/>
          <w:szCs w:val="22"/>
        </w:rPr>
      </w:pPr>
      <w:r w:rsidRPr="00070851">
        <w:rPr>
          <w:rFonts w:ascii="Arial" w:hAnsi="Arial" w:cs="Arial"/>
          <w:b/>
          <w:bCs/>
          <w:sz w:val="22"/>
          <w:szCs w:val="22"/>
        </w:rPr>
        <w:t>CONVOCATORIA DE TRABAJOS TÉCNICOS</w:t>
      </w:r>
    </w:p>
    <w:p w14:paraId="12EE6536" w14:textId="77777777" w:rsidR="00493793" w:rsidRPr="00070851" w:rsidRDefault="00493793" w:rsidP="00493793">
      <w:pPr>
        <w:jc w:val="center"/>
        <w:rPr>
          <w:rFonts w:ascii="Arial" w:hAnsi="Arial" w:cs="Arial"/>
          <w:b/>
          <w:bCs/>
          <w:sz w:val="22"/>
          <w:szCs w:val="22"/>
        </w:rPr>
      </w:pPr>
      <w:r w:rsidRPr="00070851">
        <w:rPr>
          <w:rFonts w:ascii="Arial" w:hAnsi="Arial" w:cs="Arial"/>
          <w:b/>
          <w:bCs/>
          <w:sz w:val="22"/>
          <w:szCs w:val="22"/>
        </w:rPr>
        <w:t>PREMIO NACIONAL DE MINERÍA</w:t>
      </w:r>
    </w:p>
    <w:p w14:paraId="5EAD974A" w14:textId="599BA154" w:rsidR="00493793" w:rsidRPr="00070851" w:rsidRDefault="00493793" w:rsidP="00493793">
      <w:pPr>
        <w:rPr>
          <w:rFonts w:ascii="Arial" w:hAnsi="Arial" w:cs="Arial"/>
          <w:sz w:val="22"/>
          <w:szCs w:val="22"/>
        </w:rPr>
      </w:pPr>
      <w:r w:rsidRPr="00070851">
        <w:rPr>
          <w:rFonts w:ascii="Arial" w:hAnsi="Arial" w:cs="Arial"/>
          <w:b/>
          <w:bCs/>
          <w:sz w:val="22"/>
          <w:szCs w:val="22"/>
        </w:rPr>
        <w:t>Título:</w:t>
      </w:r>
      <w:r w:rsidRPr="00070851">
        <w:rPr>
          <w:rFonts w:ascii="Arial" w:hAnsi="Arial" w:cs="Arial"/>
          <w:sz w:val="22"/>
          <w:szCs w:val="22"/>
        </w:rPr>
        <w:t xml:space="preserve"> “</w:t>
      </w:r>
      <w:r w:rsidR="00D55E7E" w:rsidRPr="00D55E7E">
        <w:rPr>
          <w:rFonts w:ascii="Arial" w:hAnsi="Arial" w:cs="Arial"/>
          <w:sz w:val="22"/>
          <w:szCs w:val="22"/>
        </w:rPr>
        <w:t>Minerales críticos estratégicos: Potencial Minero en el Perú Central – Estrategia para el desarrollo</w:t>
      </w:r>
      <w:r w:rsidRPr="00070851">
        <w:rPr>
          <w:rFonts w:ascii="Arial" w:hAnsi="Arial" w:cs="Arial"/>
          <w:sz w:val="22"/>
          <w:szCs w:val="22"/>
        </w:rPr>
        <w:t>”</w:t>
      </w:r>
    </w:p>
    <w:p w14:paraId="6465F2AB" w14:textId="24FA2321" w:rsidR="00617CE8" w:rsidRPr="00D55E7E" w:rsidRDefault="00493793" w:rsidP="00493793">
      <w:pPr>
        <w:rPr>
          <w:rFonts w:ascii="Arial" w:hAnsi="Arial" w:cs="Arial"/>
          <w:sz w:val="22"/>
          <w:szCs w:val="22"/>
        </w:rPr>
      </w:pPr>
      <w:r w:rsidRPr="00070851">
        <w:rPr>
          <w:rFonts w:ascii="Arial" w:hAnsi="Arial" w:cs="Arial"/>
          <w:b/>
          <w:bCs/>
          <w:sz w:val="22"/>
          <w:szCs w:val="22"/>
        </w:rPr>
        <w:t>Categoría:</w:t>
      </w:r>
      <w:r w:rsidRPr="00070851">
        <w:rPr>
          <w:rFonts w:ascii="Arial" w:hAnsi="Arial" w:cs="Arial"/>
          <w:sz w:val="22"/>
          <w:szCs w:val="22"/>
        </w:rPr>
        <w:t xml:space="preserve"> </w:t>
      </w:r>
      <w:r w:rsidR="00D55E7E" w:rsidRPr="00D55E7E">
        <w:rPr>
          <w:rFonts w:ascii="Arial" w:hAnsi="Arial" w:cs="Arial"/>
          <w:sz w:val="22"/>
          <w:szCs w:val="22"/>
        </w:rPr>
        <w:t>Regulación y Economía Minera</w:t>
      </w:r>
    </w:p>
    <w:p w14:paraId="6DF5A93C" w14:textId="643F1DC5" w:rsidR="00493793" w:rsidRPr="00070851" w:rsidRDefault="00493793" w:rsidP="00493793">
      <w:pPr>
        <w:rPr>
          <w:rFonts w:ascii="Arial" w:hAnsi="Arial" w:cs="Arial"/>
          <w:sz w:val="22"/>
          <w:szCs w:val="22"/>
        </w:rPr>
      </w:pPr>
      <w:r w:rsidRPr="00070851">
        <w:rPr>
          <w:rFonts w:ascii="Arial" w:hAnsi="Arial" w:cs="Arial"/>
          <w:b/>
          <w:bCs/>
          <w:sz w:val="22"/>
          <w:szCs w:val="22"/>
        </w:rPr>
        <w:t>Datos del autor y coautores:</w:t>
      </w:r>
      <w:r w:rsidRPr="00070851">
        <w:rPr>
          <w:rFonts w:ascii="Arial" w:hAnsi="Arial" w:cs="Arial"/>
          <w:sz w:val="22"/>
          <w:szCs w:val="22"/>
        </w:rPr>
        <w:t xml:space="preserve"> </w:t>
      </w:r>
    </w:p>
    <w:p w14:paraId="7ECDE7D1" w14:textId="77777777" w:rsidR="00D55E7E" w:rsidRPr="00D55E7E" w:rsidRDefault="00D55E7E" w:rsidP="00D55E7E">
      <w:pPr>
        <w:spacing w:after="0"/>
        <w:rPr>
          <w:rFonts w:ascii="Arial" w:hAnsi="Arial" w:cs="Arial"/>
          <w:sz w:val="22"/>
          <w:szCs w:val="22"/>
        </w:rPr>
      </w:pPr>
      <w:r w:rsidRPr="00D55E7E">
        <w:rPr>
          <w:rFonts w:ascii="Arial" w:hAnsi="Arial" w:cs="Arial"/>
          <w:sz w:val="22"/>
          <w:szCs w:val="22"/>
        </w:rPr>
        <w:t xml:space="preserve">Autor: Cesar Farfán  </w:t>
      </w:r>
    </w:p>
    <w:p w14:paraId="3C43491E" w14:textId="77777777" w:rsidR="00D55E7E" w:rsidRPr="00D55E7E" w:rsidRDefault="00D55E7E" w:rsidP="00D55E7E">
      <w:pPr>
        <w:spacing w:after="0"/>
        <w:rPr>
          <w:rFonts w:ascii="Arial" w:hAnsi="Arial" w:cs="Arial"/>
          <w:sz w:val="22"/>
          <w:szCs w:val="22"/>
        </w:rPr>
      </w:pPr>
      <w:r w:rsidRPr="00D55E7E">
        <w:rPr>
          <w:rFonts w:ascii="Arial" w:hAnsi="Arial" w:cs="Arial"/>
          <w:sz w:val="22"/>
          <w:szCs w:val="22"/>
        </w:rPr>
        <w:t xml:space="preserve">Empresa: Volcan Compañía Minera S.A.A.  </w:t>
      </w:r>
    </w:p>
    <w:p w14:paraId="7C58D80A" w14:textId="77777777" w:rsidR="00D55E7E" w:rsidRPr="00D55E7E" w:rsidRDefault="00D55E7E" w:rsidP="00D55E7E">
      <w:pPr>
        <w:spacing w:after="0"/>
        <w:rPr>
          <w:rFonts w:ascii="Arial" w:hAnsi="Arial" w:cs="Arial"/>
          <w:sz w:val="22"/>
          <w:szCs w:val="22"/>
        </w:rPr>
      </w:pPr>
      <w:r w:rsidRPr="00D55E7E">
        <w:rPr>
          <w:rFonts w:ascii="Arial" w:hAnsi="Arial" w:cs="Arial"/>
          <w:sz w:val="22"/>
          <w:szCs w:val="22"/>
        </w:rPr>
        <w:t xml:space="preserve">Cargo: Gerente Corporativo de Exploraciones y Crecimiento </w:t>
      </w:r>
    </w:p>
    <w:p w14:paraId="7764F728" w14:textId="77777777" w:rsidR="00D55E7E" w:rsidRPr="00D55E7E" w:rsidRDefault="00D55E7E" w:rsidP="00D55E7E">
      <w:pPr>
        <w:spacing w:after="0"/>
        <w:rPr>
          <w:rFonts w:ascii="Arial" w:hAnsi="Arial" w:cs="Arial"/>
          <w:sz w:val="22"/>
          <w:szCs w:val="22"/>
        </w:rPr>
      </w:pPr>
      <w:r w:rsidRPr="00D55E7E">
        <w:rPr>
          <w:rFonts w:ascii="Arial" w:hAnsi="Arial" w:cs="Arial"/>
          <w:sz w:val="22"/>
          <w:szCs w:val="22"/>
        </w:rPr>
        <w:t xml:space="preserve">Dirección: Av. Manuel Olguín 373 – Santiago de Surco, Lima Perú </w:t>
      </w:r>
    </w:p>
    <w:p w14:paraId="776ABFBA" w14:textId="77777777" w:rsidR="00D55E7E" w:rsidRPr="00D55E7E" w:rsidRDefault="00D55E7E" w:rsidP="00D55E7E">
      <w:pPr>
        <w:spacing w:after="0"/>
        <w:rPr>
          <w:rFonts w:ascii="Arial" w:hAnsi="Arial" w:cs="Arial"/>
          <w:sz w:val="22"/>
          <w:szCs w:val="22"/>
          <w:lang w:val="pt-PT"/>
        </w:rPr>
      </w:pPr>
      <w:r w:rsidRPr="00D55E7E">
        <w:rPr>
          <w:rFonts w:ascii="Arial" w:hAnsi="Arial" w:cs="Arial"/>
          <w:sz w:val="22"/>
          <w:szCs w:val="22"/>
          <w:lang w:val="pt-PT"/>
        </w:rPr>
        <w:t xml:space="preserve">Correo corporativo: CFarfán@volcan.com.pe </w:t>
      </w:r>
    </w:p>
    <w:p w14:paraId="554A28B2" w14:textId="77777777" w:rsidR="00D55E7E" w:rsidRPr="00D55E7E" w:rsidRDefault="00D55E7E" w:rsidP="00D55E7E">
      <w:pPr>
        <w:spacing w:after="0"/>
        <w:rPr>
          <w:rFonts w:ascii="Arial" w:hAnsi="Arial" w:cs="Arial"/>
          <w:sz w:val="22"/>
          <w:szCs w:val="22"/>
          <w:lang w:val="pt-PT"/>
        </w:rPr>
      </w:pPr>
      <w:r w:rsidRPr="00D55E7E">
        <w:rPr>
          <w:rFonts w:ascii="Arial" w:hAnsi="Arial" w:cs="Arial"/>
          <w:sz w:val="22"/>
          <w:szCs w:val="22"/>
          <w:lang w:val="pt-PT"/>
        </w:rPr>
        <w:t xml:space="preserve">Correo personal: NA   </w:t>
      </w:r>
    </w:p>
    <w:p w14:paraId="190824AF" w14:textId="77777777" w:rsidR="00D55E7E" w:rsidRPr="00D55E7E" w:rsidRDefault="00D55E7E" w:rsidP="00D55E7E">
      <w:pPr>
        <w:spacing w:after="0"/>
        <w:rPr>
          <w:rFonts w:ascii="Arial" w:hAnsi="Arial" w:cs="Arial"/>
          <w:sz w:val="22"/>
          <w:szCs w:val="22"/>
        </w:rPr>
      </w:pPr>
      <w:r w:rsidRPr="00D55E7E">
        <w:rPr>
          <w:rFonts w:ascii="Arial" w:hAnsi="Arial" w:cs="Arial"/>
          <w:sz w:val="22"/>
          <w:szCs w:val="22"/>
        </w:rPr>
        <w:t xml:space="preserve">Teléfono fijo: +511 4167410   </w:t>
      </w:r>
    </w:p>
    <w:p w14:paraId="68741641" w14:textId="77777777" w:rsidR="00D55E7E" w:rsidRPr="00D55E7E" w:rsidRDefault="00D55E7E" w:rsidP="00D55E7E">
      <w:pPr>
        <w:spacing w:after="0"/>
        <w:rPr>
          <w:rFonts w:ascii="Arial" w:hAnsi="Arial" w:cs="Arial"/>
          <w:sz w:val="22"/>
          <w:szCs w:val="22"/>
        </w:rPr>
      </w:pPr>
      <w:r w:rsidRPr="00D55E7E">
        <w:rPr>
          <w:rFonts w:ascii="Arial" w:hAnsi="Arial" w:cs="Arial"/>
          <w:sz w:val="22"/>
          <w:szCs w:val="22"/>
        </w:rPr>
        <w:t>Celular:   +51 995736436</w:t>
      </w:r>
    </w:p>
    <w:p w14:paraId="48869CCC" w14:textId="77777777" w:rsidR="00D55E7E" w:rsidRPr="00D55E7E" w:rsidRDefault="00D55E7E" w:rsidP="00D55E7E">
      <w:pPr>
        <w:spacing w:after="0"/>
        <w:rPr>
          <w:rFonts w:ascii="Arial" w:hAnsi="Arial" w:cs="Arial"/>
          <w:sz w:val="22"/>
          <w:szCs w:val="22"/>
        </w:rPr>
      </w:pPr>
      <w:r w:rsidRPr="00D55E7E">
        <w:rPr>
          <w:rFonts w:ascii="Arial" w:hAnsi="Arial" w:cs="Arial"/>
          <w:sz w:val="22"/>
          <w:szCs w:val="22"/>
        </w:rPr>
        <w:t xml:space="preserve">  </w:t>
      </w:r>
    </w:p>
    <w:p w14:paraId="6F3A0823" w14:textId="77777777" w:rsidR="00D55E7E" w:rsidRPr="00D55E7E" w:rsidRDefault="00D55E7E" w:rsidP="00D55E7E">
      <w:pPr>
        <w:spacing w:after="0"/>
        <w:rPr>
          <w:rFonts w:ascii="Arial" w:hAnsi="Arial" w:cs="Arial"/>
          <w:sz w:val="22"/>
          <w:szCs w:val="22"/>
        </w:rPr>
      </w:pPr>
      <w:r w:rsidRPr="00D55E7E">
        <w:rPr>
          <w:rFonts w:ascii="Arial" w:hAnsi="Arial" w:cs="Arial"/>
          <w:sz w:val="22"/>
          <w:szCs w:val="22"/>
        </w:rPr>
        <w:t xml:space="preserve">Coautor: José Antonio Enriquez  </w:t>
      </w:r>
    </w:p>
    <w:p w14:paraId="2057123D" w14:textId="77777777" w:rsidR="00D55E7E" w:rsidRPr="00D55E7E" w:rsidRDefault="00D55E7E" w:rsidP="00D55E7E">
      <w:pPr>
        <w:spacing w:after="0"/>
        <w:rPr>
          <w:rFonts w:ascii="Arial" w:hAnsi="Arial" w:cs="Arial"/>
          <w:sz w:val="22"/>
          <w:szCs w:val="22"/>
        </w:rPr>
      </w:pPr>
      <w:r w:rsidRPr="00D55E7E">
        <w:rPr>
          <w:rFonts w:ascii="Arial" w:hAnsi="Arial" w:cs="Arial"/>
          <w:sz w:val="22"/>
          <w:szCs w:val="22"/>
        </w:rPr>
        <w:t>Empresa: Volcan Compañía Minera S.A.A.</w:t>
      </w:r>
    </w:p>
    <w:p w14:paraId="47637AD0" w14:textId="77777777" w:rsidR="00D55E7E" w:rsidRPr="00D55E7E" w:rsidRDefault="00D55E7E" w:rsidP="00D55E7E">
      <w:pPr>
        <w:spacing w:after="0"/>
        <w:rPr>
          <w:rFonts w:ascii="Arial" w:hAnsi="Arial" w:cs="Arial"/>
          <w:sz w:val="22"/>
          <w:szCs w:val="22"/>
        </w:rPr>
      </w:pPr>
      <w:r w:rsidRPr="00D55E7E">
        <w:rPr>
          <w:rFonts w:ascii="Arial" w:hAnsi="Arial" w:cs="Arial"/>
          <w:sz w:val="22"/>
          <w:szCs w:val="22"/>
        </w:rPr>
        <w:t xml:space="preserve">Cargo: Sub-Gerente de Exploraciones Regionales </w:t>
      </w:r>
    </w:p>
    <w:p w14:paraId="4E6B506F" w14:textId="77777777" w:rsidR="00D55E7E" w:rsidRPr="00D55E7E" w:rsidRDefault="00D55E7E" w:rsidP="00D55E7E">
      <w:pPr>
        <w:spacing w:after="0"/>
        <w:rPr>
          <w:rFonts w:ascii="Arial" w:hAnsi="Arial" w:cs="Arial"/>
          <w:sz w:val="22"/>
          <w:szCs w:val="22"/>
        </w:rPr>
      </w:pPr>
      <w:r w:rsidRPr="00D55E7E">
        <w:rPr>
          <w:rFonts w:ascii="Arial" w:hAnsi="Arial" w:cs="Arial"/>
          <w:sz w:val="22"/>
          <w:szCs w:val="22"/>
        </w:rPr>
        <w:t xml:space="preserve">Dirección: Av. Manuel Olguín 373 – Santiago de Surco, Lima Perú </w:t>
      </w:r>
    </w:p>
    <w:p w14:paraId="05F9881F" w14:textId="77777777" w:rsidR="00D55E7E" w:rsidRPr="00D55E7E" w:rsidRDefault="00D55E7E" w:rsidP="00D55E7E">
      <w:pPr>
        <w:spacing w:after="0"/>
        <w:rPr>
          <w:rFonts w:ascii="Arial" w:hAnsi="Arial" w:cs="Arial"/>
          <w:sz w:val="22"/>
          <w:szCs w:val="22"/>
        </w:rPr>
      </w:pPr>
      <w:r w:rsidRPr="00D55E7E">
        <w:rPr>
          <w:rFonts w:ascii="Arial" w:hAnsi="Arial" w:cs="Arial"/>
          <w:sz w:val="22"/>
          <w:szCs w:val="22"/>
        </w:rPr>
        <w:t xml:space="preserve">Correo corporativo: JAEnriquez@volcan.com.pe </w:t>
      </w:r>
    </w:p>
    <w:p w14:paraId="50E7BFEA" w14:textId="77777777" w:rsidR="00D55E7E" w:rsidRPr="00D55E7E" w:rsidRDefault="00D55E7E" w:rsidP="00D55E7E">
      <w:pPr>
        <w:spacing w:after="0"/>
        <w:rPr>
          <w:rFonts w:ascii="Arial" w:hAnsi="Arial" w:cs="Arial"/>
          <w:sz w:val="22"/>
          <w:szCs w:val="22"/>
        </w:rPr>
      </w:pPr>
      <w:r w:rsidRPr="00D55E7E">
        <w:rPr>
          <w:rFonts w:ascii="Arial" w:hAnsi="Arial" w:cs="Arial"/>
          <w:sz w:val="22"/>
          <w:szCs w:val="22"/>
        </w:rPr>
        <w:t xml:space="preserve">Correo personal: NA  </w:t>
      </w:r>
    </w:p>
    <w:p w14:paraId="65BA45C1" w14:textId="77777777" w:rsidR="00D55E7E" w:rsidRPr="00D55E7E" w:rsidRDefault="00D55E7E" w:rsidP="00D55E7E">
      <w:pPr>
        <w:spacing w:after="0"/>
        <w:rPr>
          <w:rFonts w:ascii="Arial" w:hAnsi="Arial" w:cs="Arial"/>
          <w:sz w:val="22"/>
          <w:szCs w:val="22"/>
        </w:rPr>
      </w:pPr>
      <w:r w:rsidRPr="00D55E7E">
        <w:rPr>
          <w:rFonts w:ascii="Arial" w:hAnsi="Arial" w:cs="Arial"/>
          <w:sz w:val="22"/>
          <w:szCs w:val="22"/>
        </w:rPr>
        <w:t xml:space="preserve">Teléfono fijo: +511 4167418  </w:t>
      </w:r>
    </w:p>
    <w:p w14:paraId="312F87D6" w14:textId="3612DD79" w:rsidR="00493793" w:rsidRPr="00070851" w:rsidRDefault="00D55E7E" w:rsidP="00D55E7E">
      <w:pPr>
        <w:spacing w:after="0"/>
        <w:rPr>
          <w:rFonts w:ascii="Arial" w:hAnsi="Arial" w:cs="Arial"/>
          <w:sz w:val="22"/>
          <w:szCs w:val="22"/>
        </w:rPr>
      </w:pPr>
      <w:r w:rsidRPr="00D55E7E">
        <w:rPr>
          <w:rFonts w:ascii="Arial" w:hAnsi="Arial" w:cs="Arial"/>
          <w:sz w:val="22"/>
          <w:szCs w:val="22"/>
        </w:rPr>
        <w:t xml:space="preserve">Celular: +51 965986995  </w:t>
      </w:r>
    </w:p>
    <w:p w14:paraId="514B72F0" w14:textId="77777777" w:rsidR="00D55E7E" w:rsidRDefault="00D55E7E" w:rsidP="00493793">
      <w:pPr>
        <w:rPr>
          <w:rFonts w:ascii="Arial" w:hAnsi="Arial" w:cs="Arial"/>
          <w:b/>
          <w:bCs/>
          <w:sz w:val="22"/>
          <w:szCs w:val="22"/>
        </w:rPr>
      </w:pPr>
    </w:p>
    <w:p w14:paraId="12A60B90" w14:textId="0CC73511" w:rsidR="00493793" w:rsidRPr="00070851" w:rsidRDefault="00493793" w:rsidP="00493793">
      <w:pPr>
        <w:rPr>
          <w:rFonts w:ascii="Arial" w:hAnsi="Arial" w:cs="Arial"/>
          <w:b/>
          <w:bCs/>
          <w:sz w:val="22"/>
          <w:szCs w:val="22"/>
        </w:rPr>
      </w:pPr>
      <w:r w:rsidRPr="00070851">
        <w:rPr>
          <w:rFonts w:ascii="Arial" w:hAnsi="Arial" w:cs="Arial"/>
          <w:b/>
          <w:bCs/>
          <w:sz w:val="22"/>
          <w:szCs w:val="22"/>
        </w:rPr>
        <w:t>RESUMEN:</w:t>
      </w:r>
    </w:p>
    <w:p w14:paraId="08573165" w14:textId="77777777" w:rsidR="00D55E7E" w:rsidRDefault="00D55E7E" w:rsidP="00D55E7E">
      <w:pPr>
        <w:spacing w:line="360" w:lineRule="auto"/>
        <w:jc w:val="both"/>
        <w:rPr>
          <w:rFonts w:ascii="Arial" w:hAnsi="Arial" w:cs="Arial"/>
          <w:sz w:val="22"/>
          <w:szCs w:val="22"/>
        </w:rPr>
      </w:pPr>
      <w:r w:rsidRPr="00D55E7E">
        <w:rPr>
          <w:rFonts w:ascii="Arial" w:hAnsi="Arial" w:cs="Arial"/>
          <w:sz w:val="22"/>
          <w:szCs w:val="22"/>
        </w:rPr>
        <w:t>A medida que aumenta la demanda mundial de minerales y metales críticos necesarios para la transición hacia un futuro con bajas emisiones de carbono, donde es necesario la producción de tecnologías de energía limpia, desde turbinas eólicas hasta coches eléctricos. nuestro país cuenta con un potencial minero importante dentro de nuestro territorio. Actualmente, las exportaciones de minerales críticos representan 6% de la demanda mundial (</w:t>
      </w:r>
      <w:proofErr w:type="spellStart"/>
      <w:r w:rsidRPr="00D55E7E">
        <w:rPr>
          <w:rFonts w:ascii="Arial" w:hAnsi="Arial" w:cs="Arial"/>
          <w:sz w:val="22"/>
          <w:szCs w:val="22"/>
        </w:rPr>
        <w:t>Monia</w:t>
      </w:r>
      <w:proofErr w:type="spellEnd"/>
      <w:r w:rsidRPr="00D55E7E">
        <w:rPr>
          <w:rFonts w:ascii="Arial" w:hAnsi="Arial" w:cs="Arial"/>
          <w:sz w:val="22"/>
          <w:szCs w:val="22"/>
        </w:rPr>
        <w:t xml:space="preserve"> </w:t>
      </w:r>
      <w:proofErr w:type="spellStart"/>
      <w:r w:rsidRPr="00D55E7E">
        <w:rPr>
          <w:rFonts w:ascii="Arial" w:hAnsi="Arial" w:cs="Arial"/>
          <w:sz w:val="22"/>
          <w:szCs w:val="22"/>
        </w:rPr>
        <w:t>Snoussi-Mimouni</w:t>
      </w:r>
      <w:proofErr w:type="spellEnd"/>
      <w:r w:rsidRPr="00D55E7E">
        <w:rPr>
          <w:rFonts w:ascii="Arial" w:hAnsi="Arial" w:cs="Arial"/>
          <w:sz w:val="22"/>
          <w:szCs w:val="22"/>
        </w:rPr>
        <w:t xml:space="preserve">, Sandra </w:t>
      </w:r>
      <w:proofErr w:type="spellStart"/>
      <w:r w:rsidRPr="00D55E7E">
        <w:rPr>
          <w:rFonts w:ascii="Arial" w:hAnsi="Arial" w:cs="Arial"/>
          <w:sz w:val="22"/>
          <w:szCs w:val="22"/>
        </w:rPr>
        <w:t>Avérous</w:t>
      </w:r>
      <w:proofErr w:type="spellEnd"/>
      <w:r w:rsidRPr="00D55E7E">
        <w:rPr>
          <w:rFonts w:ascii="Arial" w:hAnsi="Arial" w:cs="Arial"/>
          <w:sz w:val="22"/>
          <w:szCs w:val="22"/>
        </w:rPr>
        <w:t xml:space="preserve">, 2024 </w:t>
      </w:r>
      <w:proofErr w:type="spellStart"/>
      <w:r w:rsidRPr="00D55E7E">
        <w:rPr>
          <w:rFonts w:ascii="Arial" w:hAnsi="Arial" w:cs="Arial"/>
          <w:sz w:val="22"/>
          <w:szCs w:val="22"/>
        </w:rPr>
        <w:t>World</w:t>
      </w:r>
      <w:proofErr w:type="spellEnd"/>
      <w:r w:rsidRPr="00D55E7E">
        <w:rPr>
          <w:rFonts w:ascii="Arial" w:hAnsi="Arial" w:cs="Arial"/>
          <w:sz w:val="22"/>
          <w:szCs w:val="22"/>
        </w:rPr>
        <w:t xml:space="preserve"> </w:t>
      </w:r>
      <w:proofErr w:type="spellStart"/>
      <w:r w:rsidRPr="00D55E7E">
        <w:rPr>
          <w:rFonts w:ascii="Arial" w:hAnsi="Arial" w:cs="Arial"/>
          <w:sz w:val="22"/>
          <w:szCs w:val="22"/>
        </w:rPr>
        <w:t>Trade</w:t>
      </w:r>
      <w:proofErr w:type="spellEnd"/>
      <w:r w:rsidRPr="00D55E7E">
        <w:rPr>
          <w:rFonts w:ascii="Arial" w:hAnsi="Arial" w:cs="Arial"/>
          <w:sz w:val="22"/>
          <w:szCs w:val="22"/>
        </w:rPr>
        <w:t xml:space="preserve"> </w:t>
      </w:r>
      <w:proofErr w:type="spellStart"/>
      <w:r w:rsidRPr="00D55E7E">
        <w:rPr>
          <w:rFonts w:ascii="Arial" w:hAnsi="Arial" w:cs="Arial"/>
          <w:sz w:val="22"/>
          <w:szCs w:val="22"/>
        </w:rPr>
        <w:t>Organization</w:t>
      </w:r>
      <w:proofErr w:type="spellEnd"/>
      <w:r w:rsidRPr="00D55E7E">
        <w:rPr>
          <w:rFonts w:ascii="Arial" w:hAnsi="Arial" w:cs="Arial"/>
          <w:sz w:val="22"/>
          <w:szCs w:val="22"/>
        </w:rPr>
        <w:t xml:space="preserve">), siendo durante el año 2024 el tercer productor de cobre a nivel mundial con una producción de 2.6 millones de toneladas después de Chile (5.3 millones de toneladas) y El Congo (3.3 millones de toneladas). Asimismo, nuestro país es segundo productor de zinc a nivel mundial con una producción 1.3 millones de toneladas durante </w:t>
      </w:r>
      <w:r w:rsidRPr="00D55E7E">
        <w:rPr>
          <w:rFonts w:ascii="Arial" w:hAnsi="Arial" w:cs="Arial"/>
          <w:sz w:val="22"/>
          <w:szCs w:val="22"/>
        </w:rPr>
        <w:lastRenderedPageBreak/>
        <w:t>el año 2024 después de China (4 millones de toneladas); y es el tercer productor de plata a nivel mundial con una producción de 3.1 millones de toneladas después de México (6.3 millones de toneladas) y China (3.3 millones de toneladas).</w:t>
      </w:r>
    </w:p>
    <w:p w14:paraId="441F36D0" w14:textId="11FDCA21" w:rsidR="00D55E7E" w:rsidRPr="00D55E7E" w:rsidRDefault="00D55E7E" w:rsidP="00D55E7E">
      <w:pPr>
        <w:spacing w:line="360" w:lineRule="auto"/>
        <w:jc w:val="both"/>
        <w:rPr>
          <w:rFonts w:ascii="Arial" w:hAnsi="Arial" w:cs="Arial"/>
          <w:sz w:val="22"/>
          <w:szCs w:val="22"/>
        </w:rPr>
      </w:pPr>
      <w:r w:rsidRPr="00D55E7E">
        <w:rPr>
          <w:rFonts w:ascii="Arial" w:hAnsi="Arial" w:cs="Arial"/>
          <w:sz w:val="22"/>
          <w:szCs w:val="22"/>
        </w:rPr>
        <w:t>El territorio peruano contiene un gran potencial de minerales polimetálicos, lo que nos ha permitido situarnos hace varias décadas entre los 10 principales productores mundiales de cobre, plata, oro, plomo, zinc, estaño y molibdeno, así como gran expectativa de desarrollar minerales críticos con gran demanda internacional y como componente esencial del desarrollo económico, siendo el sector que aporta poco más del 10% del producto interno bruto.</w:t>
      </w:r>
    </w:p>
    <w:p w14:paraId="54097A28" w14:textId="50401CF8" w:rsidR="00D55E7E" w:rsidRPr="00D55E7E" w:rsidRDefault="00D55E7E" w:rsidP="00D55E7E">
      <w:pPr>
        <w:spacing w:line="360" w:lineRule="auto"/>
        <w:jc w:val="both"/>
        <w:rPr>
          <w:rFonts w:ascii="Arial" w:hAnsi="Arial" w:cs="Arial"/>
          <w:sz w:val="22"/>
          <w:szCs w:val="22"/>
        </w:rPr>
      </w:pPr>
      <w:r w:rsidRPr="00D55E7E">
        <w:rPr>
          <w:rFonts w:ascii="Arial" w:hAnsi="Arial" w:cs="Arial"/>
          <w:sz w:val="22"/>
          <w:szCs w:val="22"/>
        </w:rPr>
        <w:t xml:space="preserve">De acuerdo al reporte MINERAL COMMODITY SUMMARIES 2025 (USGS versión 1.2, March 2025), el Perú cuenta con reservas de 100 millones de toneladas de cobre que representa el 10.2% de las reservas mundiales, 20 millones de toneladas de zinc que representa el 8.7% de las reservas mundiales, 140 millones de toneladas de plata (el mayor del mundo) que representa el 21.9% de las reservas mundiales, 130 millones de toneladas de estaño (3% de las reservas mundiales) y 1.9 millones de toneladas de molibdeno, que representa el 12.7% de las reservas mundiales.    </w:t>
      </w:r>
    </w:p>
    <w:p w14:paraId="419CA11C" w14:textId="46A42CC9" w:rsidR="00D55E7E" w:rsidRPr="00D55E7E" w:rsidRDefault="00D55E7E" w:rsidP="00D55E7E">
      <w:pPr>
        <w:spacing w:line="360" w:lineRule="auto"/>
        <w:jc w:val="both"/>
        <w:rPr>
          <w:rFonts w:ascii="Arial" w:hAnsi="Arial" w:cs="Arial"/>
          <w:sz w:val="22"/>
          <w:szCs w:val="22"/>
        </w:rPr>
      </w:pPr>
      <w:r w:rsidRPr="00D55E7E">
        <w:rPr>
          <w:rFonts w:ascii="Arial" w:hAnsi="Arial" w:cs="Arial"/>
          <w:sz w:val="22"/>
          <w:szCs w:val="22"/>
        </w:rPr>
        <w:t>Una parte importante de las reservas y potencial de zinc, plata, cobre, molibdeno, antimonio, estaño y otros minerales críticos se ubican en el centro del Perú, donde Volcan Cía. Minera S.A.A. está diseñado un modelo de desarrollo de su potencial con una visión a largo plazo.</w:t>
      </w:r>
    </w:p>
    <w:p w14:paraId="3D375143" w14:textId="2356FAEE" w:rsidR="00D55E7E" w:rsidRPr="00D55E7E" w:rsidRDefault="00D55E7E" w:rsidP="00D55E7E">
      <w:pPr>
        <w:spacing w:line="360" w:lineRule="auto"/>
        <w:jc w:val="both"/>
        <w:rPr>
          <w:rFonts w:ascii="Arial" w:hAnsi="Arial" w:cs="Arial"/>
          <w:sz w:val="22"/>
          <w:szCs w:val="22"/>
        </w:rPr>
      </w:pPr>
      <w:r w:rsidRPr="00D55E7E">
        <w:rPr>
          <w:rFonts w:ascii="Arial" w:hAnsi="Arial" w:cs="Arial"/>
          <w:sz w:val="22"/>
          <w:szCs w:val="22"/>
        </w:rPr>
        <w:t xml:space="preserve">Ha sido fundamental para Volcan, adoptar un modelo geológico conceptual que estudia las características de los depósitos polimetálicos en el centro del país, lo que le ha permitido poner en cartera un número importante de proyectos que se desarrollarán en los próximos años con metas de corto, mediano y largo plazo, enfocados además en minerales críticos que tendrán gran demanda hacia el 2050. </w:t>
      </w:r>
    </w:p>
    <w:p w14:paraId="0E355993" w14:textId="77777777" w:rsidR="00D55E7E" w:rsidRPr="00D55E7E" w:rsidRDefault="00D55E7E" w:rsidP="00D55E7E">
      <w:pPr>
        <w:spacing w:line="360" w:lineRule="auto"/>
        <w:jc w:val="both"/>
        <w:rPr>
          <w:rFonts w:ascii="Arial" w:hAnsi="Arial" w:cs="Arial"/>
          <w:sz w:val="22"/>
          <w:szCs w:val="22"/>
        </w:rPr>
      </w:pPr>
      <w:r w:rsidRPr="00D55E7E">
        <w:rPr>
          <w:rFonts w:ascii="Arial" w:hAnsi="Arial" w:cs="Arial"/>
          <w:sz w:val="22"/>
          <w:szCs w:val="22"/>
        </w:rPr>
        <w:t xml:space="preserve">Desarrollando el potencial de los proyectos en actual exploración, Volcan sumaría recursos en zinc que podrían representar el 41.5% de las reservas actuales en el país, así como recursos de plata y un importante incremento en cobre, así como también otros minerales críticos como antimonio, manganeso, tungsteno, estaño, molibdeno, níquel, entre otros, que se distribuyen en las concesiones mineras de Volcan.      </w:t>
      </w:r>
    </w:p>
    <w:p w14:paraId="5898902F" w14:textId="67069AF9" w:rsidR="0087070B" w:rsidRDefault="0087070B" w:rsidP="00D55E7E">
      <w:pPr>
        <w:spacing w:line="360" w:lineRule="auto"/>
        <w:jc w:val="both"/>
      </w:pPr>
    </w:p>
    <w:sectPr w:rsidR="0087070B">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D3931" w14:textId="77777777" w:rsidR="00F71528" w:rsidRDefault="00F71528" w:rsidP="00493793">
      <w:pPr>
        <w:spacing w:after="0" w:line="240" w:lineRule="auto"/>
      </w:pPr>
      <w:r>
        <w:separator/>
      </w:r>
    </w:p>
  </w:endnote>
  <w:endnote w:type="continuationSeparator" w:id="0">
    <w:p w14:paraId="7AFC2D4C" w14:textId="77777777" w:rsidR="00F71528" w:rsidRDefault="00F71528" w:rsidP="00493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A4210" w14:textId="77777777" w:rsidR="00F71528" w:rsidRDefault="00F71528" w:rsidP="00493793">
      <w:pPr>
        <w:spacing w:after="0" w:line="240" w:lineRule="auto"/>
      </w:pPr>
      <w:r>
        <w:separator/>
      </w:r>
    </w:p>
  </w:footnote>
  <w:footnote w:type="continuationSeparator" w:id="0">
    <w:p w14:paraId="02E58B55" w14:textId="77777777" w:rsidR="00F71528" w:rsidRDefault="00F71528" w:rsidP="004937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7B4FE" w14:textId="77777777" w:rsidR="00493793" w:rsidRDefault="00493793" w:rsidP="00493793">
    <w:pPr>
      <w:pStyle w:val="Encabezado"/>
    </w:pPr>
    <w:r>
      <w:rPr>
        <w:noProof/>
      </w:rPr>
      <w:drawing>
        <wp:inline distT="0" distB="0" distL="0" distR="0" wp14:anchorId="71272DF7" wp14:editId="071B57B1">
          <wp:extent cx="1638300" cy="367111"/>
          <wp:effectExtent l="0" t="0" r="0" b="0"/>
          <wp:docPr id="142062160"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2160" name="Imagen 1" descr="Imagen que contiene Texto&#10;&#10;Descripción generada automáticamente"/>
                  <pic:cNvPicPr/>
                </pic:nvPicPr>
                <pic:blipFill>
                  <a:blip r:embed="rId1"/>
                  <a:stretch>
                    <a:fillRect/>
                  </a:stretch>
                </pic:blipFill>
                <pic:spPr>
                  <a:xfrm>
                    <a:off x="0" y="0"/>
                    <a:ext cx="1646611" cy="368973"/>
                  </a:xfrm>
                  <a:prstGeom prst="rect">
                    <a:avLst/>
                  </a:prstGeom>
                </pic:spPr>
              </pic:pic>
            </a:graphicData>
          </a:graphic>
        </wp:inline>
      </w:drawing>
    </w:r>
    <w:r>
      <w:tab/>
    </w:r>
    <w:r>
      <w:tab/>
    </w:r>
    <w:r>
      <w:rPr>
        <w:noProof/>
      </w:rPr>
      <w:drawing>
        <wp:inline distT="0" distB="0" distL="0" distR="0" wp14:anchorId="3EFFD7A0" wp14:editId="77FFE30C">
          <wp:extent cx="1150620" cy="380069"/>
          <wp:effectExtent l="0" t="0" r="0" b="1270"/>
          <wp:docPr id="211538824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88241" name="Imagen 1" descr="Texto&#10;&#10;Descripción generada automáticamente"/>
                  <pic:cNvPicPr/>
                </pic:nvPicPr>
                <pic:blipFill>
                  <a:blip r:embed="rId2"/>
                  <a:stretch>
                    <a:fillRect/>
                  </a:stretch>
                </pic:blipFill>
                <pic:spPr>
                  <a:xfrm>
                    <a:off x="0" y="0"/>
                    <a:ext cx="1165622" cy="385024"/>
                  </a:xfrm>
                  <a:prstGeom prst="rect">
                    <a:avLst/>
                  </a:prstGeom>
                </pic:spPr>
              </pic:pic>
            </a:graphicData>
          </a:graphic>
        </wp:inline>
      </w:drawing>
    </w:r>
  </w:p>
  <w:p w14:paraId="17193A02" w14:textId="77777777" w:rsidR="00493793" w:rsidRDefault="0049379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F3390"/>
    <w:multiLevelType w:val="hybridMultilevel"/>
    <w:tmpl w:val="3384A33A"/>
    <w:lvl w:ilvl="0" w:tplc="C8587648">
      <w:start w:val="2"/>
      <w:numFmt w:val="bullet"/>
      <w:lvlText w:val="-"/>
      <w:lvlJc w:val="left"/>
      <w:pPr>
        <w:ind w:left="1068" w:hanging="360"/>
      </w:pPr>
      <w:rPr>
        <w:rFonts w:ascii="Aptos" w:eastAsiaTheme="minorHAnsi" w:hAnsi="Aptos" w:cstheme="minorBidi"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 w15:restartNumberingAfterBreak="0">
    <w:nsid w:val="6E92388E"/>
    <w:multiLevelType w:val="hybridMultilevel"/>
    <w:tmpl w:val="9FA62806"/>
    <w:lvl w:ilvl="0" w:tplc="B12EA5C2">
      <w:numFmt w:val="bullet"/>
      <w:lvlText w:val="-"/>
      <w:lvlJc w:val="left"/>
      <w:pPr>
        <w:ind w:left="720" w:hanging="360"/>
      </w:pPr>
      <w:rPr>
        <w:rFonts w:ascii="Aptos" w:eastAsia="Aptos" w:hAnsi="Aptos" w:cs="Times New Roman"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num w:numId="1" w16cid:durableId="1197892717">
    <w:abstractNumId w:val="0"/>
  </w:num>
  <w:num w:numId="2" w16cid:durableId="19376699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793"/>
    <w:rsid w:val="00244366"/>
    <w:rsid w:val="00261D77"/>
    <w:rsid w:val="00334E13"/>
    <w:rsid w:val="00493793"/>
    <w:rsid w:val="00496D8D"/>
    <w:rsid w:val="00617CE8"/>
    <w:rsid w:val="0087070B"/>
    <w:rsid w:val="00AF3796"/>
    <w:rsid w:val="00C913AF"/>
    <w:rsid w:val="00D55E7E"/>
    <w:rsid w:val="00F7152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E3C80"/>
  <w15:chartTrackingRefBased/>
  <w15:docId w15:val="{6F093840-88EC-4A75-8F16-C00657F38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793"/>
  </w:style>
  <w:style w:type="paragraph" w:styleId="Ttulo1">
    <w:name w:val="heading 1"/>
    <w:basedOn w:val="Normal"/>
    <w:next w:val="Normal"/>
    <w:link w:val="Ttulo1Car"/>
    <w:uiPriority w:val="9"/>
    <w:qFormat/>
    <w:rsid w:val="004937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937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379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379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379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37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37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37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379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379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9379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379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379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379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379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379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379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3793"/>
    <w:rPr>
      <w:rFonts w:eastAsiaTheme="majorEastAsia" w:cstheme="majorBidi"/>
      <w:color w:val="272727" w:themeColor="text1" w:themeTint="D8"/>
    </w:rPr>
  </w:style>
  <w:style w:type="paragraph" w:styleId="Ttulo">
    <w:name w:val="Title"/>
    <w:basedOn w:val="Normal"/>
    <w:next w:val="Normal"/>
    <w:link w:val="TtuloCar"/>
    <w:uiPriority w:val="10"/>
    <w:qFormat/>
    <w:rsid w:val="00493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37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379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379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3793"/>
    <w:pPr>
      <w:spacing w:before="160"/>
      <w:jc w:val="center"/>
    </w:pPr>
    <w:rPr>
      <w:i/>
      <w:iCs/>
      <w:color w:val="404040" w:themeColor="text1" w:themeTint="BF"/>
    </w:rPr>
  </w:style>
  <w:style w:type="character" w:customStyle="1" w:styleId="CitaCar">
    <w:name w:val="Cita Car"/>
    <w:basedOn w:val="Fuentedeprrafopredeter"/>
    <w:link w:val="Cita"/>
    <w:uiPriority w:val="29"/>
    <w:rsid w:val="00493793"/>
    <w:rPr>
      <w:i/>
      <w:iCs/>
      <w:color w:val="404040" w:themeColor="text1" w:themeTint="BF"/>
    </w:rPr>
  </w:style>
  <w:style w:type="paragraph" w:styleId="Prrafodelista">
    <w:name w:val="List Paragraph"/>
    <w:basedOn w:val="Normal"/>
    <w:uiPriority w:val="34"/>
    <w:qFormat/>
    <w:rsid w:val="00493793"/>
    <w:pPr>
      <w:ind w:left="720"/>
      <w:contextualSpacing/>
    </w:pPr>
  </w:style>
  <w:style w:type="character" w:styleId="nfasisintenso">
    <w:name w:val="Intense Emphasis"/>
    <w:basedOn w:val="Fuentedeprrafopredeter"/>
    <w:uiPriority w:val="21"/>
    <w:qFormat/>
    <w:rsid w:val="00493793"/>
    <w:rPr>
      <w:i/>
      <w:iCs/>
      <w:color w:val="0F4761" w:themeColor="accent1" w:themeShade="BF"/>
    </w:rPr>
  </w:style>
  <w:style w:type="paragraph" w:styleId="Citadestacada">
    <w:name w:val="Intense Quote"/>
    <w:basedOn w:val="Normal"/>
    <w:next w:val="Normal"/>
    <w:link w:val="CitadestacadaCar"/>
    <w:uiPriority w:val="30"/>
    <w:qFormat/>
    <w:rsid w:val="004937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3793"/>
    <w:rPr>
      <w:i/>
      <w:iCs/>
      <w:color w:val="0F4761" w:themeColor="accent1" w:themeShade="BF"/>
    </w:rPr>
  </w:style>
  <w:style w:type="character" w:styleId="Referenciaintensa">
    <w:name w:val="Intense Reference"/>
    <w:basedOn w:val="Fuentedeprrafopredeter"/>
    <w:uiPriority w:val="32"/>
    <w:qFormat/>
    <w:rsid w:val="00493793"/>
    <w:rPr>
      <w:b/>
      <w:bCs/>
      <w:smallCaps/>
      <w:color w:val="0F4761" w:themeColor="accent1" w:themeShade="BF"/>
      <w:spacing w:val="5"/>
    </w:rPr>
  </w:style>
  <w:style w:type="character" w:styleId="Hipervnculo">
    <w:name w:val="Hyperlink"/>
    <w:basedOn w:val="Fuentedeprrafopredeter"/>
    <w:uiPriority w:val="99"/>
    <w:unhideWhenUsed/>
    <w:rsid w:val="00493793"/>
    <w:rPr>
      <w:color w:val="467886" w:themeColor="hyperlink"/>
      <w:u w:val="single"/>
    </w:rPr>
  </w:style>
  <w:style w:type="paragraph" w:styleId="Encabezado">
    <w:name w:val="header"/>
    <w:basedOn w:val="Normal"/>
    <w:link w:val="EncabezadoCar"/>
    <w:uiPriority w:val="99"/>
    <w:unhideWhenUsed/>
    <w:rsid w:val="0049379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93793"/>
  </w:style>
  <w:style w:type="paragraph" w:styleId="Piedepgina">
    <w:name w:val="footer"/>
    <w:basedOn w:val="Normal"/>
    <w:link w:val="PiedepginaCar"/>
    <w:uiPriority w:val="99"/>
    <w:unhideWhenUsed/>
    <w:rsid w:val="0049379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937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637</Words>
  <Characters>3504</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Volcan</Company>
  <LinksUpToDate>false</LinksUpToDate>
  <CharactersWithSpaces>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Vega Milon, Gianfranco Mijael</dc:creator>
  <cp:keywords/>
  <dc:description/>
  <cp:lastModifiedBy>Becerra Carrillo, Sergio Andre</cp:lastModifiedBy>
  <cp:revision>3</cp:revision>
  <dcterms:created xsi:type="dcterms:W3CDTF">2025-03-26T22:09:00Z</dcterms:created>
  <dcterms:modified xsi:type="dcterms:W3CDTF">2025-03-26T22:11:00Z</dcterms:modified>
</cp:coreProperties>
</file>