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3BBF0" w14:textId="77777777" w:rsidR="00ED7321" w:rsidRPr="00ED7321" w:rsidRDefault="00ED7321" w:rsidP="00ED7321">
      <w:pPr>
        <w:rPr>
          <w:rFonts w:ascii="Arial" w:hAnsi="Arial" w:cs="Arial"/>
          <w:b/>
          <w:bCs/>
        </w:rPr>
      </w:pPr>
      <w:bookmarkStart w:id="0" w:name="_Hlk198372564"/>
      <w:bookmarkEnd w:id="0"/>
      <w:r w:rsidRPr="00ED7321">
        <w:rPr>
          <w:rFonts w:ascii="Arial" w:hAnsi="Arial" w:cs="Arial"/>
          <w:b/>
          <w:bCs/>
        </w:rPr>
        <w:t>“Optimización de la recuperación de Pilares con la Aplicación de RHC en Sociedad Minera El Brocal SAA”</w:t>
      </w:r>
    </w:p>
    <w:p w14:paraId="04FDB158" w14:textId="77777777" w:rsidR="00ED7321" w:rsidRDefault="00ED7321" w:rsidP="00ED7321">
      <w:pPr>
        <w:jc w:val="center"/>
      </w:pPr>
      <w:r>
        <w:t>Jherson I. Pantoja de la Cruz, Rodrigo Garcia Vera</w:t>
      </w:r>
    </w:p>
    <w:p w14:paraId="13893791" w14:textId="77777777" w:rsidR="00ED7321" w:rsidRPr="00BC4D43" w:rsidRDefault="00ED7321" w:rsidP="00ED7321">
      <w:pPr>
        <w:ind w:left="142" w:hanging="142"/>
        <w:jc w:val="both"/>
        <w:rPr>
          <w:rFonts w:asciiTheme="majorHAnsi" w:hAnsiTheme="majorHAnsi" w:cstheme="majorHAnsi"/>
        </w:rPr>
      </w:pPr>
      <w:r w:rsidRPr="00BC4D43">
        <w:rPr>
          <w:rFonts w:asciiTheme="majorHAnsi" w:hAnsiTheme="majorHAnsi" w:cstheme="majorHAnsi"/>
          <w:vertAlign w:val="superscript"/>
        </w:rPr>
        <w:t>1</w:t>
      </w:r>
      <w:r w:rsidRPr="00BC4D43">
        <w:rPr>
          <w:rFonts w:asciiTheme="majorHAnsi" w:hAnsiTheme="majorHAnsi" w:cstheme="majorHAnsi"/>
        </w:rPr>
        <w:t xml:space="preserve"> </w:t>
      </w:r>
      <w:proofErr w:type="gramStart"/>
      <w:r w:rsidRPr="0095165F">
        <w:rPr>
          <w:rFonts w:asciiTheme="majorHAnsi" w:hAnsiTheme="majorHAnsi" w:cstheme="majorHAnsi"/>
          <w:sz w:val="18"/>
          <w:szCs w:val="18"/>
        </w:rPr>
        <w:t>Autor</w:t>
      </w:r>
      <w:proofErr w:type="gramEnd"/>
      <w:r w:rsidRPr="0095165F">
        <w:rPr>
          <w:rFonts w:asciiTheme="majorHAnsi" w:hAnsiTheme="majorHAnsi" w:cstheme="majorHAnsi"/>
          <w:sz w:val="18"/>
          <w:szCs w:val="18"/>
        </w:rPr>
        <w:t xml:space="preserve">: Sociedad </w:t>
      </w:r>
      <w:r>
        <w:rPr>
          <w:rFonts w:asciiTheme="majorHAnsi" w:hAnsiTheme="majorHAnsi" w:cstheme="majorHAnsi"/>
          <w:sz w:val="18"/>
          <w:szCs w:val="18"/>
        </w:rPr>
        <w:t>Minera El Brocal SAA</w:t>
      </w:r>
      <w:r w:rsidRPr="0095165F">
        <w:rPr>
          <w:rFonts w:asciiTheme="majorHAnsi" w:hAnsiTheme="majorHAnsi" w:cstheme="majorHAnsi"/>
          <w:sz w:val="18"/>
          <w:szCs w:val="18"/>
        </w:rPr>
        <w:t xml:space="preserve">, </w:t>
      </w:r>
      <w:r w:rsidRPr="0095165F">
        <w:rPr>
          <w:rFonts w:asciiTheme="majorHAnsi" w:hAnsiTheme="majorHAnsi" w:cstheme="majorHAnsi"/>
          <w:color w:val="323232"/>
          <w:sz w:val="18"/>
          <w:szCs w:val="18"/>
          <w:shd w:val="clear" w:color="auto" w:fill="FFFFFF"/>
        </w:rPr>
        <w:t>Las Begonias 415, Piso 19, San Isidro</w:t>
      </w:r>
      <w:r w:rsidRPr="0095165F">
        <w:rPr>
          <w:rFonts w:asciiTheme="majorHAnsi" w:hAnsiTheme="majorHAnsi" w:cstheme="majorHAnsi"/>
          <w:sz w:val="18"/>
          <w:szCs w:val="18"/>
        </w:rPr>
        <w:t>, Lima, Perú (</w:t>
      </w:r>
      <w:hyperlink r:id="rId5" w:history="1">
        <w:r w:rsidRPr="0004602C">
          <w:rPr>
            <w:rStyle w:val="Hipervnculo"/>
            <w:rFonts w:asciiTheme="majorHAnsi" w:hAnsiTheme="majorHAnsi" w:cstheme="majorHAnsi"/>
            <w:sz w:val="18"/>
            <w:szCs w:val="18"/>
          </w:rPr>
          <w:t>jherson.pantoja@elbrocal.com.pe</w:t>
        </w:r>
      </w:hyperlink>
      <w:r w:rsidRPr="0095165F">
        <w:rPr>
          <w:rFonts w:asciiTheme="majorHAnsi" w:hAnsiTheme="majorHAnsi" w:cstheme="majorHAnsi"/>
          <w:sz w:val="18"/>
          <w:szCs w:val="18"/>
        </w:rPr>
        <w:t>, 9</w:t>
      </w:r>
      <w:r>
        <w:rPr>
          <w:rFonts w:asciiTheme="majorHAnsi" w:hAnsiTheme="majorHAnsi" w:cstheme="majorHAnsi"/>
          <w:sz w:val="18"/>
          <w:szCs w:val="18"/>
        </w:rPr>
        <w:t>44251023</w:t>
      </w:r>
      <w:r w:rsidRPr="0095165F">
        <w:rPr>
          <w:rFonts w:asciiTheme="majorHAnsi" w:hAnsiTheme="majorHAnsi" w:cstheme="majorHAnsi"/>
          <w:sz w:val="18"/>
          <w:szCs w:val="18"/>
        </w:rPr>
        <w:t>)</w:t>
      </w:r>
    </w:p>
    <w:p w14:paraId="12256ACE" w14:textId="77777777" w:rsidR="00ED7321" w:rsidRDefault="00ED7321" w:rsidP="00ED7321">
      <w:pPr>
        <w:ind w:left="142" w:hanging="142"/>
        <w:jc w:val="both"/>
        <w:rPr>
          <w:rFonts w:asciiTheme="majorHAnsi" w:hAnsiTheme="majorHAnsi" w:cstheme="majorHAnsi"/>
          <w:sz w:val="18"/>
          <w:szCs w:val="18"/>
        </w:rPr>
      </w:pPr>
      <w:r w:rsidRPr="00BC4D43">
        <w:rPr>
          <w:rFonts w:asciiTheme="majorHAnsi" w:hAnsiTheme="majorHAnsi" w:cstheme="majorHAnsi"/>
          <w:vertAlign w:val="superscript"/>
        </w:rPr>
        <w:t>2</w:t>
      </w:r>
      <w:r w:rsidRPr="00BC4D43">
        <w:rPr>
          <w:rFonts w:asciiTheme="majorHAnsi" w:hAnsiTheme="majorHAnsi" w:cstheme="majorHAnsi"/>
        </w:rPr>
        <w:t xml:space="preserve"> </w:t>
      </w:r>
      <w:proofErr w:type="gramStart"/>
      <w:r w:rsidRPr="0095165F">
        <w:rPr>
          <w:rFonts w:asciiTheme="majorHAnsi" w:hAnsiTheme="majorHAnsi" w:cstheme="majorHAnsi"/>
          <w:sz w:val="18"/>
          <w:szCs w:val="18"/>
        </w:rPr>
        <w:t>Coautor</w:t>
      </w:r>
      <w:proofErr w:type="gramEnd"/>
      <w:r w:rsidRPr="0095165F">
        <w:rPr>
          <w:rFonts w:asciiTheme="majorHAnsi" w:hAnsiTheme="majorHAnsi" w:cstheme="majorHAnsi"/>
          <w:sz w:val="18"/>
          <w:szCs w:val="18"/>
        </w:rPr>
        <w:t xml:space="preserve"> 1: Sociedad minera el brocal, Las Begonias 415, Piso 19, San Isidro, Lima, Perú (</w:t>
      </w:r>
      <w:hyperlink r:id="rId6" w:history="1">
        <w:r w:rsidRPr="00E1553F">
          <w:rPr>
            <w:rStyle w:val="Hipervnculo"/>
            <w:sz w:val="18"/>
            <w:szCs w:val="18"/>
          </w:rPr>
          <w:t>rodrigo.garcia@elbrocal.com.pe</w:t>
        </w:r>
      </w:hyperlink>
      <w:r w:rsidRPr="0095165F">
        <w:rPr>
          <w:rFonts w:asciiTheme="majorHAnsi" w:hAnsiTheme="majorHAnsi" w:cstheme="majorHAnsi"/>
          <w:sz w:val="18"/>
          <w:szCs w:val="18"/>
        </w:rPr>
        <w:t>,</w:t>
      </w:r>
      <w:r>
        <w:rPr>
          <w:rFonts w:asciiTheme="majorHAnsi" w:hAnsiTheme="majorHAnsi" w:cstheme="majorHAnsi"/>
          <w:sz w:val="18"/>
          <w:szCs w:val="18"/>
        </w:rPr>
        <w:t>996560000</w:t>
      </w:r>
      <w:r w:rsidRPr="0095165F">
        <w:rPr>
          <w:rFonts w:asciiTheme="majorHAnsi" w:hAnsiTheme="majorHAnsi" w:cstheme="majorHAnsi"/>
          <w:sz w:val="18"/>
          <w:szCs w:val="18"/>
        </w:rPr>
        <w:t>)</w:t>
      </w:r>
    </w:p>
    <w:p w14:paraId="407F0BFF" w14:textId="77777777" w:rsidR="00ED7321" w:rsidRDefault="00ED7321" w:rsidP="00ED7321">
      <w:pPr>
        <w:ind w:left="142" w:hanging="142"/>
        <w:jc w:val="both"/>
        <w:rPr>
          <w:rFonts w:asciiTheme="majorHAnsi" w:hAnsiTheme="majorHAnsi" w:cstheme="majorHAnsi"/>
          <w:sz w:val="18"/>
          <w:szCs w:val="18"/>
        </w:rPr>
      </w:pPr>
      <w:r>
        <w:rPr>
          <w:rFonts w:asciiTheme="majorHAnsi" w:hAnsiTheme="majorHAnsi" w:cstheme="majorHAnsi"/>
          <w:noProof/>
          <w:sz w:val="18"/>
          <w:szCs w:val="18"/>
        </w:rPr>
        <mc:AlternateContent>
          <mc:Choice Requires="wps">
            <w:drawing>
              <wp:anchor distT="0" distB="0" distL="114300" distR="114300" simplePos="0" relativeHeight="251659264" behindDoc="0" locked="0" layoutInCell="1" allowOverlap="1" wp14:anchorId="64FC0116" wp14:editId="32C2A5D3">
                <wp:simplePos x="0" y="0"/>
                <wp:positionH relativeFrom="column">
                  <wp:posOffset>72390</wp:posOffset>
                </wp:positionH>
                <wp:positionV relativeFrom="paragraph">
                  <wp:posOffset>44450</wp:posOffset>
                </wp:positionV>
                <wp:extent cx="5257800" cy="19050"/>
                <wp:effectExtent l="0" t="0" r="19050" b="19050"/>
                <wp:wrapNone/>
                <wp:docPr id="18" name="Conector recto 18"/>
                <wp:cNvGraphicFramePr/>
                <a:graphic xmlns:a="http://schemas.openxmlformats.org/drawingml/2006/main">
                  <a:graphicData uri="http://schemas.microsoft.com/office/word/2010/wordprocessingShape">
                    <wps:wsp>
                      <wps:cNvCnPr/>
                      <wps:spPr>
                        <a:xfrm flipV="1">
                          <a:off x="0" y="0"/>
                          <a:ext cx="5257800" cy="19050"/>
                        </a:xfrm>
                        <a:prstGeom prst="line">
                          <a:avLst/>
                        </a:prstGeom>
                        <a:ln w="1270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1656B8" id="Conector recto 18"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7pt,3.5pt" to="419.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" strokeweight="1pt">
                <v:stroke joinstyle="miter"/>
              </v:line>
            </w:pict>
          </mc:Fallback>
        </mc:AlternateContent>
      </w:r>
    </w:p>
    <w:p w14:paraId="5788D535" w14:textId="1813A307" w:rsidR="00ED7321" w:rsidRPr="00ED7321" w:rsidRDefault="00ED7321" w:rsidP="00ED7321">
      <w:pPr>
        <w:rPr>
          <w:b/>
          <w:bCs/>
        </w:rPr>
      </w:pPr>
      <w:r w:rsidRPr="00ED7321">
        <w:rPr>
          <w:b/>
          <w:bCs/>
        </w:rPr>
        <w:t>RESUMEN / CONTEXTO</w:t>
      </w:r>
    </w:p>
    <w:p w14:paraId="376848F1" w14:textId="77777777" w:rsidR="00ED7321" w:rsidRPr="00ED7321" w:rsidRDefault="00ED7321" w:rsidP="00ED7321">
      <w:pPr>
        <w:spacing w:line="360" w:lineRule="auto"/>
        <w:rPr>
          <w:rFonts w:ascii="Arial" w:hAnsi="Arial" w:cs="Arial"/>
        </w:rPr>
      </w:pPr>
      <w:r w:rsidRPr="00ED7321">
        <w:rPr>
          <w:rFonts w:ascii="Arial" w:hAnsi="Arial" w:cs="Arial"/>
        </w:rPr>
        <w:t xml:space="preserve">La Mina </w:t>
      </w:r>
      <w:proofErr w:type="spellStart"/>
      <w:r w:rsidRPr="00ED7321">
        <w:rPr>
          <w:rFonts w:ascii="Arial" w:hAnsi="Arial" w:cs="Arial"/>
        </w:rPr>
        <w:t>Marcapunta</w:t>
      </w:r>
      <w:proofErr w:type="spellEnd"/>
      <w:r w:rsidRPr="00ED7321">
        <w:rPr>
          <w:rFonts w:ascii="Arial" w:hAnsi="Arial" w:cs="Arial"/>
        </w:rPr>
        <w:t xml:space="preserve"> viene siendo explotada desde el 2010 empleando el método de minado de tajeo por subniveles con taladros largos, dejando pilares para autosoporte. Se presenta para SMEB como una oportunidad, desde el punto de vista económico, la recuperación de estos pilares y se consideró pertinente, para continuar y mejorar el soporte de la mina el uso del Relleno, para lo cual se ejecutó un </w:t>
      </w:r>
      <w:proofErr w:type="spellStart"/>
      <w:r w:rsidRPr="00ED7321">
        <w:rPr>
          <w:rFonts w:ascii="Arial" w:hAnsi="Arial" w:cs="Arial"/>
        </w:rPr>
        <w:t>Capex</w:t>
      </w:r>
      <w:proofErr w:type="spellEnd"/>
      <w:r w:rsidRPr="00ED7321">
        <w:rPr>
          <w:rFonts w:ascii="Arial" w:hAnsi="Arial" w:cs="Arial"/>
        </w:rPr>
        <w:t xml:space="preserve"> de 2.6 M $ para la adecuación de la planta de RH a RHC.</w:t>
      </w:r>
    </w:p>
    <w:p w14:paraId="36C3149A" w14:textId="77777777" w:rsidR="00ED7321" w:rsidRPr="00ED7321" w:rsidRDefault="00ED7321" w:rsidP="00ED7321">
      <w:pPr>
        <w:spacing w:line="360" w:lineRule="auto"/>
        <w:rPr>
          <w:rFonts w:ascii="Arial" w:hAnsi="Arial" w:cs="Arial"/>
        </w:rPr>
      </w:pPr>
      <w:r w:rsidRPr="00ED7321">
        <w:rPr>
          <w:rFonts w:ascii="Arial" w:hAnsi="Arial" w:cs="Arial"/>
        </w:rPr>
        <w:t xml:space="preserve">En el año 2021, mediante equipos de perforación con sistemas </w:t>
      </w:r>
      <w:proofErr w:type="spellStart"/>
      <w:r w:rsidRPr="00ED7321">
        <w:rPr>
          <w:rFonts w:ascii="Arial" w:hAnsi="Arial" w:cs="Arial"/>
        </w:rPr>
        <w:t>Wassara</w:t>
      </w:r>
      <w:proofErr w:type="spellEnd"/>
      <w:r w:rsidRPr="00ED7321">
        <w:rPr>
          <w:rFonts w:ascii="Arial" w:hAnsi="Arial" w:cs="Arial"/>
        </w:rPr>
        <w:t xml:space="preserve"> la recuperación de estos pilares lograron alcanzar una recuperación de un 70% del pilar en ciertas zonas donde la calidad de roca lo permite, sin embargo, se condenaba el otro 30% del pilar; por tanto, al introducir el uso de Relleno Hidráulico Cementado se plantea la recuperación del 100% del Pilar, utilizando el Relave Fresco de las 2 plantas de tratamiento más la adición de cemento a una [] Cemento/ Relave de 8%. La planta de Relleno Hidráulico fue implementada en enero 2023 logrando alcanzar un volumen de relleno de 325,000 m3 en ese año, esta planta se adecuo a una planta de RHC implementando 2 silos de cemento de 130 TN cada uno y el sistema de abastecimiento de cemento la cual empezó en operación en octubre del 2024 logrando rellenar 31, 104 m3 ese año, a la fecha ya se cuenta con una operación estable de 30 km3/mes. Para el año 2025, se estima alcanzar una recuperación de Pilares por 244,000 TN de Mineral con una Ley Cu de 1.73 %.</w:t>
      </w:r>
    </w:p>
    <w:p w14:paraId="74FA239F" w14:textId="77777777" w:rsidR="00ED7321" w:rsidRPr="00ED7321" w:rsidRDefault="00ED7321" w:rsidP="00ED7321">
      <w:pPr>
        <w:spacing w:line="360" w:lineRule="auto"/>
        <w:rPr>
          <w:rFonts w:ascii="Arial" w:hAnsi="Arial" w:cs="Arial"/>
          <w:b/>
          <w:bCs/>
        </w:rPr>
      </w:pPr>
      <w:r w:rsidRPr="00ED7321">
        <w:rPr>
          <w:rFonts w:ascii="Arial" w:hAnsi="Arial" w:cs="Arial"/>
          <w:b/>
          <w:bCs/>
        </w:rPr>
        <w:t>OBJETIVOS</w:t>
      </w:r>
    </w:p>
    <w:p w14:paraId="3B357622" w14:textId="7C9C1481" w:rsidR="00ED7321" w:rsidRPr="00ED7321" w:rsidRDefault="00ED7321" w:rsidP="00ED7321">
      <w:pPr>
        <w:spacing w:line="360" w:lineRule="auto"/>
        <w:rPr>
          <w:rFonts w:ascii="Arial" w:hAnsi="Arial" w:cs="Arial"/>
        </w:rPr>
      </w:pPr>
      <w:r w:rsidRPr="00ED7321">
        <w:rPr>
          <w:rFonts w:ascii="Arial" w:hAnsi="Arial" w:cs="Arial"/>
        </w:rPr>
        <w:t>•</w:t>
      </w:r>
      <w:r>
        <w:rPr>
          <w:rFonts w:ascii="Arial" w:hAnsi="Arial" w:cs="Arial"/>
        </w:rPr>
        <w:t xml:space="preserve"> </w:t>
      </w:r>
      <w:r w:rsidRPr="00ED7321">
        <w:rPr>
          <w:rFonts w:ascii="Arial" w:hAnsi="Arial" w:cs="Arial"/>
        </w:rPr>
        <w:t xml:space="preserve">Alcanzar la recuperación del 100% en los Pilares Económicos </w:t>
      </w:r>
    </w:p>
    <w:p w14:paraId="0D01DB6F" w14:textId="3DB68A34" w:rsidR="00ED7321" w:rsidRPr="00ED7321" w:rsidRDefault="00ED7321" w:rsidP="00ED7321">
      <w:pPr>
        <w:spacing w:line="360" w:lineRule="auto"/>
        <w:rPr>
          <w:rFonts w:ascii="Arial" w:hAnsi="Arial" w:cs="Arial"/>
        </w:rPr>
      </w:pPr>
      <w:r w:rsidRPr="00ED7321">
        <w:rPr>
          <w:rFonts w:ascii="Arial" w:hAnsi="Arial" w:cs="Arial"/>
        </w:rPr>
        <w:t>•</w:t>
      </w:r>
      <w:r>
        <w:rPr>
          <w:rFonts w:ascii="Arial" w:hAnsi="Arial" w:cs="Arial"/>
        </w:rPr>
        <w:t xml:space="preserve"> </w:t>
      </w:r>
      <w:r w:rsidRPr="00ED7321">
        <w:rPr>
          <w:rFonts w:ascii="Arial" w:hAnsi="Arial" w:cs="Arial"/>
        </w:rPr>
        <w:t>Presentar la metodología empleada de la aplicación del RHC en Sociedad Minera El Brocal SAA</w:t>
      </w:r>
    </w:p>
    <w:p w14:paraId="769A6D28" w14:textId="3C2BEB1A" w:rsidR="00165433" w:rsidRDefault="00ED7321" w:rsidP="00ED7321">
      <w:pPr>
        <w:spacing w:line="360" w:lineRule="auto"/>
        <w:rPr>
          <w:rFonts w:ascii="Arial" w:hAnsi="Arial" w:cs="Arial"/>
        </w:rPr>
      </w:pPr>
      <w:r w:rsidRPr="00ED7321">
        <w:rPr>
          <w:rFonts w:ascii="Arial" w:hAnsi="Arial" w:cs="Arial"/>
        </w:rPr>
        <w:t>•</w:t>
      </w:r>
      <w:r>
        <w:rPr>
          <w:rFonts w:ascii="Arial" w:hAnsi="Arial" w:cs="Arial"/>
        </w:rPr>
        <w:t xml:space="preserve"> </w:t>
      </w:r>
      <w:r w:rsidRPr="00ED7321">
        <w:rPr>
          <w:rFonts w:ascii="Arial" w:hAnsi="Arial" w:cs="Arial"/>
        </w:rPr>
        <w:t>Incremento de la vida útil de la presa de Relaves</w:t>
      </w:r>
    </w:p>
    <w:p w14:paraId="7BE729E5" w14:textId="77777777" w:rsidR="00ED7321" w:rsidRDefault="00ED7321" w:rsidP="00ED7321">
      <w:pPr>
        <w:spacing w:line="360" w:lineRule="auto"/>
        <w:rPr>
          <w:rFonts w:ascii="Arial" w:hAnsi="Arial" w:cs="Arial"/>
        </w:rPr>
      </w:pPr>
    </w:p>
    <w:p w14:paraId="59E95070" w14:textId="77777777" w:rsidR="00ED7321" w:rsidRDefault="00ED7321" w:rsidP="00ED7321">
      <w:pPr>
        <w:spacing w:line="360" w:lineRule="auto"/>
        <w:jc w:val="both"/>
        <w:rPr>
          <w:rFonts w:ascii="Arial" w:hAnsi="Arial" w:cs="Arial"/>
          <w:b/>
          <w:bCs/>
        </w:rPr>
      </w:pPr>
      <w:r w:rsidRPr="001F7A6A">
        <w:rPr>
          <w:rFonts w:ascii="Arial" w:hAnsi="Arial" w:cs="Arial"/>
          <w:b/>
          <w:bCs/>
        </w:rPr>
        <w:lastRenderedPageBreak/>
        <w:t xml:space="preserve">METODOLOGIA </w:t>
      </w:r>
    </w:p>
    <w:p w14:paraId="66BFC34F" w14:textId="77777777" w:rsidR="00ED7321" w:rsidRDefault="00ED7321" w:rsidP="00ED7321">
      <w:pPr>
        <w:spacing w:line="360" w:lineRule="auto"/>
        <w:jc w:val="both"/>
        <w:rPr>
          <w:rFonts w:ascii="Arial" w:hAnsi="Arial" w:cs="Arial"/>
        </w:rPr>
      </w:pPr>
      <w:r w:rsidRPr="005D7E76">
        <w:rPr>
          <w:rFonts w:ascii="Arial" w:hAnsi="Arial" w:cs="Arial"/>
        </w:rPr>
        <w:t xml:space="preserve">El presente trabajo tiene un enfoque cuantitativo, se ha realizado en base a métodos matemáticos como el Mitchel para calcular la resistencia UCS requerida en los </w:t>
      </w:r>
      <w:proofErr w:type="spellStart"/>
      <w:r w:rsidRPr="005D7E76">
        <w:rPr>
          <w:rFonts w:ascii="Arial" w:hAnsi="Arial" w:cs="Arial"/>
        </w:rPr>
        <w:t>tajeos</w:t>
      </w:r>
      <w:proofErr w:type="spellEnd"/>
      <w:r w:rsidRPr="005D7E76">
        <w:rPr>
          <w:rFonts w:ascii="Arial" w:hAnsi="Arial" w:cs="Arial"/>
        </w:rPr>
        <w:t xml:space="preserve"> contiguos ya explotados, toma de muestras, ensayos UCS del concreto a edades tempranas y demás ensayos que sirvieron para poder implementar el relleno hidráulico cementado.</w:t>
      </w:r>
    </w:p>
    <w:p w14:paraId="65B499BE" w14:textId="77777777" w:rsidR="00ED7321" w:rsidRPr="00D36EF2" w:rsidRDefault="00ED7321" w:rsidP="00ED7321">
      <w:pPr>
        <w:spacing w:line="360" w:lineRule="auto"/>
        <w:jc w:val="both"/>
        <w:rPr>
          <w:rFonts w:ascii="Arial" w:hAnsi="Arial" w:cs="Arial"/>
        </w:rPr>
      </w:pPr>
      <w:r>
        <w:rPr>
          <w:rFonts w:ascii="Arial" w:hAnsi="Arial" w:cs="Arial"/>
        </w:rPr>
        <w:t>A continuación, se muestra el Diagrama de proceso del RHC hasta el ingreso a Mina Subterránea.</w:t>
      </w:r>
    </w:p>
    <w:p w14:paraId="5C7B0B61" w14:textId="77777777" w:rsidR="00ED7321" w:rsidRDefault="00ED7321" w:rsidP="0040645D">
      <w:pPr>
        <w:spacing w:line="360" w:lineRule="auto"/>
        <w:jc w:val="center"/>
        <w:rPr>
          <w:rFonts w:ascii="Arial" w:hAnsi="Arial" w:cs="Arial"/>
        </w:rPr>
      </w:pPr>
      <w:r w:rsidRPr="00464D79">
        <w:rPr>
          <w:rFonts w:ascii="Arial" w:hAnsi="Arial" w:cs="Arial"/>
          <w:noProof/>
        </w:rPr>
        <w:drawing>
          <wp:inline distT="0" distB="0" distL="0" distR="0" wp14:anchorId="77705DA7" wp14:editId="2CC5D292">
            <wp:extent cx="2552831" cy="12846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0956" cy="1288694"/>
                    </a:xfrm>
                    <a:prstGeom prst="rect">
                      <a:avLst/>
                    </a:prstGeom>
                  </pic:spPr>
                </pic:pic>
              </a:graphicData>
            </a:graphic>
          </wp:inline>
        </w:drawing>
      </w:r>
    </w:p>
    <w:p w14:paraId="09C05652" w14:textId="77777777" w:rsidR="00ED7321" w:rsidRDefault="00ED7321" w:rsidP="00ED7321">
      <w:pPr>
        <w:spacing w:line="360" w:lineRule="auto"/>
        <w:jc w:val="both"/>
        <w:rPr>
          <w:rFonts w:ascii="Arial" w:hAnsi="Arial" w:cs="Arial"/>
        </w:rPr>
      </w:pPr>
      <w:r>
        <w:rPr>
          <w:rFonts w:ascii="Arial" w:hAnsi="Arial" w:cs="Arial"/>
        </w:rPr>
        <w:t xml:space="preserve">Acerca del Cemento, el cemento que se viene usando es un cemento Andino Tipo I, el cual es distribuido en bombonas de 30 TN. a la Mina </w:t>
      </w:r>
      <w:proofErr w:type="spellStart"/>
      <w:r>
        <w:rPr>
          <w:rFonts w:ascii="Arial" w:hAnsi="Arial" w:cs="Arial"/>
        </w:rPr>
        <w:t>Marcapunta</w:t>
      </w:r>
      <w:proofErr w:type="spellEnd"/>
      <w:r>
        <w:rPr>
          <w:rFonts w:ascii="Arial" w:hAnsi="Arial" w:cs="Arial"/>
        </w:rPr>
        <w:t>.</w:t>
      </w:r>
    </w:p>
    <w:p w14:paraId="4CCF713E" w14:textId="780224FD" w:rsidR="00ED7321" w:rsidRDefault="0040645D" w:rsidP="00ED7321">
      <w:pPr>
        <w:spacing w:line="360" w:lineRule="auto"/>
        <w:jc w:val="both"/>
        <w:rPr>
          <w:rFonts w:ascii="Arial" w:hAnsi="Arial" w:cs="Arial"/>
        </w:rPr>
      </w:pPr>
      <w:r>
        <w:rPr>
          <w:noProof/>
          <w:sz w:val="4"/>
        </w:rPr>
        <w:drawing>
          <wp:anchor distT="0" distB="0" distL="0" distR="0" simplePos="0" relativeHeight="251661312" behindDoc="1" locked="0" layoutInCell="1" allowOverlap="1" wp14:anchorId="77E1EF8E" wp14:editId="5EE765EC">
            <wp:simplePos x="0" y="0"/>
            <wp:positionH relativeFrom="margin">
              <wp:posOffset>1447800</wp:posOffset>
            </wp:positionH>
            <wp:positionV relativeFrom="paragraph">
              <wp:posOffset>504825</wp:posOffset>
            </wp:positionV>
            <wp:extent cx="2075815" cy="419735"/>
            <wp:effectExtent l="0" t="0" r="635" b="0"/>
            <wp:wrapSquare wrapText="bothSides"/>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 cstate="print"/>
                    <a:stretch>
                      <a:fillRect/>
                    </a:stretch>
                  </pic:blipFill>
                  <pic:spPr>
                    <a:xfrm>
                      <a:off x="0" y="0"/>
                      <a:ext cx="2075815" cy="419735"/>
                    </a:xfrm>
                    <a:prstGeom prst="rect">
                      <a:avLst/>
                    </a:prstGeom>
                  </pic:spPr>
                </pic:pic>
              </a:graphicData>
            </a:graphic>
          </wp:anchor>
        </w:drawing>
      </w:r>
      <w:r w:rsidR="00ED7321">
        <w:rPr>
          <w:rFonts w:ascii="Arial" w:hAnsi="Arial" w:cs="Arial"/>
        </w:rPr>
        <w:t>Para el cálculo de la Resistencia requerida se consideró el método de cuña simplificado (Mitchell,1993).</w:t>
      </w:r>
    </w:p>
    <w:p w14:paraId="4D3827B2" w14:textId="65653DD6" w:rsidR="00ED7321" w:rsidRDefault="00ED7321" w:rsidP="0040645D">
      <w:pPr>
        <w:spacing w:line="360" w:lineRule="auto"/>
        <w:rPr>
          <w:rFonts w:ascii="Arial" w:hAnsi="Arial" w:cs="Arial"/>
        </w:rPr>
      </w:pPr>
    </w:p>
    <w:p w14:paraId="7E57BF23" w14:textId="77777777" w:rsidR="00ED7321" w:rsidRDefault="00ED7321" w:rsidP="0040645D">
      <w:pPr>
        <w:spacing w:line="360" w:lineRule="auto"/>
        <w:rPr>
          <w:rFonts w:ascii="Arial" w:hAnsi="Arial" w:cs="Arial"/>
        </w:rPr>
      </w:pPr>
      <w:r>
        <w:rPr>
          <w:rFonts w:ascii="Arial"/>
          <w:b/>
          <w:noProof/>
          <w:sz w:val="8"/>
        </w:rPr>
        <w:drawing>
          <wp:anchor distT="0" distB="0" distL="0" distR="0" simplePos="0" relativeHeight="251662336" behindDoc="1" locked="0" layoutInCell="1" allowOverlap="1" wp14:anchorId="4C7663C0" wp14:editId="331BC97B">
            <wp:simplePos x="0" y="0"/>
            <wp:positionH relativeFrom="page">
              <wp:posOffset>2085975</wp:posOffset>
            </wp:positionH>
            <wp:positionV relativeFrom="paragraph">
              <wp:posOffset>215900</wp:posOffset>
            </wp:positionV>
            <wp:extent cx="2859405" cy="2181225"/>
            <wp:effectExtent l="0" t="0" r="0" b="9525"/>
            <wp:wrapSquare wrapText="bothSides"/>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 cstate="print"/>
                    <a:stretch>
                      <a:fillRect/>
                    </a:stretch>
                  </pic:blipFill>
                  <pic:spPr>
                    <a:xfrm>
                      <a:off x="0" y="0"/>
                      <a:ext cx="2859405" cy="2181225"/>
                    </a:xfrm>
                    <a:prstGeom prst="rect">
                      <a:avLst/>
                    </a:prstGeom>
                  </pic:spPr>
                </pic:pic>
              </a:graphicData>
            </a:graphic>
            <wp14:sizeRelH relativeFrom="margin">
              <wp14:pctWidth>0</wp14:pctWidth>
            </wp14:sizeRelH>
            <wp14:sizeRelV relativeFrom="margin">
              <wp14:pctHeight>0</wp14:pctHeight>
            </wp14:sizeRelV>
          </wp:anchor>
        </w:drawing>
      </w:r>
    </w:p>
    <w:p w14:paraId="074C9C00" w14:textId="4C0D516B" w:rsidR="00ED7321" w:rsidRDefault="00ED7321" w:rsidP="00ED7321">
      <w:pPr>
        <w:spacing w:line="360" w:lineRule="auto"/>
        <w:jc w:val="both"/>
        <w:rPr>
          <w:rFonts w:ascii="Arial" w:hAnsi="Arial" w:cs="Arial"/>
        </w:rPr>
      </w:pPr>
    </w:p>
    <w:p w14:paraId="35F958A1" w14:textId="7674B931" w:rsidR="0040645D" w:rsidRDefault="0040645D" w:rsidP="00ED7321">
      <w:pPr>
        <w:spacing w:line="360" w:lineRule="auto"/>
        <w:jc w:val="both"/>
        <w:rPr>
          <w:rFonts w:ascii="Arial" w:hAnsi="Arial" w:cs="Arial"/>
        </w:rPr>
      </w:pPr>
    </w:p>
    <w:p w14:paraId="76F18283" w14:textId="2A28C338" w:rsidR="0040645D" w:rsidRDefault="0040645D" w:rsidP="00ED7321">
      <w:pPr>
        <w:spacing w:line="360" w:lineRule="auto"/>
        <w:jc w:val="both"/>
        <w:rPr>
          <w:rFonts w:ascii="Arial" w:hAnsi="Arial" w:cs="Arial"/>
        </w:rPr>
      </w:pPr>
    </w:p>
    <w:p w14:paraId="78D5F6E9" w14:textId="436E31FE" w:rsidR="0040645D" w:rsidRDefault="0040645D" w:rsidP="00ED7321">
      <w:pPr>
        <w:spacing w:line="360" w:lineRule="auto"/>
        <w:jc w:val="both"/>
        <w:rPr>
          <w:rFonts w:ascii="Arial" w:hAnsi="Arial" w:cs="Arial"/>
        </w:rPr>
      </w:pPr>
    </w:p>
    <w:p w14:paraId="7580C618" w14:textId="683C8B57" w:rsidR="0040645D" w:rsidRDefault="0040645D" w:rsidP="00ED7321">
      <w:pPr>
        <w:spacing w:line="360" w:lineRule="auto"/>
        <w:jc w:val="both"/>
        <w:rPr>
          <w:rFonts w:ascii="Arial" w:hAnsi="Arial" w:cs="Arial"/>
        </w:rPr>
      </w:pPr>
    </w:p>
    <w:p w14:paraId="75BA75EC" w14:textId="0D4ADF77" w:rsidR="0040645D" w:rsidRDefault="0040645D" w:rsidP="00ED7321">
      <w:pPr>
        <w:spacing w:line="360" w:lineRule="auto"/>
        <w:jc w:val="both"/>
        <w:rPr>
          <w:rFonts w:ascii="Arial" w:hAnsi="Arial" w:cs="Arial"/>
        </w:rPr>
      </w:pPr>
    </w:p>
    <w:p w14:paraId="0C6B8E1B" w14:textId="15376C4A" w:rsidR="0040645D" w:rsidRDefault="0040645D" w:rsidP="00ED7321">
      <w:pPr>
        <w:spacing w:line="360" w:lineRule="auto"/>
        <w:jc w:val="both"/>
        <w:rPr>
          <w:rFonts w:ascii="Arial" w:hAnsi="Arial" w:cs="Arial"/>
        </w:rPr>
      </w:pPr>
    </w:p>
    <w:p w14:paraId="21097043" w14:textId="50AF787E" w:rsidR="00ED7321" w:rsidRDefault="00ED7321" w:rsidP="00ED7321">
      <w:pPr>
        <w:spacing w:line="360" w:lineRule="auto"/>
        <w:jc w:val="both"/>
        <w:rPr>
          <w:rFonts w:ascii="Arial" w:hAnsi="Arial" w:cs="Arial"/>
        </w:rPr>
      </w:pPr>
      <w:r w:rsidRPr="00224A58">
        <w:rPr>
          <w:rFonts w:ascii="Arial" w:hAnsi="Arial" w:cs="Arial"/>
        </w:rPr>
        <w:t>Para el cálculo de la UCS (requerida) se ha tomado el FS 1.3 según la</w:t>
      </w:r>
      <w:r w:rsidRPr="00224A58">
        <w:rPr>
          <w:rFonts w:ascii="Arial" w:hAnsi="Arial" w:cs="Arial"/>
          <w:spacing w:val="-1"/>
        </w:rPr>
        <w:t xml:space="preserve"> </w:t>
      </w:r>
      <w:r w:rsidRPr="00224A58">
        <w:rPr>
          <w:rFonts w:ascii="Arial" w:hAnsi="Arial" w:cs="Arial"/>
        </w:rPr>
        <w:t>guía</w:t>
      </w:r>
      <w:r w:rsidRPr="00224A58">
        <w:rPr>
          <w:rFonts w:ascii="Arial" w:hAnsi="Arial" w:cs="Arial"/>
          <w:spacing w:val="-1"/>
        </w:rPr>
        <w:t xml:space="preserve"> </w:t>
      </w:r>
      <w:r w:rsidRPr="00224A58">
        <w:rPr>
          <w:rFonts w:ascii="Arial" w:hAnsi="Arial" w:cs="Arial"/>
        </w:rPr>
        <w:t>peruana de</w:t>
      </w:r>
      <w:r w:rsidRPr="00224A58">
        <w:rPr>
          <w:rFonts w:ascii="Arial" w:hAnsi="Arial" w:cs="Arial"/>
          <w:spacing w:val="-1"/>
        </w:rPr>
        <w:t xml:space="preserve"> </w:t>
      </w:r>
      <w:r w:rsidRPr="00224A58">
        <w:rPr>
          <w:rFonts w:ascii="Arial" w:hAnsi="Arial" w:cs="Arial"/>
        </w:rPr>
        <w:t xml:space="preserve">criterios </w:t>
      </w:r>
      <w:proofErr w:type="spellStart"/>
      <w:r w:rsidRPr="00224A58">
        <w:rPr>
          <w:rFonts w:ascii="Arial" w:hAnsi="Arial" w:cs="Arial"/>
        </w:rPr>
        <w:t>geomecánic</w:t>
      </w:r>
      <w:r>
        <w:rPr>
          <w:rFonts w:ascii="Arial" w:hAnsi="Arial" w:cs="Arial"/>
        </w:rPr>
        <w:t>os</w:t>
      </w:r>
      <w:proofErr w:type="spellEnd"/>
      <w:r w:rsidRPr="00224A58">
        <w:rPr>
          <w:rFonts w:ascii="Arial" w:hAnsi="Arial" w:cs="Arial"/>
        </w:rPr>
        <w:t xml:space="preserve"> para</w:t>
      </w:r>
      <w:r w:rsidRPr="00224A58">
        <w:rPr>
          <w:rFonts w:ascii="Arial" w:hAnsi="Arial" w:cs="Arial"/>
          <w:spacing w:val="-1"/>
        </w:rPr>
        <w:t xml:space="preserve"> </w:t>
      </w:r>
      <w:r w:rsidRPr="00224A58">
        <w:rPr>
          <w:rFonts w:ascii="Arial" w:hAnsi="Arial" w:cs="Arial"/>
        </w:rPr>
        <w:t>el diseño, construcción,</w:t>
      </w:r>
      <w:r w:rsidRPr="00224A58">
        <w:rPr>
          <w:rFonts w:ascii="Arial" w:hAnsi="Arial" w:cs="Arial"/>
          <w:spacing w:val="-1"/>
        </w:rPr>
        <w:t xml:space="preserve"> </w:t>
      </w:r>
      <w:r w:rsidRPr="00224A58">
        <w:rPr>
          <w:rFonts w:ascii="Arial" w:hAnsi="Arial" w:cs="Arial"/>
        </w:rPr>
        <w:t>supervisión</w:t>
      </w:r>
      <w:r w:rsidRPr="00224A58">
        <w:rPr>
          <w:rFonts w:ascii="Arial" w:hAnsi="Arial" w:cs="Arial"/>
          <w:spacing w:val="-1"/>
        </w:rPr>
        <w:t xml:space="preserve"> </w:t>
      </w:r>
      <w:r w:rsidRPr="00224A58">
        <w:rPr>
          <w:rFonts w:ascii="Arial" w:hAnsi="Arial" w:cs="Arial"/>
        </w:rPr>
        <w:t>y cierre</w:t>
      </w:r>
      <w:r w:rsidRPr="00224A58">
        <w:rPr>
          <w:rFonts w:ascii="Arial" w:hAnsi="Arial" w:cs="Arial"/>
          <w:spacing w:val="-1"/>
        </w:rPr>
        <w:t xml:space="preserve"> </w:t>
      </w:r>
      <w:r w:rsidRPr="00224A58">
        <w:rPr>
          <w:rFonts w:ascii="Arial" w:hAnsi="Arial" w:cs="Arial"/>
        </w:rPr>
        <w:t>de obras subterráneas</w:t>
      </w:r>
      <w:r w:rsidRPr="00224A58">
        <w:rPr>
          <w:rFonts w:ascii="Arial" w:hAnsi="Arial" w:cs="Arial"/>
          <w:spacing w:val="-2"/>
        </w:rPr>
        <w:t xml:space="preserve"> </w:t>
      </w:r>
      <w:r w:rsidRPr="00224A58">
        <w:rPr>
          <w:rFonts w:ascii="Arial" w:hAnsi="Arial" w:cs="Arial"/>
        </w:rPr>
        <w:t>(Osinergmin</w:t>
      </w:r>
      <w:r w:rsidRPr="00224A58">
        <w:rPr>
          <w:rFonts w:ascii="Arial" w:hAnsi="Arial" w:cs="Arial"/>
          <w:spacing w:val="-3"/>
        </w:rPr>
        <w:t xml:space="preserve"> </w:t>
      </w:r>
      <w:r w:rsidRPr="00224A58">
        <w:rPr>
          <w:rFonts w:ascii="Arial" w:hAnsi="Arial" w:cs="Arial"/>
        </w:rPr>
        <w:t>2017)</w:t>
      </w:r>
      <w:r>
        <w:rPr>
          <w:rFonts w:ascii="Arial" w:hAnsi="Arial" w:cs="Arial"/>
        </w:rPr>
        <w:t>.</w:t>
      </w:r>
    </w:p>
    <w:p w14:paraId="4FB7A7D5" w14:textId="77777777" w:rsidR="00ED7321" w:rsidRDefault="00ED7321" w:rsidP="00ED7321">
      <w:pPr>
        <w:spacing w:line="360" w:lineRule="auto"/>
        <w:rPr>
          <w:rFonts w:ascii="Arial" w:hAnsi="Arial" w:cs="Arial"/>
          <w:b/>
          <w:bCs/>
        </w:rPr>
      </w:pPr>
      <w:r w:rsidRPr="006B7CE4">
        <w:rPr>
          <w:rFonts w:ascii="Arial" w:hAnsi="Arial" w:cs="Arial"/>
          <w:b/>
          <w:bCs/>
        </w:rPr>
        <w:lastRenderedPageBreak/>
        <w:t>APLICACIÓ</w:t>
      </w:r>
      <w:r>
        <w:rPr>
          <w:rFonts w:ascii="Arial" w:hAnsi="Arial" w:cs="Arial"/>
          <w:b/>
          <w:bCs/>
        </w:rPr>
        <w:t>N</w:t>
      </w:r>
    </w:p>
    <w:p w14:paraId="53AE7636" w14:textId="35AAF7EF" w:rsidR="00ED7321" w:rsidRDefault="00ED7321" w:rsidP="00ED7321">
      <w:pPr>
        <w:spacing w:line="360" w:lineRule="auto"/>
        <w:rPr>
          <w:rFonts w:ascii="Arial" w:hAnsi="Arial" w:cs="Arial"/>
        </w:rPr>
      </w:pPr>
      <w:r w:rsidRPr="00A64CDF">
        <w:rPr>
          <w:rFonts w:ascii="Arial" w:hAnsi="Arial" w:cs="Arial"/>
        </w:rPr>
        <w:t>Caso de Aplicación</w:t>
      </w:r>
      <w:r>
        <w:rPr>
          <w:rFonts w:ascii="Arial" w:hAnsi="Arial" w:cs="Arial"/>
        </w:rPr>
        <w:t xml:space="preserve">, Tajeo 1168 S </w:t>
      </w:r>
      <w:proofErr w:type="spellStart"/>
      <w:r>
        <w:rPr>
          <w:rFonts w:ascii="Arial" w:hAnsi="Arial" w:cs="Arial"/>
        </w:rPr>
        <w:t>Nv</w:t>
      </w:r>
      <w:proofErr w:type="spellEnd"/>
      <w:r>
        <w:rPr>
          <w:rFonts w:ascii="Arial" w:hAnsi="Arial" w:cs="Arial"/>
        </w:rPr>
        <w:t xml:space="preserve"> 4225.</w:t>
      </w:r>
    </w:p>
    <w:p w14:paraId="66F9DBAB" w14:textId="45E03801" w:rsidR="00ED7321" w:rsidRDefault="00ED7321" w:rsidP="00ED7321">
      <w:pPr>
        <w:spacing w:line="360" w:lineRule="auto"/>
        <w:rPr>
          <w:rFonts w:ascii="Arial" w:hAnsi="Arial" w:cs="Arial"/>
        </w:rPr>
      </w:pPr>
      <w:r>
        <w:rPr>
          <w:rFonts w:ascii="Arial" w:hAnsi="Arial" w:cs="Arial"/>
          <w:noProof/>
        </w:rPr>
        <w:drawing>
          <wp:anchor distT="0" distB="0" distL="114300" distR="114300" simplePos="0" relativeHeight="251666432" behindDoc="0" locked="0" layoutInCell="1" allowOverlap="1" wp14:anchorId="4604460D" wp14:editId="0BDE0CCE">
            <wp:simplePos x="0" y="0"/>
            <wp:positionH relativeFrom="margin">
              <wp:posOffset>2548890</wp:posOffset>
            </wp:positionH>
            <wp:positionV relativeFrom="paragraph">
              <wp:posOffset>5715</wp:posOffset>
            </wp:positionV>
            <wp:extent cx="2559050" cy="224790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9050" cy="22479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65408" behindDoc="0" locked="0" layoutInCell="1" allowOverlap="1" wp14:anchorId="66423CEA" wp14:editId="1627C1F0">
                <wp:simplePos x="0" y="0"/>
                <wp:positionH relativeFrom="column">
                  <wp:posOffset>445415</wp:posOffset>
                </wp:positionH>
                <wp:positionV relativeFrom="paragraph">
                  <wp:posOffset>365315</wp:posOffset>
                </wp:positionV>
                <wp:extent cx="243444" cy="160317"/>
                <wp:effectExtent l="0" t="0" r="23495" b="11430"/>
                <wp:wrapNone/>
                <wp:docPr id="17" name="Rectángulo 17"/>
                <wp:cNvGraphicFramePr/>
                <a:graphic xmlns:a="http://schemas.openxmlformats.org/drawingml/2006/main">
                  <a:graphicData uri="http://schemas.microsoft.com/office/word/2010/wordprocessingShape">
                    <wps:wsp>
                      <wps:cNvSpPr/>
                      <wps:spPr>
                        <a:xfrm>
                          <a:off x="0" y="0"/>
                          <a:ext cx="243444" cy="160317"/>
                        </a:xfrm>
                        <a:prstGeom prst="rect">
                          <a:avLst/>
                        </a:prstGeom>
                        <a:solidFill>
                          <a:srgbClr val="0000CC"/>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FB60B" id="Rectángulo 17" o:spid="_x0000_s1026" style="position:absolute;margin-left:35.05pt;margin-top:28.75pt;width:19.15pt;height:1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" fillcolor="#00c" strokecolor="#1f3763 [1604]" strokeweight="1pt"/>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0E47E15E" wp14:editId="769D8A11">
                <wp:simplePos x="0" y="0"/>
                <wp:positionH relativeFrom="column">
                  <wp:posOffset>77709</wp:posOffset>
                </wp:positionH>
                <wp:positionV relativeFrom="paragraph">
                  <wp:posOffset>294591</wp:posOffset>
                </wp:positionV>
                <wp:extent cx="665018" cy="273132"/>
                <wp:effectExtent l="0" t="0" r="20955" b="12700"/>
                <wp:wrapNone/>
                <wp:docPr id="16" name="Cuadro de texto 16"/>
                <wp:cNvGraphicFramePr/>
                <a:graphic xmlns:a="http://schemas.openxmlformats.org/drawingml/2006/main">
                  <a:graphicData uri="http://schemas.microsoft.com/office/word/2010/wordprocessingShape">
                    <wps:wsp>
                      <wps:cNvSpPr txBox="1"/>
                      <wps:spPr>
                        <a:xfrm>
                          <a:off x="0" y="0"/>
                          <a:ext cx="665018" cy="273132"/>
                        </a:xfrm>
                        <a:prstGeom prst="rect">
                          <a:avLst/>
                        </a:prstGeom>
                        <a:solidFill>
                          <a:schemeClr val="lt1"/>
                        </a:solidFill>
                        <a:ln w="6350">
                          <a:solidFill>
                            <a:prstClr val="black"/>
                          </a:solidFill>
                        </a:ln>
                      </wps:spPr>
                      <wps:txbx>
                        <w:txbxContent>
                          <w:p w14:paraId="571F027D" w14:textId="77777777" w:rsidR="00ED7321" w:rsidRDefault="00ED7321" w:rsidP="00ED7321">
                            <w:r>
                              <w:t>RHC</w:t>
                            </w:r>
                          </w:p>
                          <w:p w14:paraId="5BAF5A6A" w14:textId="77777777" w:rsidR="00ED7321" w:rsidRDefault="00ED7321" w:rsidP="00ED73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47E15E" id="_x0000_t202" coordsize="21600,21600" o:spt="202" path="m,l,21600r21600,l21600,xe">
                <v:stroke joinstyle="miter"/>
                <v:path gradientshapeok="t" o:connecttype="rect"/>
              </v:shapetype>
              <v:shape id="Cuadro de texto 16" o:spid="_x0000_s1026" type="#_x0000_t202" style="position:absolute;margin-left:6.1pt;margin-top:23.2pt;width:52.35pt;height: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" fillcolor="white [3201]" strokeweight=".5pt">
                <v:textbox>
                  <w:txbxContent>
                    <w:p w14:paraId="571F027D" w14:textId="77777777" w:rsidR="00ED7321" w:rsidRDefault="00ED7321" w:rsidP="00ED7321">
                      <w:r>
                        <w:t>RHC</w:t>
                      </w:r>
                    </w:p>
                    <w:p w14:paraId="5BAF5A6A" w14:textId="77777777" w:rsidR="00ED7321" w:rsidRDefault="00ED7321" w:rsidP="00ED7321"/>
                  </w:txbxContent>
                </v:textbox>
              </v:shape>
            </w:pict>
          </mc:Fallback>
        </mc:AlternateContent>
      </w:r>
      <w:r>
        <w:rPr>
          <w:rFonts w:ascii="Arial" w:hAnsi="Arial" w:cs="Arial"/>
          <w:noProof/>
        </w:rPr>
        <w:drawing>
          <wp:inline distT="0" distB="0" distL="0" distR="0" wp14:anchorId="14C6B3DA" wp14:editId="63891462">
            <wp:extent cx="2209800" cy="226763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3929" cy="2271876"/>
                    </a:xfrm>
                    <a:prstGeom prst="rect">
                      <a:avLst/>
                    </a:prstGeom>
                  </pic:spPr>
                </pic:pic>
              </a:graphicData>
            </a:graphic>
          </wp:inline>
        </w:drawing>
      </w:r>
    </w:p>
    <w:p w14:paraId="599B8C83" w14:textId="67679895" w:rsidR="00ED7321" w:rsidRDefault="00ED7321" w:rsidP="00ED7321">
      <w:pPr>
        <w:spacing w:line="360" w:lineRule="auto"/>
        <w:rPr>
          <w:rFonts w:ascii="Arial" w:hAnsi="Arial" w:cs="Arial"/>
        </w:rPr>
      </w:pPr>
      <w:r w:rsidRPr="00A64CDF">
        <w:rPr>
          <w:rFonts w:ascii="Arial" w:hAnsi="Arial" w:cs="Arial"/>
        </w:rPr>
        <w:t xml:space="preserve">Se </w:t>
      </w:r>
      <w:r>
        <w:rPr>
          <w:rFonts w:ascii="Arial" w:hAnsi="Arial" w:cs="Arial"/>
        </w:rPr>
        <w:t>va re</w:t>
      </w:r>
      <w:r w:rsidRPr="00A64CDF">
        <w:rPr>
          <w:rFonts w:ascii="Arial" w:hAnsi="Arial" w:cs="Arial"/>
        </w:rPr>
        <w:t>cuperar 14,</w:t>
      </w:r>
      <w:r>
        <w:rPr>
          <w:rFonts w:ascii="Arial" w:hAnsi="Arial" w:cs="Arial"/>
        </w:rPr>
        <w:t>473</w:t>
      </w:r>
      <w:r w:rsidRPr="00A64CDF">
        <w:rPr>
          <w:rFonts w:ascii="Arial" w:hAnsi="Arial" w:cs="Arial"/>
        </w:rPr>
        <w:t xml:space="preserve"> </w:t>
      </w:r>
      <w:proofErr w:type="spellStart"/>
      <w:r w:rsidRPr="00A64CDF">
        <w:rPr>
          <w:rFonts w:ascii="Arial" w:hAnsi="Arial" w:cs="Arial"/>
        </w:rPr>
        <w:t>Tn</w:t>
      </w:r>
      <w:proofErr w:type="spellEnd"/>
      <w:r>
        <w:rPr>
          <w:rFonts w:ascii="Arial" w:hAnsi="Arial" w:cs="Arial"/>
        </w:rPr>
        <w:t>.</w:t>
      </w:r>
      <w:r w:rsidRPr="00A64CDF">
        <w:rPr>
          <w:rFonts w:ascii="Arial" w:hAnsi="Arial" w:cs="Arial"/>
        </w:rPr>
        <w:t xml:space="preserve"> con Ley de 1.54% Cu</w:t>
      </w:r>
      <w:r>
        <w:rPr>
          <w:rFonts w:ascii="Arial" w:hAnsi="Arial" w:cs="Arial"/>
        </w:rPr>
        <w:t>.</w:t>
      </w:r>
    </w:p>
    <w:p w14:paraId="3F6A5362" w14:textId="60B74F0D" w:rsidR="00ED7321" w:rsidRDefault="00ED7321" w:rsidP="00ED7321">
      <w:pPr>
        <w:spacing w:line="360" w:lineRule="auto"/>
        <w:rPr>
          <w:rFonts w:ascii="Arial" w:hAnsi="Arial" w:cs="Arial"/>
        </w:rPr>
      </w:pPr>
      <w:r>
        <w:rPr>
          <w:rFonts w:ascii="Arial" w:hAnsi="Arial" w:cs="Arial"/>
          <w:noProof/>
        </w:rPr>
        <w:drawing>
          <wp:anchor distT="0" distB="0" distL="114300" distR="114300" simplePos="0" relativeHeight="251667456" behindDoc="0" locked="0" layoutInCell="1" allowOverlap="1" wp14:anchorId="5FF67086" wp14:editId="1A721E4F">
            <wp:simplePos x="0" y="0"/>
            <wp:positionH relativeFrom="column">
              <wp:posOffset>2348230</wp:posOffset>
            </wp:positionH>
            <wp:positionV relativeFrom="paragraph">
              <wp:posOffset>337820</wp:posOffset>
            </wp:positionV>
            <wp:extent cx="3288030" cy="2352675"/>
            <wp:effectExtent l="57150" t="57150" r="102870" b="1047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3288030" cy="235267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68480" behindDoc="0" locked="0" layoutInCell="1" allowOverlap="1" wp14:anchorId="125DF6FC" wp14:editId="73608687">
            <wp:simplePos x="0" y="0"/>
            <wp:positionH relativeFrom="column">
              <wp:posOffset>-289560</wp:posOffset>
            </wp:positionH>
            <wp:positionV relativeFrom="paragraph">
              <wp:posOffset>347345</wp:posOffset>
            </wp:positionV>
            <wp:extent cx="2184400" cy="2343150"/>
            <wp:effectExtent l="19050" t="19050" r="25400" b="190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2184400" cy="2343150"/>
                    </a:xfrm>
                    <a:prstGeom prst="rect">
                      <a:avLst/>
                    </a:prstGeom>
                    <a:ln w="12700">
                      <a:solidFill>
                        <a:srgbClr val="000000"/>
                      </a:solidFill>
                    </a:ln>
                  </pic:spPr>
                </pic:pic>
              </a:graphicData>
            </a:graphic>
            <wp14:sizeRelH relativeFrom="margin">
              <wp14:pctWidth>0</wp14:pctWidth>
            </wp14:sizeRelH>
            <wp14:sizeRelV relativeFrom="margin">
              <wp14:pctHeight>0</wp14:pctHeight>
            </wp14:sizeRelV>
          </wp:anchor>
        </w:drawing>
      </w:r>
      <w:r>
        <w:rPr>
          <w:rFonts w:ascii="Arial" w:hAnsi="Arial" w:cs="Arial"/>
        </w:rPr>
        <w:t>Adjunto análisis económico del tajeo.</w:t>
      </w:r>
    </w:p>
    <w:p w14:paraId="1A00EA21" w14:textId="77777777" w:rsidR="00ED7321" w:rsidRDefault="00ED7321" w:rsidP="00ED7321">
      <w:pPr>
        <w:spacing w:line="360" w:lineRule="auto"/>
        <w:rPr>
          <w:rFonts w:ascii="Arial" w:hAnsi="Arial" w:cs="Arial"/>
        </w:rPr>
      </w:pPr>
    </w:p>
    <w:p w14:paraId="2D1FF5E0" w14:textId="5989E41C" w:rsidR="00ED7321" w:rsidRDefault="00ED7321" w:rsidP="00ED7321">
      <w:pPr>
        <w:spacing w:line="360" w:lineRule="auto"/>
        <w:rPr>
          <w:rFonts w:ascii="Arial" w:hAnsi="Arial" w:cs="Arial"/>
        </w:rPr>
      </w:pPr>
      <w:r>
        <w:rPr>
          <w:rFonts w:ascii="Arial" w:hAnsi="Arial" w:cs="Arial"/>
        </w:rPr>
        <w:t>Beneficio de 238 K $.</w:t>
      </w:r>
    </w:p>
    <w:p w14:paraId="092B52E2" w14:textId="77777777" w:rsidR="00ED7321" w:rsidRPr="007A43B5" w:rsidRDefault="00ED7321" w:rsidP="00ED7321">
      <w:pPr>
        <w:spacing w:line="360" w:lineRule="auto"/>
        <w:jc w:val="both"/>
        <w:rPr>
          <w:rFonts w:ascii="Arial" w:hAnsi="Arial" w:cs="Arial"/>
          <w:b/>
          <w:bCs/>
        </w:rPr>
      </w:pPr>
      <w:r w:rsidRPr="00CA12FF">
        <w:rPr>
          <w:rFonts w:ascii="Arial" w:hAnsi="Arial" w:cs="Arial"/>
          <w:b/>
          <w:bCs/>
        </w:rPr>
        <w:t>CONCLUSIONES</w:t>
      </w:r>
      <w:r>
        <w:rPr>
          <w:rFonts w:ascii="Arial" w:hAnsi="Arial" w:cs="Arial"/>
          <w:b/>
          <w:bCs/>
        </w:rPr>
        <w:t xml:space="preserve"> Y RECOMENDACIONES</w:t>
      </w:r>
    </w:p>
    <w:p w14:paraId="5E176E02" w14:textId="7D86F232" w:rsidR="00ED7321" w:rsidRPr="00A50C7C" w:rsidRDefault="00ED7321" w:rsidP="00ED7321">
      <w:pPr>
        <w:pStyle w:val="Prrafodelista"/>
        <w:numPr>
          <w:ilvl w:val="0"/>
          <w:numId w:val="1"/>
        </w:numPr>
        <w:spacing w:line="360" w:lineRule="auto"/>
        <w:jc w:val="both"/>
        <w:rPr>
          <w:rFonts w:ascii="Arial" w:hAnsi="Arial" w:cs="Arial"/>
        </w:rPr>
      </w:pPr>
      <w:r>
        <w:rPr>
          <w:rFonts w:ascii="Arial" w:hAnsi="Arial" w:cs="Arial"/>
        </w:rPr>
        <w:t>La aplicación del RHC en Sociedad Minera El Brocal logra alcanzar la recuperación del 100% del Pilar</w:t>
      </w:r>
      <w:r>
        <w:rPr>
          <w:rFonts w:ascii="Arial" w:hAnsi="Arial" w:cs="Arial"/>
        </w:rPr>
        <w:t xml:space="preserve"> </w:t>
      </w:r>
      <w:proofErr w:type="spellStart"/>
      <w:r>
        <w:rPr>
          <w:rFonts w:ascii="Arial" w:hAnsi="Arial" w:cs="Arial"/>
        </w:rPr>
        <w:t>econoó</w:t>
      </w:r>
      <w:proofErr w:type="spellEnd"/>
    </w:p>
    <w:p w14:paraId="43E42EA0" w14:textId="77777777" w:rsidR="00ED7321" w:rsidRDefault="00ED7321" w:rsidP="00ED7321">
      <w:pPr>
        <w:pStyle w:val="Prrafodelista"/>
        <w:numPr>
          <w:ilvl w:val="0"/>
          <w:numId w:val="1"/>
        </w:numPr>
        <w:spacing w:line="360" w:lineRule="auto"/>
        <w:jc w:val="both"/>
        <w:rPr>
          <w:rFonts w:ascii="Arial" w:hAnsi="Arial" w:cs="Arial"/>
        </w:rPr>
      </w:pPr>
      <w:r w:rsidRPr="006B7CE4">
        <w:rPr>
          <w:rFonts w:ascii="Arial" w:hAnsi="Arial" w:cs="Arial"/>
        </w:rPr>
        <w:t xml:space="preserve">En el año 2025, se plantea recuperar </w:t>
      </w:r>
      <w:r>
        <w:rPr>
          <w:rFonts w:ascii="Arial" w:hAnsi="Arial" w:cs="Arial"/>
        </w:rPr>
        <w:t xml:space="preserve">en pilares </w:t>
      </w:r>
      <w:r w:rsidRPr="006B7CE4">
        <w:rPr>
          <w:rFonts w:ascii="Arial" w:hAnsi="Arial" w:cs="Arial"/>
        </w:rPr>
        <w:t xml:space="preserve">244,000 </w:t>
      </w:r>
      <w:r>
        <w:rPr>
          <w:rFonts w:ascii="Arial" w:hAnsi="Arial" w:cs="Arial"/>
        </w:rPr>
        <w:t>TN con ley de 1.73 % Cu.</w:t>
      </w:r>
    </w:p>
    <w:p w14:paraId="5988F1F4" w14:textId="165EE646" w:rsidR="00ED7321" w:rsidRPr="00ED7321" w:rsidRDefault="00ED7321" w:rsidP="00ED7321">
      <w:pPr>
        <w:pStyle w:val="Prrafodelista"/>
        <w:numPr>
          <w:ilvl w:val="0"/>
          <w:numId w:val="1"/>
        </w:numPr>
        <w:spacing w:line="360" w:lineRule="auto"/>
        <w:jc w:val="both"/>
        <w:rPr>
          <w:rFonts w:ascii="Arial" w:hAnsi="Arial" w:cs="Arial"/>
        </w:rPr>
      </w:pPr>
      <w:r w:rsidRPr="00ED7321">
        <w:rPr>
          <w:rFonts w:ascii="Arial" w:hAnsi="Arial" w:cs="Arial"/>
        </w:rPr>
        <w:t>Gracias a la aplicación de las metodologías RHC y RH, Sociedad Minera El Brocal S.A.A. logró reducir el volumen de disposición de relave en 400</w:t>
      </w:r>
      <w:r w:rsidRPr="00ED7321">
        <w:rPr>
          <w:rFonts w:ascii="Arial" w:hAnsi="Arial" w:cs="Arial"/>
        </w:rPr>
        <w:t xml:space="preserve"> K</w:t>
      </w:r>
      <w:r w:rsidRPr="00ED7321">
        <w:rPr>
          <w:rFonts w:ascii="Arial" w:hAnsi="Arial" w:cs="Arial"/>
        </w:rPr>
        <w:t xml:space="preserve"> m3 en el año 202</w:t>
      </w:r>
      <w:r>
        <w:rPr>
          <w:rFonts w:ascii="Arial" w:hAnsi="Arial" w:cs="Arial"/>
        </w:rPr>
        <w:t>3.</w:t>
      </w:r>
    </w:p>
    <w:sectPr w:rsidR="00ED7321" w:rsidRPr="00ED73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90066"/>
    <w:multiLevelType w:val="hybridMultilevel"/>
    <w:tmpl w:val="169CDF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21"/>
    <w:rsid w:val="00165433"/>
    <w:rsid w:val="0040645D"/>
    <w:rsid w:val="00ED73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8B8DC"/>
  <w15:chartTrackingRefBased/>
  <w15:docId w15:val="{70347F28-0795-46A8-BEF5-78C98995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32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ED7321"/>
    <w:rPr>
      <w:color w:val="0000FF"/>
      <w:u w:val="single"/>
    </w:rPr>
  </w:style>
  <w:style w:type="table" w:styleId="Tablaconcuadrcula">
    <w:name w:val="Table Grid"/>
    <w:basedOn w:val="Tablanormal"/>
    <w:uiPriority w:val="39"/>
    <w:rsid w:val="00ED7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D7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drigo.garcia@elbrocal.com.pe" TargetMode="External"/><Relationship Id="rId11" Type="http://schemas.openxmlformats.org/officeDocument/2006/relationships/image" Target="media/image5.jpeg"/><Relationship Id="rId5" Type="http://schemas.openxmlformats.org/officeDocument/2006/relationships/hyperlink" Target="mailto:jherson.pantoja@elbrocal.com.pe" TargetMode="Externa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573</Words>
  <Characters>3152</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Jherson Irvin</dc:creator>
  <cp:keywords/>
  <dc:description/>
  <cp:lastModifiedBy>Jherson Irvin</cp:lastModifiedBy>
  <cp:revision>2</cp:revision>
  <dcterms:created xsi:type="dcterms:W3CDTF">2025-05-17T16:02:00Z</dcterms:created>
  <dcterms:modified xsi:type="dcterms:W3CDTF">2025-05-17T16:20:00Z</dcterms:modified>
</cp:coreProperties>
</file>