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C451" w14:textId="47558E22" w:rsidR="00C53061" w:rsidRPr="00C53061" w:rsidRDefault="00C53061" w:rsidP="00C53061">
      <w:pPr>
        <w:spacing w:after="0" w:line="360" w:lineRule="auto"/>
        <w:jc w:val="center"/>
        <w:rPr>
          <w:rFonts w:ascii="Arial" w:hAnsi="Arial" w:cs="Arial"/>
          <w:b/>
          <w:bCs/>
          <w:sz w:val="22"/>
          <w:szCs w:val="22"/>
        </w:rPr>
      </w:pPr>
      <w:r w:rsidRPr="00C53061">
        <w:rPr>
          <w:rFonts w:ascii="Arial" w:hAnsi="Arial" w:cs="Arial"/>
          <w:b/>
          <w:bCs/>
          <w:sz w:val="22"/>
          <w:szCs w:val="22"/>
        </w:rPr>
        <w:t>FORO DE TECNOLOGÍA, INNOVACIÓN Y SOSTENIBILIDAD</w:t>
      </w:r>
      <w:r w:rsidRPr="00C53061">
        <w:rPr>
          <w:rFonts w:ascii="Arial" w:hAnsi="Arial" w:cs="Arial"/>
          <w:b/>
          <w:bCs/>
          <w:sz w:val="22"/>
          <w:szCs w:val="22"/>
        </w:rPr>
        <w:t xml:space="preserve"> – PERUMIN 37</w:t>
      </w:r>
    </w:p>
    <w:p w14:paraId="5FC05140" w14:textId="77777777" w:rsidR="00C53061" w:rsidRDefault="00C53061" w:rsidP="00C53061">
      <w:pPr>
        <w:spacing w:after="0" w:line="360" w:lineRule="auto"/>
        <w:jc w:val="center"/>
        <w:rPr>
          <w:rFonts w:ascii="Arial" w:hAnsi="Arial" w:cs="Arial"/>
          <w:b/>
          <w:bCs/>
          <w:sz w:val="22"/>
          <w:szCs w:val="22"/>
        </w:rPr>
      </w:pPr>
      <w:r w:rsidRPr="00C53061">
        <w:rPr>
          <w:rFonts w:ascii="Arial" w:hAnsi="Arial" w:cs="Arial"/>
          <w:b/>
          <w:bCs/>
          <w:sz w:val="22"/>
          <w:szCs w:val="22"/>
        </w:rPr>
        <w:t>CONVOCATORIA DE TRABAJOS TÉCNICOS</w:t>
      </w:r>
    </w:p>
    <w:p w14:paraId="0D960BE6" w14:textId="77777777" w:rsidR="00C53061" w:rsidRDefault="00C53061" w:rsidP="00C53061">
      <w:pPr>
        <w:spacing w:after="0" w:line="360" w:lineRule="auto"/>
        <w:jc w:val="both"/>
        <w:rPr>
          <w:rFonts w:ascii="Arial" w:hAnsi="Arial" w:cs="Arial"/>
          <w:b/>
          <w:bCs/>
          <w:sz w:val="22"/>
          <w:szCs w:val="22"/>
        </w:rPr>
      </w:pPr>
    </w:p>
    <w:p w14:paraId="57767BFC" w14:textId="07B7A720" w:rsidR="00CE4BB0" w:rsidRPr="007F1DEF" w:rsidRDefault="00CE4BB0" w:rsidP="00C53061">
      <w:pPr>
        <w:spacing w:line="360" w:lineRule="auto"/>
        <w:ind w:left="1416" w:hanging="1416"/>
        <w:jc w:val="both"/>
        <w:rPr>
          <w:rFonts w:ascii="Arial" w:hAnsi="Arial" w:cs="Arial"/>
          <w:sz w:val="22"/>
          <w:szCs w:val="22"/>
        </w:rPr>
      </w:pPr>
      <w:r w:rsidRPr="007F1DEF">
        <w:rPr>
          <w:rFonts w:ascii="Arial" w:hAnsi="Arial" w:cs="Arial"/>
          <w:sz w:val="22"/>
          <w:szCs w:val="22"/>
        </w:rPr>
        <w:t xml:space="preserve">Título: </w:t>
      </w:r>
      <w:r w:rsidR="00C53061">
        <w:rPr>
          <w:rFonts w:ascii="Arial" w:hAnsi="Arial" w:cs="Arial"/>
          <w:sz w:val="22"/>
          <w:szCs w:val="22"/>
        </w:rPr>
        <w:tab/>
      </w:r>
      <w:r w:rsidR="007F1DEF" w:rsidRPr="00C53061">
        <w:rPr>
          <w:rFonts w:ascii="Arial" w:hAnsi="Arial" w:cs="Arial"/>
          <w:b/>
          <w:bCs/>
          <w:i/>
          <w:iCs/>
          <w:sz w:val="22"/>
          <w:szCs w:val="22"/>
        </w:rPr>
        <w:t xml:space="preserve">Innovación </w:t>
      </w:r>
      <w:r w:rsidR="007F1DEF" w:rsidRPr="00C53061">
        <w:rPr>
          <w:rFonts w:ascii="Arial" w:hAnsi="Arial" w:cs="Arial"/>
          <w:b/>
          <w:bCs/>
          <w:i/>
          <w:iCs/>
          <w:sz w:val="22"/>
          <w:szCs w:val="22"/>
        </w:rPr>
        <w:t>social en la gestión comunitaria de un proyecto de energía solar con impacto en el sector minero</w:t>
      </w:r>
    </w:p>
    <w:p w14:paraId="6BA7AC5B" w14:textId="45395658" w:rsidR="00CE4BB0" w:rsidRPr="007F1DEF" w:rsidRDefault="00CE4BB0" w:rsidP="00C53061">
      <w:pPr>
        <w:spacing w:line="360" w:lineRule="auto"/>
        <w:jc w:val="both"/>
        <w:rPr>
          <w:rFonts w:ascii="Arial" w:hAnsi="Arial" w:cs="Arial"/>
          <w:sz w:val="22"/>
          <w:szCs w:val="22"/>
        </w:rPr>
      </w:pPr>
      <w:r w:rsidRPr="007F1DEF">
        <w:rPr>
          <w:rFonts w:ascii="Arial" w:hAnsi="Arial" w:cs="Arial"/>
          <w:sz w:val="22"/>
          <w:szCs w:val="22"/>
        </w:rPr>
        <w:t xml:space="preserve">Tema: </w:t>
      </w:r>
      <w:r w:rsidR="00C53061">
        <w:rPr>
          <w:rFonts w:ascii="Arial" w:hAnsi="Arial" w:cs="Arial"/>
          <w:sz w:val="22"/>
          <w:szCs w:val="22"/>
        </w:rPr>
        <w:tab/>
      </w:r>
      <w:r w:rsidR="00C53061">
        <w:rPr>
          <w:rFonts w:ascii="Arial" w:hAnsi="Arial" w:cs="Arial"/>
          <w:sz w:val="22"/>
          <w:szCs w:val="22"/>
        </w:rPr>
        <w:tab/>
      </w:r>
      <w:r w:rsidRPr="007F1DEF">
        <w:rPr>
          <w:rFonts w:ascii="Arial" w:hAnsi="Arial" w:cs="Arial"/>
          <w:sz w:val="22"/>
          <w:szCs w:val="22"/>
        </w:rPr>
        <w:t>Nuevos enfoques en relacionamiento comunitario.</w:t>
      </w:r>
    </w:p>
    <w:p w14:paraId="052E98CC" w14:textId="43B25200" w:rsidR="00CE4BB0" w:rsidRPr="007F1DEF" w:rsidRDefault="00CE4BB0" w:rsidP="00C53061">
      <w:pPr>
        <w:spacing w:line="360" w:lineRule="auto"/>
        <w:jc w:val="both"/>
        <w:rPr>
          <w:rFonts w:ascii="Arial" w:hAnsi="Arial" w:cs="Arial"/>
          <w:sz w:val="22"/>
          <w:szCs w:val="22"/>
        </w:rPr>
      </w:pPr>
      <w:r w:rsidRPr="007F1DEF">
        <w:rPr>
          <w:rFonts w:ascii="Arial" w:hAnsi="Arial" w:cs="Arial"/>
          <w:sz w:val="22"/>
          <w:szCs w:val="22"/>
        </w:rPr>
        <w:t xml:space="preserve">Categoría: </w:t>
      </w:r>
      <w:r w:rsidR="00C53061">
        <w:rPr>
          <w:rFonts w:ascii="Arial" w:hAnsi="Arial" w:cs="Arial"/>
          <w:sz w:val="22"/>
          <w:szCs w:val="22"/>
        </w:rPr>
        <w:tab/>
      </w:r>
      <w:r w:rsidRPr="007F1DEF">
        <w:rPr>
          <w:rFonts w:ascii="Arial" w:hAnsi="Arial" w:cs="Arial"/>
          <w:sz w:val="22"/>
          <w:szCs w:val="22"/>
        </w:rPr>
        <w:t>4. ESG (</w:t>
      </w:r>
      <w:proofErr w:type="spellStart"/>
      <w:r w:rsidRPr="007F1DEF">
        <w:rPr>
          <w:rFonts w:ascii="Arial" w:hAnsi="Arial" w:cs="Arial"/>
          <w:sz w:val="22"/>
          <w:szCs w:val="22"/>
        </w:rPr>
        <w:t>Environmental</w:t>
      </w:r>
      <w:proofErr w:type="spellEnd"/>
      <w:r w:rsidRPr="007F1DEF">
        <w:rPr>
          <w:rFonts w:ascii="Arial" w:hAnsi="Arial" w:cs="Arial"/>
          <w:sz w:val="22"/>
          <w:szCs w:val="22"/>
        </w:rPr>
        <w:t xml:space="preserve">, Social, </w:t>
      </w:r>
      <w:proofErr w:type="spellStart"/>
      <w:r w:rsidRPr="007F1DEF">
        <w:rPr>
          <w:rFonts w:ascii="Arial" w:hAnsi="Arial" w:cs="Arial"/>
          <w:sz w:val="22"/>
          <w:szCs w:val="22"/>
        </w:rPr>
        <w:t>Governance</w:t>
      </w:r>
      <w:proofErr w:type="spellEnd"/>
      <w:r w:rsidR="002B5CEB">
        <w:rPr>
          <w:rFonts w:ascii="Arial" w:hAnsi="Arial" w:cs="Arial"/>
          <w:sz w:val="22"/>
          <w:szCs w:val="22"/>
        </w:rPr>
        <w:t>)</w:t>
      </w:r>
    </w:p>
    <w:p w14:paraId="2D865A3B" w14:textId="77777777" w:rsidR="00C53061" w:rsidRDefault="00CE4BB0" w:rsidP="00C53061">
      <w:pPr>
        <w:spacing w:after="0" w:line="360" w:lineRule="auto"/>
        <w:jc w:val="both"/>
        <w:rPr>
          <w:rFonts w:ascii="Arial" w:hAnsi="Arial" w:cs="Arial"/>
          <w:sz w:val="22"/>
          <w:szCs w:val="22"/>
        </w:rPr>
      </w:pPr>
      <w:r w:rsidRPr="007F1DEF">
        <w:rPr>
          <w:rFonts w:ascii="Arial" w:hAnsi="Arial" w:cs="Arial"/>
          <w:sz w:val="22"/>
          <w:szCs w:val="22"/>
        </w:rPr>
        <w:t xml:space="preserve">Datos del autor: </w:t>
      </w:r>
      <w:r w:rsidR="00C53061">
        <w:rPr>
          <w:rFonts w:ascii="Arial" w:hAnsi="Arial" w:cs="Arial"/>
          <w:sz w:val="22"/>
          <w:szCs w:val="22"/>
        </w:rPr>
        <w:tab/>
      </w:r>
      <w:r w:rsidR="002B5CEB">
        <w:rPr>
          <w:rFonts w:ascii="Arial" w:hAnsi="Arial" w:cs="Arial"/>
          <w:sz w:val="22"/>
          <w:szCs w:val="22"/>
        </w:rPr>
        <w:t xml:space="preserve">Gianfranco Vigo Iglesias, </w:t>
      </w:r>
    </w:p>
    <w:p w14:paraId="3E868D9A" w14:textId="77777777" w:rsidR="00C53061" w:rsidRDefault="002B5CEB" w:rsidP="00C53061">
      <w:pPr>
        <w:spacing w:after="0" w:line="360" w:lineRule="auto"/>
        <w:ind w:left="1416" w:firstLine="708"/>
        <w:jc w:val="both"/>
        <w:rPr>
          <w:rFonts w:ascii="Arial" w:hAnsi="Arial" w:cs="Arial"/>
          <w:sz w:val="22"/>
          <w:szCs w:val="22"/>
        </w:rPr>
      </w:pPr>
      <w:proofErr w:type="spellStart"/>
      <w:r>
        <w:rPr>
          <w:rFonts w:ascii="Arial" w:hAnsi="Arial" w:cs="Arial"/>
          <w:sz w:val="22"/>
          <w:szCs w:val="22"/>
        </w:rPr>
        <w:t>Kallpa</w:t>
      </w:r>
      <w:proofErr w:type="spellEnd"/>
      <w:r>
        <w:rPr>
          <w:rFonts w:ascii="Arial" w:hAnsi="Arial" w:cs="Arial"/>
          <w:sz w:val="22"/>
          <w:szCs w:val="22"/>
        </w:rPr>
        <w:t xml:space="preserve"> Generación S. A. </w:t>
      </w:r>
    </w:p>
    <w:p w14:paraId="18481C50" w14:textId="77777777" w:rsidR="00C53061" w:rsidRDefault="002B5CEB" w:rsidP="00C53061">
      <w:pPr>
        <w:spacing w:after="0" w:line="360" w:lineRule="auto"/>
        <w:ind w:left="1416" w:firstLine="708"/>
        <w:jc w:val="both"/>
        <w:rPr>
          <w:rFonts w:ascii="Arial" w:hAnsi="Arial" w:cs="Arial"/>
          <w:sz w:val="22"/>
          <w:szCs w:val="22"/>
        </w:rPr>
      </w:pPr>
      <w:r>
        <w:rPr>
          <w:rFonts w:ascii="Arial" w:hAnsi="Arial" w:cs="Arial"/>
          <w:sz w:val="22"/>
          <w:szCs w:val="22"/>
        </w:rPr>
        <w:t>Gestor Social</w:t>
      </w:r>
    </w:p>
    <w:p w14:paraId="779A5949" w14:textId="44E3F60A" w:rsidR="00C53061" w:rsidRDefault="00C53061" w:rsidP="00C53061">
      <w:pPr>
        <w:spacing w:after="0" w:line="360" w:lineRule="auto"/>
        <w:ind w:left="1416" w:firstLine="708"/>
        <w:jc w:val="both"/>
        <w:rPr>
          <w:rFonts w:ascii="Arial" w:hAnsi="Arial" w:cs="Arial"/>
          <w:sz w:val="22"/>
          <w:szCs w:val="22"/>
        </w:rPr>
      </w:pPr>
      <w:hyperlink r:id="rId5" w:history="1">
        <w:r w:rsidRPr="00DB1B06">
          <w:rPr>
            <w:rStyle w:val="Hipervnculo"/>
            <w:rFonts w:ascii="Arial" w:hAnsi="Arial" w:cs="Arial"/>
            <w:sz w:val="22"/>
            <w:szCs w:val="22"/>
          </w:rPr>
          <w:t>gianfranco.vigo@kg.com.pe</w:t>
        </w:r>
      </w:hyperlink>
      <w:r>
        <w:rPr>
          <w:rFonts w:ascii="Arial" w:hAnsi="Arial" w:cs="Arial"/>
          <w:sz w:val="22"/>
          <w:szCs w:val="22"/>
        </w:rPr>
        <w:t xml:space="preserve">, </w:t>
      </w:r>
      <w:hyperlink r:id="rId6" w:history="1">
        <w:r w:rsidRPr="00DB1B06">
          <w:rPr>
            <w:rStyle w:val="Hipervnculo"/>
            <w:rFonts w:ascii="Arial" w:hAnsi="Arial" w:cs="Arial"/>
            <w:sz w:val="22"/>
            <w:szCs w:val="22"/>
          </w:rPr>
          <w:t>g.vigo@pucp.pe</w:t>
        </w:r>
      </w:hyperlink>
    </w:p>
    <w:p w14:paraId="5CF2926D" w14:textId="62FF4F84" w:rsidR="002B5CEB" w:rsidRDefault="002B5CEB" w:rsidP="00C53061">
      <w:pPr>
        <w:spacing w:after="0" w:line="360" w:lineRule="auto"/>
        <w:ind w:left="1416" w:firstLine="708"/>
        <w:jc w:val="both"/>
        <w:rPr>
          <w:rFonts w:ascii="Arial" w:hAnsi="Arial" w:cs="Arial"/>
          <w:sz w:val="22"/>
          <w:szCs w:val="22"/>
        </w:rPr>
      </w:pPr>
      <w:r>
        <w:rPr>
          <w:rFonts w:ascii="Arial" w:hAnsi="Arial" w:cs="Arial"/>
          <w:sz w:val="22"/>
          <w:szCs w:val="22"/>
        </w:rPr>
        <w:t>994947026</w:t>
      </w:r>
    </w:p>
    <w:p w14:paraId="6E777B31" w14:textId="77777777" w:rsidR="00C53061" w:rsidRDefault="00C53061" w:rsidP="00C53061">
      <w:pPr>
        <w:spacing w:after="0" w:line="360" w:lineRule="auto"/>
        <w:ind w:left="1416" w:firstLine="708"/>
        <w:jc w:val="both"/>
        <w:rPr>
          <w:rFonts w:ascii="Arial" w:hAnsi="Arial" w:cs="Arial"/>
          <w:sz w:val="22"/>
          <w:szCs w:val="22"/>
        </w:rPr>
      </w:pPr>
    </w:p>
    <w:p w14:paraId="311F1FF7" w14:textId="77777777" w:rsidR="00C53061" w:rsidRDefault="00CE4BB0" w:rsidP="00C53061">
      <w:pPr>
        <w:pBdr>
          <w:bottom w:val="single" w:sz="4" w:space="1" w:color="auto"/>
        </w:pBdr>
        <w:spacing w:line="360" w:lineRule="auto"/>
        <w:ind w:left="2120" w:hanging="2120"/>
        <w:jc w:val="both"/>
        <w:rPr>
          <w:rFonts w:ascii="Arial" w:hAnsi="Arial" w:cs="Arial"/>
          <w:sz w:val="22"/>
          <w:szCs w:val="22"/>
        </w:rPr>
      </w:pPr>
      <w:r w:rsidRPr="007F1DEF">
        <w:rPr>
          <w:rFonts w:ascii="Arial" w:hAnsi="Arial" w:cs="Arial"/>
          <w:sz w:val="22"/>
          <w:szCs w:val="22"/>
        </w:rPr>
        <w:t xml:space="preserve">Palabras claves: </w:t>
      </w:r>
      <w:r w:rsidR="00C53061">
        <w:rPr>
          <w:rFonts w:ascii="Arial" w:hAnsi="Arial" w:cs="Arial"/>
          <w:sz w:val="22"/>
          <w:szCs w:val="22"/>
        </w:rPr>
        <w:tab/>
      </w:r>
      <w:r w:rsidR="00D32386" w:rsidRPr="00D32386">
        <w:rPr>
          <w:rFonts w:ascii="Arial" w:hAnsi="Arial" w:cs="Arial"/>
          <w:sz w:val="22"/>
          <w:szCs w:val="22"/>
        </w:rPr>
        <w:t>Relaciones Comunitarias, Energía Renovable, Licencia Social, Valor Compartido, Sostenibilidad, Sector Minero.</w:t>
      </w:r>
    </w:p>
    <w:p w14:paraId="610F630E" w14:textId="121A1FE6" w:rsidR="00291F92" w:rsidRPr="007F1DEF" w:rsidRDefault="00291F92" w:rsidP="00C53061">
      <w:pPr>
        <w:pBdr>
          <w:bottom w:val="single" w:sz="4" w:space="1" w:color="auto"/>
        </w:pBdr>
        <w:spacing w:line="360" w:lineRule="auto"/>
        <w:ind w:left="2120" w:hanging="2120"/>
        <w:jc w:val="both"/>
        <w:rPr>
          <w:rFonts w:ascii="Arial" w:hAnsi="Arial" w:cs="Arial"/>
          <w:sz w:val="22"/>
          <w:szCs w:val="22"/>
        </w:rPr>
      </w:pPr>
    </w:p>
    <w:p w14:paraId="4C629C25" w14:textId="748E26D2" w:rsidR="002B5CEB" w:rsidRPr="00F56D93" w:rsidRDefault="00C53061" w:rsidP="00C53061">
      <w:pPr>
        <w:spacing w:line="360" w:lineRule="auto"/>
        <w:jc w:val="both"/>
        <w:rPr>
          <w:rFonts w:ascii="Arial" w:hAnsi="Arial" w:cs="Arial"/>
          <w:sz w:val="22"/>
          <w:szCs w:val="22"/>
        </w:rPr>
      </w:pPr>
      <w:r>
        <w:rPr>
          <w:rFonts w:ascii="Arial" w:hAnsi="Arial" w:cs="Arial"/>
          <w:sz w:val="22"/>
          <w:szCs w:val="22"/>
        </w:rPr>
        <w:br/>
      </w:r>
      <w:r w:rsidR="007F1DEF" w:rsidRPr="00F56D93">
        <w:rPr>
          <w:rFonts w:ascii="Arial" w:hAnsi="Arial" w:cs="Arial"/>
          <w:sz w:val="22"/>
          <w:szCs w:val="22"/>
        </w:rPr>
        <w:t>El</w:t>
      </w:r>
      <w:r w:rsidR="007F1DEF" w:rsidRPr="007F1DEF">
        <w:rPr>
          <w:rFonts w:ascii="Arial" w:hAnsi="Arial" w:cs="Arial"/>
          <w:sz w:val="22"/>
          <w:szCs w:val="22"/>
        </w:rPr>
        <w:t xml:space="preserve"> caso </w:t>
      </w:r>
      <w:r w:rsidR="007F1DEF" w:rsidRPr="00F56D93">
        <w:rPr>
          <w:rFonts w:ascii="Arial" w:hAnsi="Arial" w:cs="Arial"/>
          <w:sz w:val="22"/>
          <w:szCs w:val="22"/>
        </w:rPr>
        <w:t xml:space="preserve">que aborda </w:t>
      </w:r>
      <w:r w:rsidR="007F1DEF" w:rsidRPr="007F1DEF">
        <w:rPr>
          <w:rFonts w:ascii="Arial" w:hAnsi="Arial" w:cs="Arial"/>
          <w:sz w:val="22"/>
          <w:szCs w:val="22"/>
        </w:rPr>
        <w:t>es</w:t>
      </w:r>
      <w:r w:rsidR="007F1DEF" w:rsidRPr="00F56D93">
        <w:rPr>
          <w:rFonts w:ascii="Arial" w:hAnsi="Arial" w:cs="Arial"/>
          <w:sz w:val="22"/>
          <w:szCs w:val="22"/>
        </w:rPr>
        <w:t>te trabajo es</w:t>
      </w:r>
      <w:r w:rsidR="007F1DEF" w:rsidRPr="007F1DEF">
        <w:rPr>
          <w:rFonts w:ascii="Arial" w:hAnsi="Arial" w:cs="Arial"/>
          <w:sz w:val="22"/>
          <w:szCs w:val="22"/>
        </w:rPr>
        <w:t xml:space="preserve"> la implementación del Plan de Relaciones Comunitarias de la </w:t>
      </w:r>
      <w:r w:rsidR="007F1DEF" w:rsidRPr="00F56D93">
        <w:rPr>
          <w:rFonts w:ascii="Arial" w:hAnsi="Arial" w:cs="Arial"/>
          <w:sz w:val="22"/>
          <w:szCs w:val="22"/>
        </w:rPr>
        <w:t xml:space="preserve">fase de construcción del proyecto </w:t>
      </w:r>
      <w:r w:rsidR="007F1DEF" w:rsidRPr="007F1DEF">
        <w:rPr>
          <w:rFonts w:ascii="Arial" w:hAnsi="Arial" w:cs="Arial"/>
          <w:sz w:val="22"/>
          <w:szCs w:val="22"/>
        </w:rPr>
        <w:t xml:space="preserve">Central Solar Fotovoltaica San Martín, construida por la empresa </w:t>
      </w:r>
      <w:proofErr w:type="spellStart"/>
      <w:r w:rsidR="007F1DEF" w:rsidRPr="007F1DEF">
        <w:rPr>
          <w:rFonts w:ascii="Arial" w:hAnsi="Arial" w:cs="Arial"/>
          <w:sz w:val="22"/>
          <w:szCs w:val="22"/>
        </w:rPr>
        <w:t>Zelestra</w:t>
      </w:r>
      <w:proofErr w:type="spellEnd"/>
      <w:r w:rsidR="007F1DEF" w:rsidRPr="007F1DEF">
        <w:rPr>
          <w:rFonts w:ascii="Arial" w:hAnsi="Arial" w:cs="Arial"/>
          <w:sz w:val="22"/>
          <w:szCs w:val="22"/>
        </w:rPr>
        <w:t xml:space="preserve"> en el distrito de La Joya, provincia de Arequipa.</w:t>
      </w:r>
      <w:r w:rsidR="007F1DEF" w:rsidRPr="00F56D93">
        <w:rPr>
          <w:rFonts w:ascii="Arial" w:hAnsi="Arial" w:cs="Arial"/>
          <w:sz w:val="22"/>
          <w:szCs w:val="22"/>
        </w:rPr>
        <w:t xml:space="preserve"> </w:t>
      </w:r>
      <w:r w:rsidR="002B5CEB" w:rsidRPr="00F56D93">
        <w:rPr>
          <w:rFonts w:ascii="Arial" w:hAnsi="Arial" w:cs="Arial"/>
          <w:sz w:val="22"/>
          <w:szCs w:val="22"/>
        </w:rPr>
        <w:t xml:space="preserve">El proyecto se conecta estratégicamente con la cadena de valor del sector minero peruano, ya que su energía será comercializada </w:t>
      </w:r>
      <w:r w:rsidR="00F56D93" w:rsidRPr="00F56D93">
        <w:rPr>
          <w:rFonts w:ascii="Arial" w:hAnsi="Arial" w:cs="Arial"/>
          <w:sz w:val="22"/>
          <w:szCs w:val="22"/>
        </w:rPr>
        <w:t>por</w:t>
      </w:r>
      <w:r w:rsidR="002B5CEB" w:rsidRPr="00F56D93">
        <w:rPr>
          <w:rFonts w:ascii="Arial" w:hAnsi="Arial" w:cs="Arial"/>
          <w:sz w:val="22"/>
          <w:szCs w:val="22"/>
        </w:rPr>
        <w:t xml:space="preserve"> </w:t>
      </w:r>
      <w:proofErr w:type="spellStart"/>
      <w:r w:rsidR="002B5CEB" w:rsidRPr="00F56D93">
        <w:rPr>
          <w:rFonts w:ascii="Arial" w:hAnsi="Arial" w:cs="Arial"/>
          <w:sz w:val="22"/>
          <w:szCs w:val="22"/>
        </w:rPr>
        <w:t>Kallpa</w:t>
      </w:r>
      <w:proofErr w:type="spellEnd"/>
      <w:r w:rsidR="002B5CEB" w:rsidRPr="00F56D93">
        <w:rPr>
          <w:rFonts w:ascii="Arial" w:hAnsi="Arial" w:cs="Arial"/>
          <w:sz w:val="22"/>
          <w:szCs w:val="22"/>
        </w:rPr>
        <w:t xml:space="preserve"> Generación, proveedor de energía de</w:t>
      </w:r>
      <w:r w:rsidR="000349E5">
        <w:rPr>
          <w:rFonts w:ascii="Arial" w:hAnsi="Arial" w:cs="Arial"/>
          <w:sz w:val="22"/>
          <w:szCs w:val="22"/>
        </w:rPr>
        <w:t xml:space="preserve"> varias</w:t>
      </w:r>
      <w:r w:rsidR="002B5CEB" w:rsidRPr="00F56D93">
        <w:rPr>
          <w:rFonts w:ascii="Arial" w:hAnsi="Arial" w:cs="Arial"/>
          <w:sz w:val="22"/>
          <w:szCs w:val="22"/>
        </w:rPr>
        <w:t xml:space="preserve"> operaciones mineras que buscan migrar hacia matrices energéticas más limpias, en concordancia con las tendencias globales de sostenibilidad y economía circular.</w:t>
      </w:r>
    </w:p>
    <w:p w14:paraId="115E1F6C" w14:textId="7420AC97" w:rsidR="007F1DEF" w:rsidRPr="007F1DEF" w:rsidRDefault="002B5CEB" w:rsidP="00C53061">
      <w:pPr>
        <w:spacing w:line="360" w:lineRule="auto"/>
        <w:jc w:val="both"/>
        <w:rPr>
          <w:rFonts w:ascii="Arial" w:hAnsi="Arial" w:cs="Arial"/>
          <w:sz w:val="22"/>
          <w:szCs w:val="22"/>
        </w:rPr>
      </w:pPr>
      <w:r w:rsidRPr="00F56D93">
        <w:rPr>
          <w:rFonts w:ascii="Arial" w:hAnsi="Arial" w:cs="Arial"/>
          <w:sz w:val="22"/>
          <w:szCs w:val="22"/>
        </w:rPr>
        <w:t>El escenario en que se desarrolló la intervención fue complejo: la gestión social del proyecto se activó tardíamente, aproximadamente cuatro meses después del inicio de las obras. En ese periodo, no se había realizado un diagnóstico social, no existía una estrategia de relacionamiento comunitario, ni se había brindado información clara a la población del área de influencia directa. Esto generó desinformación, desconfianza y la aparición de tensiones sociales, principalmente con el sindicato de Construcción Civil de La Joya</w:t>
      </w:r>
      <w:r w:rsidR="007F1DEF" w:rsidRPr="007F1DEF">
        <w:rPr>
          <w:rFonts w:ascii="Arial" w:hAnsi="Arial" w:cs="Arial"/>
          <w:sz w:val="22"/>
          <w:szCs w:val="22"/>
        </w:rPr>
        <w:t>,</w:t>
      </w:r>
      <w:r w:rsidRPr="00F56D93">
        <w:rPr>
          <w:rFonts w:ascii="Arial" w:hAnsi="Arial" w:cs="Arial"/>
          <w:sz w:val="22"/>
          <w:szCs w:val="22"/>
        </w:rPr>
        <w:t xml:space="preserve"> </w:t>
      </w:r>
      <w:r w:rsidRPr="00F56D93">
        <w:rPr>
          <w:rFonts w:ascii="Arial" w:hAnsi="Arial" w:cs="Arial"/>
          <w:sz w:val="22"/>
          <w:szCs w:val="22"/>
        </w:rPr>
        <w:t xml:space="preserve">un actor con alta capacidad de movilización y antecedentes </w:t>
      </w:r>
      <w:r w:rsidR="007F1DEF" w:rsidRPr="007F1DEF">
        <w:rPr>
          <w:rFonts w:ascii="Arial" w:hAnsi="Arial" w:cs="Arial"/>
          <w:sz w:val="22"/>
          <w:szCs w:val="22"/>
        </w:rPr>
        <w:t>de paralización de obras e</w:t>
      </w:r>
      <w:r w:rsidR="00EB07B6">
        <w:rPr>
          <w:rFonts w:ascii="Arial" w:hAnsi="Arial" w:cs="Arial"/>
          <w:sz w:val="22"/>
          <w:szCs w:val="22"/>
        </w:rPr>
        <w:t>n el territorio.</w:t>
      </w:r>
    </w:p>
    <w:p w14:paraId="76DB000C" w14:textId="1D2065A3" w:rsidR="002B5CEB" w:rsidRPr="002B5CEB" w:rsidRDefault="001F355C" w:rsidP="002D1866">
      <w:pPr>
        <w:spacing w:line="360" w:lineRule="auto"/>
        <w:jc w:val="both"/>
        <w:rPr>
          <w:rFonts w:ascii="Arial" w:hAnsi="Arial" w:cs="Arial"/>
          <w:sz w:val="22"/>
          <w:szCs w:val="22"/>
        </w:rPr>
      </w:pPr>
      <w:r>
        <w:rPr>
          <w:rFonts w:ascii="Arial" w:hAnsi="Arial" w:cs="Arial"/>
          <w:sz w:val="22"/>
          <w:szCs w:val="22"/>
        </w:rPr>
        <w:lastRenderedPageBreak/>
        <w:t>A partir de estos problemas</w:t>
      </w:r>
      <w:r w:rsidR="002D1866">
        <w:rPr>
          <w:rFonts w:ascii="Arial" w:hAnsi="Arial" w:cs="Arial"/>
          <w:sz w:val="22"/>
          <w:szCs w:val="22"/>
        </w:rPr>
        <w:t>, e</w:t>
      </w:r>
      <w:r w:rsidR="002B5CEB" w:rsidRPr="002B5CEB">
        <w:rPr>
          <w:rFonts w:ascii="Arial" w:hAnsi="Arial" w:cs="Arial"/>
          <w:sz w:val="22"/>
          <w:szCs w:val="22"/>
        </w:rPr>
        <w:t xml:space="preserve">ste trabajo </w:t>
      </w:r>
      <w:r w:rsidR="00856C71">
        <w:rPr>
          <w:rFonts w:ascii="Arial" w:hAnsi="Arial" w:cs="Arial"/>
          <w:sz w:val="22"/>
          <w:szCs w:val="22"/>
        </w:rPr>
        <w:t xml:space="preserve">tiene como objetivo </w:t>
      </w:r>
      <w:r w:rsidR="002B5CEB" w:rsidRPr="002B5CEB">
        <w:rPr>
          <w:rFonts w:ascii="Arial" w:hAnsi="Arial" w:cs="Arial"/>
          <w:sz w:val="22"/>
          <w:szCs w:val="22"/>
        </w:rPr>
        <w:t>documentar una experiencia exitosa de intervención social en un proyecto de energía renovable con vinculación directa al sector minero, destacando cómo una gestión estratégica del relacionamiento comunitario puede transformar un entorno inicialmente adverso en una oportunidad para construir confianza, reducir riesgos sociales y fortalecer la sostenibilidad del proyecto.</w:t>
      </w:r>
    </w:p>
    <w:p w14:paraId="4A56FB76" w14:textId="77777777" w:rsidR="00AA76C4" w:rsidRDefault="002B5CEB" w:rsidP="00DD0D41">
      <w:pPr>
        <w:spacing w:line="360" w:lineRule="auto"/>
        <w:jc w:val="both"/>
        <w:rPr>
          <w:rFonts w:ascii="Arial" w:hAnsi="Arial" w:cs="Arial"/>
          <w:sz w:val="22"/>
          <w:szCs w:val="22"/>
        </w:rPr>
      </w:pPr>
      <w:r w:rsidRPr="002B5CEB">
        <w:rPr>
          <w:rFonts w:ascii="Arial" w:hAnsi="Arial" w:cs="Arial"/>
          <w:sz w:val="22"/>
          <w:szCs w:val="22"/>
        </w:rPr>
        <w:t xml:space="preserve">A través del análisis del caso de la Central Solar Fotovoltaica San Martín, se busca mostrar cómo </w:t>
      </w:r>
      <w:r w:rsidR="008140BA">
        <w:rPr>
          <w:rFonts w:ascii="Arial" w:hAnsi="Arial" w:cs="Arial"/>
          <w:sz w:val="22"/>
          <w:szCs w:val="22"/>
        </w:rPr>
        <w:t xml:space="preserve">mediante la adecuada gestión </w:t>
      </w:r>
      <w:r w:rsidR="00833C80">
        <w:rPr>
          <w:rFonts w:ascii="Arial" w:hAnsi="Arial" w:cs="Arial"/>
          <w:sz w:val="22"/>
          <w:szCs w:val="22"/>
        </w:rPr>
        <w:t>y planificación de la estrategia social se</w:t>
      </w:r>
      <w:r w:rsidRPr="002B5CEB">
        <w:rPr>
          <w:rFonts w:ascii="Arial" w:hAnsi="Arial" w:cs="Arial"/>
          <w:sz w:val="22"/>
          <w:szCs w:val="22"/>
        </w:rPr>
        <w:t xml:space="preserve"> logró (i) restablecer el diálogo con actores críticos, (</w:t>
      </w:r>
      <w:proofErr w:type="spellStart"/>
      <w:r w:rsidRPr="002B5CEB">
        <w:rPr>
          <w:rFonts w:ascii="Arial" w:hAnsi="Arial" w:cs="Arial"/>
          <w:sz w:val="22"/>
          <w:szCs w:val="22"/>
        </w:rPr>
        <w:t>ii</w:t>
      </w:r>
      <w:proofErr w:type="spellEnd"/>
      <w:r w:rsidRPr="002B5CEB">
        <w:rPr>
          <w:rFonts w:ascii="Arial" w:hAnsi="Arial" w:cs="Arial"/>
          <w:sz w:val="22"/>
          <w:szCs w:val="22"/>
        </w:rPr>
        <w:t>) asegurar el cumplimiento de compromisos sociales y ambientales, y (</w:t>
      </w:r>
      <w:proofErr w:type="spellStart"/>
      <w:r w:rsidRPr="002B5CEB">
        <w:rPr>
          <w:rFonts w:ascii="Arial" w:hAnsi="Arial" w:cs="Arial"/>
          <w:sz w:val="22"/>
          <w:szCs w:val="22"/>
        </w:rPr>
        <w:t>iii</w:t>
      </w:r>
      <w:proofErr w:type="spellEnd"/>
      <w:r w:rsidRPr="002B5CEB">
        <w:rPr>
          <w:rFonts w:ascii="Arial" w:hAnsi="Arial" w:cs="Arial"/>
          <w:sz w:val="22"/>
          <w:szCs w:val="22"/>
        </w:rPr>
        <w:t>) consolidar una licencia social legítima en el área de influencia directa</w:t>
      </w:r>
      <w:r w:rsidR="00833C80">
        <w:rPr>
          <w:rFonts w:ascii="Arial" w:hAnsi="Arial" w:cs="Arial"/>
          <w:sz w:val="22"/>
          <w:szCs w:val="22"/>
        </w:rPr>
        <w:t xml:space="preserve"> definida en la Declaración de Impacto Ambiental (DIA) del proyecto. </w:t>
      </w:r>
      <w:r w:rsidR="00DD0D41" w:rsidRPr="00DD0D41">
        <w:rPr>
          <w:rFonts w:ascii="Arial" w:hAnsi="Arial" w:cs="Arial"/>
          <w:sz w:val="22"/>
          <w:szCs w:val="22"/>
        </w:rPr>
        <w:t xml:space="preserve">La metodología aplicada se fundamentó en enfoques contemporáneos de comunicación para el desarrollo, relacionamiento intercultural y lectura contextual de actores sociales, </w:t>
      </w:r>
      <w:r w:rsidR="00AA76C4">
        <w:rPr>
          <w:rFonts w:ascii="Arial" w:hAnsi="Arial" w:cs="Arial"/>
          <w:sz w:val="22"/>
          <w:szCs w:val="22"/>
        </w:rPr>
        <w:t xml:space="preserve">para así </w:t>
      </w:r>
      <w:r w:rsidR="00DD0D41" w:rsidRPr="00DD0D41">
        <w:rPr>
          <w:rFonts w:ascii="Arial" w:hAnsi="Arial" w:cs="Arial"/>
          <w:sz w:val="22"/>
          <w:szCs w:val="22"/>
        </w:rPr>
        <w:t>construir una intervención social pertinente, innovadora y efectiva, en un escenario complejo y de alto riesgo social.</w:t>
      </w:r>
      <w:r w:rsidR="00035E8A">
        <w:rPr>
          <w:rFonts w:ascii="Arial" w:hAnsi="Arial" w:cs="Arial"/>
          <w:sz w:val="22"/>
          <w:szCs w:val="22"/>
        </w:rPr>
        <w:t xml:space="preserve"> </w:t>
      </w:r>
    </w:p>
    <w:p w14:paraId="5B387A19" w14:textId="7313F45B" w:rsidR="00DD0D41" w:rsidRPr="00DD0D41" w:rsidRDefault="00DD0D41" w:rsidP="00DD0D41">
      <w:pPr>
        <w:spacing w:line="360" w:lineRule="auto"/>
        <w:jc w:val="both"/>
        <w:rPr>
          <w:rFonts w:ascii="Arial" w:hAnsi="Arial" w:cs="Arial"/>
          <w:sz w:val="22"/>
          <w:szCs w:val="22"/>
        </w:rPr>
      </w:pPr>
      <w:r w:rsidRPr="00DD0D41">
        <w:rPr>
          <w:rFonts w:ascii="Arial" w:hAnsi="Arial" w:cs="Arial"/>
          <w:sz w:val="22"/>
          <w:szCs w:val="22"/>
        </w:rPr>
        <w:t>Tras un diagnóstico rápido, se identificó que los enfoques convencionales de participación comunitaria no eran aplicables de forma directa. Por ejemplo, el sindicato de Construcción Civil de La Joya no podía ser</w:t>
      </w:r>
      <w:r w:rsidR="00035E8A">
        <w:rPr>
          <w:rFonts w:ascii="Arial" w:hAnsi="Arial" w:cs="Arial"/>
          <w:sz w:val="22"/>
          <w:szCs w:val="22"/>
        </w:rPr>
        <w:t xml:space="preserve"> </w:t>
      </w:r>
      <w:r w:rsidRPr="00DD0D41">
        <w:rPr>
          <w:rFonts w:ascii="Arial" w:hAnsi="Arial" w:cs="Arial"/>
          <w:sz w:val="22"/>
          <w:szCs w:val="22"/>
        </w:rPr>
        <w:t xml:space="preserve">tratado con protocolos estándar de negociación social. Su naturaleza como gremio altamente organizado, con intereses sectoriales específicos y capacidad de presión colectiva, exigía una estrategia diferenciada que combinara conocimiento del actor, legitimidad normativa (sustentada en la </w:t>
      </w:r>
      <w:r w:rsidR="00AA76C4">
        <w:rPr>
          <w:rFonts w:ascii="Arial" w:hAnsi="Arial" w:cs="Arial"/>
          <w:sz w:val="22"/>
          <w:szCs w:val="22"/>
        </w:rPr>
        <w:t>DIA aprobada</w:t>
      </w:r>
      <w:r w:rsidRPr="00DD0D41">
        <w:rPr>
          <w:rFonts w:ascii="Arial" w:hAnsi="Arial" w:cs="Arial"/>
          <w:sz w:val="22"/>
          <w:szCs w:val="22"/>
        </w:rPr>
        <w:t>) y un enfoque de diálogo transparente, bajo principios de rendición de cuentas y cumplimiento estricto de acuerdos.</w:t>
      </w:r>
    </w:p>
    <w:p w14:paraId="3EE36963" w14:textId="77777777" w:rsidR="00DD0D41" w:rsidRPr="00DD0D41" w:rsidRDefault="00DD0D41" w:rsidP="00DD0D41">
      <w:pPr>
        <w:spacing w:line="360" w:lineRule="auto"/>
        <w:jc w:val="both"/>
        <w:rPr>
          <w:rFonts w:ascii="Arial" w:hAnsi="Arial" w:cs="Arial"/>
          <w:sz w:val="22"/>
          <w:szCs w:val="22"/>
        </w:rPr>
      </w:pPr>
      <w:r w:rsidRPr="00DD0D41">
        <w:rPr>
          <w:rFonts w:ascii="Arial" w:hAnsi="Arial" w:cs="Arial"/>
          <w:sz w:val="22"/>
          <w:szCs w:val="22"/>
        </w:rPr>
        <w:t xml:space="preserve">Para la población del área de influencia directa, se adoptó una estrategia basada en mensajes clave accesibles y culturalmente pertinentes, priorizando contenidos sencillos sobre energía solar y sostenibilidad, en lugar de explicaciones técnicas complejas. Las acciones de comunicación incorporaron recursos del </w:t>
      </w:r>
      <w:proofErr w:type="spellStart"/>
      <w:r w:rsidRPr="00DD0D41">
        <w:rPr>
          <w:rFonts w:ascii="Arial" w:hAnsi="Arial" w:cs="Arial"/>
          <w:sz w:val="22"/>
          <w:szCs w:val="22"/>
        </w:rPr>
        <w:t>edu</w:t>
      </w:r>
      <w:proofErr w:type="spellEnd"/>
      <w:r w:rsidRPr="00DD0D41">
        <w:rPr>
          <w:rFonts w:ascii="Arial" w:hAnsi="Arial" w:cs="Arial"/>
          <w:sz w:val="22"/>
          <w:szCs w:val="22"/>
        </w:rPr>
        <w:t>-entretenimiento, con materiales audiovisuales y actividades comunitarias que integraban prácticas culturales locales, facilitando así la comprensión y aceptación del proyecto.</w:t>
      </w:r>
    </w:p>
    <w:p w14:paraId="2E299EC8" w14:textId="77777777" w:rsidR="00DD0D41" w:rsidRPr="00DD0D41" w:rsidRDefault="00DD0D41" w:rsidP="00DD0D41">
      <w:pPr>
        <w:spacing w:line="360" w:lineRule="auto"/>
        <w:jc w:val="both"/>
        <w:rPr>
          <w:rFonts w:ascii="Arial" w:hAnsi="Arial" w:cs="Arial"/>
          <w:sz w:val="22"/>
          <w:szCs w:val="22"/>
        </w:rPr>
      </w:pPr>
      <w:r w:rsidRPr="00DD0D41">
        <w:rPr>
          <w:rFonts w:ascii="Arial" w:hAnsi="Arial" w:cs="Arial"/>
          <w:sz w:val="22"/>
          <w:szCs w:val="22"/>
        </w:rPr>
        <w:t>En cuanto al componente de valor compartido, se introdujo un enfoque innovador que buscaba sinergias entre la eficiencia operativa del proyecto y el impacto social positivo. Un ejemplo destacado fue la reutilización de madera residual generada en la obra para fabricar mobiliario escolar, reduciendo costos de disposición y al mismo tiempo atendiendo necesidades educativas de la comunidad.</w:t>
      </w:r>
    </w:p>
    <w:p w14:paraId="11AA9A4C" w14:textId="77777777" w:rsidR="00372E20" w:rsidRDefault="00DD0D41" w:rsidP="00740DCC">
      <w:pPr>
        <w:spacing w:line="360" w:lineRule="auto"/>
        <w:jc w:val="both"/>
        <w:rPr>
          <w:rFonts w:ascii="Arial" w:hAnsi="Arial" w:cs="Arial"/>
          <w:sz w:val="22"/>
          <w:szCs w:val="22"/>
        </w:rPr>
      </w:pPr>
      <w:r w:rsidRPr="00DD0D41">
        <w:rPr>
          <w:rFonts w:ascii="Arial" w:hAnsi="Arial" w:cs="Arial"/>
          <w:sz w:val="22"/>
          <w:szCs w:val="22"/>
        </w:rPr>
        <w:lastRenderedPageBreak/>
        <w:t>Todo el proceso se caracterizó por una metodología flexible y adaptativa, que integró herramientas del análisis social aplicado, aprendizaje en acción y rediseño constante de estrategias según el comportamiento de los actores, logrando fortalecer el vínculo entre empresa y comunidad y consolidar una licencia social legítima</w:t>
      </w:r>
      <w:r w:rsidR="00F238B6">
        <w:rPr>
          <w:rFonts w:ascii="Arial" w:hAnsi="Arial" w:cs="Arial"/>
          <w:sz w:val="22"/>
          <w:szCs w:val="22"/>
        </w:rPr>
        <w:t>.</w:t>
      </w:r>
      <w:r w:rsidR="001816F2">
        <w:rPr>
          <w:rFonts w:ascii="Arial" w:hAnsi="Arial" w:cs="Arial"/>
          <w:sz w:val="22"/>
          <w:szCs w:val="22"/>
        </w:rPr>
        <w:t xml:space="preserve"> Considero que e</w:t>
      </w:r>
      <w:r w:rsidR="00D03895">
        <w:rPr>
          <w:rFonts w:ascii="Arial" w:hAnsi="Arial" w:cs="Arial"/>
          <w:sz w:val="22"/>
          <w:szCs w:val="22"/>
        </w:rPr>
        <w:t xml:space="preserve">ste trabajo </w:t>
      </w:r>
      <w:r w:rsidR="00740DCC" w:rsidRPr="002B5CEB">
        <w:rPr>
          <w:rFonts w:ascii="Arial" w:hAnsi="Arial" w:cs="Arial"/>
          <w:sz w:val="22"/>
          <w:szCs w:val="22"/>
        </w:rPr>
        <w:t xml:space="preserve">evidencia la relevancia de integrar enfoques sociales innovadores en proyectos energéticos que abastecen al sector minero, como parte de una visión sostenible y articulada del desarrollo territorial. </w:t>
      </w:r>
    </w:p>
    <w:p w14:paraId="63F03B2A" w14:textId="56530729" w:rsidR="00044BA8" w:rsidRPr="00044BA8" w:rsidRDefault="00044BA8" w:rsidP="00044BA8">
      <w:pPr>
        <w:spacing w:line="360" w:lineRule="auto"/>
        <w:jc w:val="both"/>
        <w:rPr>
          <w:rFonts w:ascii="Arial" w:hAnsi="Arial" w:cs="Arial"/>
          <w:sz w:val="22"/>
          <w:szCs w:val="22"/>
        </w:rPr>
      </w:pPr>
      <w:r w:rsidRPr="00044BA8">
        <w:rPr>
          <w:rFonts w:ascii="Arial" w:hAnsi="Arial" w:cs="Arial"/>
          <w:sz w:val="22"/>
          <w:szCs w:val="22"/>
        </w:rPr>
        <w:t xml:space="preserve">En este sentido, el caso de la Central Solar Fotovoltaica San Martín ofrece aprendizajes valiosos y replicables para proyectos vinculados a la transición energética y la economía circular en el Perú. Uno de los hitos más relevantes fue el manejo estratégico del sindicato de Construcción Civil de La Joya, actor crítico que pasó de promover </w:t>
      </w:r>
      <w:r w:rsidR="00D63FF8">
        <w:rPr>
          <w:rFonts w:ascii="Arial" w:hAnsi="Arial" w:cs="Arial"/>
          <w:sz w:val="22"/>
          <w:szCs w:val="22"/>
        </w:rPr>
        <w:t>paralizaciones</w:t>
      </w:r>
      <w:r w:rsidRPr="00044BA8">
        <w:rPr>
          <w:rFonts w:ascii="Arial" w:hAnsi="Arial" w:cs="Arial"/>
          <w:sz w:val="22"/>
          <w:szCs w:val="22"/>
        </w:rPr>
        <w:t xml:space="preserve"> a participar en un proceso de diálogo formal, </w:t>
      </w:r>
      <w:r w:rsidR="005E0267">
        <w:rPr>
          <w:rFonts w:ascii="Arial" w:hAnsi="Arial" w:cs="Arial"/>
          <w:sz w:val="22"/>
          <w:szCs w:val="22"/>
        </w:rPr>
        <w:t xml:space="preserve">respetando </w:t>
      </w:r>
      <w:r w:rsidRPr="00044BA8">
        <w:rPr>
          <w:rFonts w:ascii="Arial" w:hAnsi="Arial" w:cs="Arial"/>
          <w:sz w:val="22"/>
          <w:szCs w:val="22"/>
        </w:rPr>
        <w:t xml:space="preserve">la Declaración de Impacto Ambiental (DIA) </w:t>
      </w:r>
      <w:r w:rsidR="005E0267">
        <w:rPr>
          <w:rFonts w:ascii="Arial" w:hAnsi="Arial" w:cs="Arial"/>
          <w:sz w:val="22"/>
          <w:szCs w:val="22"/>
        </w:rPr>
        <w:t xml:space="preserve">y </w:t>
      </w:r>
      <w:r w:rsidRPr="00044BA8">
        <w:rPr>
          <w:rFonts w:ascii="Arial" w:hAnsi="Arial" w:cs="Arial"/>
          <w:sz w:val="22"/>
          <w:szCs w:val="22"/>
        </w:rPr>
        <w:t xml:space="preserve">la contratación </w:t>
      </w:r>
      <w:r w:rsidR="005E0267">
        <w:rPr>
          <w:rFonts w:ascii="Arial" w:hAnsi="Arial" w:cs="Arial"/>
          <w:sz w:val="22"/>
          <w:szCs w:val="22"/>
        </w:rPr>
        <w:t xml:space="preserve">de mano de obra </w:t>
      </w:r>
      <w:r w:rsidRPr="00044BA8">
        <w:rPr>
          <w:rFonts w:ascii="Arial" w:hAnsi="Arial" w:cs="Arial"/>
          <w:sz w:val="22"/>
          <w:szCs w:val="22"/>
        </w:rPr>
        <w:t>local</w:t>
      </w:r>
      <w:r w:rsidR="005E0267">
        <w:rPr>
          <w:rFonts w:ascii="Arial" w:hAnsi="Arial" w:cs="Arial"/>
          <w:sz w:val="22"/>
          <w:szCs w:val="22"/>
        </w:rPr>
        <w:t xml:space="preserve"> del área de influencia del proyecto por encima de personas sindicalizadas</w:t>
      </w:r>
      <w:r w:rsidRPr="00044BA8">
        <w:rPr>
          <w:rFonts w:ascii="Arial" w:hAnsi="Arial" w:cs="Arial"/>
          <w:sz w:val="22"/>
          <w:szCs w:val="22"/>
        </w:rPr>
        <w:t>. Como resultado, se firmaron acuerdos operativos que contribuyeron a mantener la paz laboral y evitar interrupciones en obra.</w:t>
      </w:r>
    </w:p>
    <w:p w14:paraId="0BA5DFBC" w14:textId="737CCD23" w:rsidR="00F66C94" w:rsidRDefault="00044BA8" w:rsidP="00044BA8">
      <w:pPr>
        <w:spacing w:line="360" w:lineRule="auto"/>
        <w:jc w:val="both"/>
        <w:rPr>
          <w:rFonts w:ascii="Arial" w:hAnsi="Arial" w:cs="Arial"/>
          <w:sz w:val="22"/>
          <w:szCs w:val="22"/>
        </w:rPr>
      </w:pPr>
      <w:r w:rsidRPr="00044BA8">
        <w:rPr>
          <w:rFonts w:ascii="Arial" w:hAnsi="Arial" w:cs="Arial"/>
          <w:sz w:val="22"/>
          <w:szCs w:val="22"/>
        </w:rPr>
        <w:t xml:space="preserve">A nivel comunitario, se logró un cambio en la percepción del proyecto. Más de </w:t>
      </w:r>
      <w:r w:rsidR="007346A3">
        <w:rPr>
          <w:rFonts w:ascii="Arial" w:hAnsi="Arial" w:cs="Arial"/>
          <w:sz w:val="22"/>
          <w:szCs w:val="22"/>
        </w:rPr>
        <w:t>3</w:t>
      </w:r>
      <w:r w:rsidRPr="00044BA8">
        <w:rPr>
          <w:rFonts w:ascii="Arial" w:hAnsi="Arial" w:cs="Arial"/>
          <w:sz w:val="22"/>
          <w:szCs w:val="22"/>
        </w:rPr>
        <w:t xml:space="preserve">00 personas participaron en actividades de comunicación y sensibilización, incluyendo </w:t>
      </w:r>
      <w:r w:rsidR="007346A3">
        <w:rPr>
          <w:rFonts w:ascii="Arial" w:hAnsi="Arial" w:cs="Arial"/>
          <w:sz w:val="22"/>
          <w:szCs w:val="22"/>
        </w:rPr>
        <w:t>charlas informativas y distribución de material</w:t>
      </w:r>
      <w:r w:rsidRPr="00044BA8">
        <w:rPr>
          <w:rFonts w:ascii="Arial" w:hAnsi="Arial" w:cs="Arial"/>
          <w:sz w:val="22"/>
          <w:szCs w:val="22"/>
        </w:rPr>
        <w:t xml:space="preserve">, lo que permitió aumentar la comprensión sobre la energía solar y su impacto ambiental positivo. Además, la estrategia de valor compartido convirtió residuos de obra en </w:t>
      </w:r>
      <w:r w:rsidR="00185C3A">
        <w:rPr>
          <w:rFonts w:ascii="Arial" w:hAnsi="Arial" w:cs="Arial"/>
          <w:sz w:val="22"/>
          <w:szCs w:val="22"/>
        </w:rPr>
        <w:t>carpetas, estantes y otros</w:t>
      </w:r>
      <w:r w:rsidRPr="00044BA8">
        <w:rPr>
          <w:rFonts w:ascii="Arial" w:hAnsi="Arial" w:cs="Arial"/>
          <w:sz w:val="22"/>
          <w:szCs w:val="22"/>
        </w:rPr>
        <w:t xml:space="preserve"> distribuid</w:t>
      </w:r>
      <w:r w:rsidR="00185C3A">
        <w:rPr>
          <w:rFonts w:ascii="Arial" w:hAnsi="Arial" w:cs="Arial"/>
          <w:sz w:val="22"/>
          <w:szCs w:val="22"/>
        </w:rPr>
        <w:t>o</w:t>
      </w:r>
      <w:r w:rsidRPr="00044BA8">
        <w:rPr>
          <w:rFonts w:ascii="Arial" w:hAnsi="Arial" w:cs="Arial"/>
          <w:sz w:val="22"/>
          <w:szCs w:val="22"/>
        </w:rPr>
        <w:t xml:space="preserve">s en instituciones </w:t>
      </w:r>
      <w:r w:rsidR="00185C3A">
        <w:rPr>
          <w:rFonts w:ascii="Arial" w:hAnsi="Arial" w:cs="Arial"/>
          <w:sz w:val="22"/>
          <w:szCs w:val="22"/>
        </w:rPr>
        <w:t xml:space="preserve">educativas </w:t>
      </w:r>
      <w:r w:rsidRPr="00044BA8">
        <w:rPr>
          <w:rFonts w:ascii="Arial" w:hAnsi="Arial" w:cs="Arial"/>
          <w:sz w:val="22"/>
          <w:szCs w:val="22"/>
        </w:rPr>
        <w:t>locales</w:t>
      </w:r>
      <w:r w:rsidR="00185C3A">
        <w:rPr>
          <w:rFonts w:ascii="Arial" w:hAnsi="Arial" w:cs="Arial"/>
          <w:sz w:val="22"/>
          <w:szCs w:val="22"/>
        </w:rPr>
        <w:t xml:space="preserve"> en </w:t>
      </w:r>
      <w:r w:rsidR="00030792">
        <w:rPr>
          <w:rFonts w:ascii="Arial" w:hAnsi="Arial" w:cs="Arial"/>
          <w:sz w:val="22"/>
          <w:szCs w:val="22"/>
        </w:rPr>
        <w:t>beneficio de más de</w:t>
      </w:r>
      <w:r w:rsidR="00763568">
        <w:rPr>
          <w:rFonts w:ascii="Arial" w:hAnsi="Arial" w:cs="Arial"/>
          <w:sz w:val="22"/>
          <w:szCs w:val="22"/>
        </w:rPr>
        <w:t xml:space="preserve"> 15</w:t>
      </w:r>
      <w:r w:rsidR="00030792">
        <w:rPr>
          <w:rFonts w:ascii="Arial" w:hAnsi="Arial" w:cs="Arial"/>
          <w:sz w:val="22"/>
          <w:szCs w:val="22"/>
        </w:rPr>
        <w:t>0 estudiantes</w:t>
      </w:r>
      <w:r w:rsidRPr="00044BA8">
        <w:rPr>
          <w:rFonts w:ascii="Arial" w:hAnsi="Arial" w:cs="Arial"/>
          <w:sz w:val="22"/>
          <w:szCs w:val="22"/>
        </w:rPr>
        <w:t xml:space="preserve">, generando beneficios tangibles para la comunidad y reforzando la imagen responsable del proyecto. Gracias a estas acciones, se logró cumplir no solo con los compromisos socioambientales formales, sino también con metas no previstas inicialmente, como la consolidación de una licencia social efectiva sin recurrir a medidas compensatorias extraordinarias ni enfrentar </w:t>
      </w:r>
      <w:r w:rsidR="00F66C94">
        <w:rPr>
          <w:rFonts w:ascii="Arial" w:hAnsi="Arial" w:cs="Arial"/>
          <w:sz w:val="22"/>
          <w:szCs w:val="22"/>
        </w:rPr>
        <w:t xml:space="preserve">largos </w:t>
      </w:r>
      <w:r w:rsidRPr="00044BA8">
        <w:rPr>
          <w:rFonts w:ascii="Arial" w:hAnsi="Arial" w:cs="Arial"/>
          <w:sz w:val="22"/>
          <w:szCs w:val="22"/>
        </w:rPr>
        <w:t>paros o bloqueos.</w:t>
      </w:r>
    </w:p>
    <w:p w14:paraId="19CEAF97" w14:textId="6AB807F3" w:rsidR="002B5CEB" w:rsidRPr="00695EC3" w:rsidRDefault="00740DCC" w:rsidP="00044BA8">
      <w:pPr>
        <w:spacing w:line="360" w:lineRule="auto"/>
        <w:jc w:val="both"/>
        <w:rPr>
          <w:rFonts w:ascii="Arial" w:hAnsi="Arial" w:cs="Arial"/>
          <w:sz w:val="22"/>
          <w:szCs w:val="22"/>
        </w:rPr>
      </w:pPr>
      <w:r w:rsidRPr="00740DCC">
        <w:rPr>
          <w:rFonts w:ascii="Arial" w:hAnsi="Arial" w:cs="Arial"/>
          <w:sz w:val="22"/>
          <w:szCs w:val="22"/>
        </w:rPr>
        <w:t>Entre las principales lecciones aprendidas destaca</w:t>
      </w:r>
      <w:r w:rsidR="009645ED">
        <w:rPr>
          <w:rFonts w:ascii="Arial" w:hAnsi="Arial" w:cs="Arial"/>
          <w:sz w:val="22"/>
          <w:szCs w:val="22"/>
        </w:rPr>
        <w:t xml:space="preserve">: (i) </w:t>
      </w:r>
      <w:r w:rsidRPr="00740DCC">
        <w:rPr>
          <w:rFonts w:ascii="Arial" w:hAnsi="Arial" w:cs="Arial"/>
          <w:sz w:val="22"/>
          <w:szCs w:val="22"/>
        </w:rPr>
        <w:t>la necesidad de adaptar los marcos de gestión social a la realidad de cada actor, evitando enfoques estandarizados o mecánicos</w:t>
      </w:r>
      <w:r w:rsidR="009645ED">
        <w:rPr>
          <w:rFonts w:ascii="Arial" w:hAnsi="Arial" w:cs="Arial"/>
          <w:sz w:val="22"/>
          <w:szCs w:val="22"/>
        </w:rPr>
        <w:t>; (</w:t>
      </w:r>
      <w:proofErr w:type="spellStart"/>
      <w:r w:rsidR="009645ED">
        <w:rPr>
          <w:rFonts w:ascii="Arial" w:hAnsi="Arial" w:cs="Arial"/>
          <w:sz w:val="22"/>
          <w:szCs w:val="22"/>
        </w:rPr>
        <w:t>ii</w:t>
      </w:r>
      <w:proofErr w:type="spellEnd"/>
      <w:r w:rsidR="009645ED">
        <w:rPr>
          <w:rFonts w:ascii="Arial" w:hAnsi="Arial" w:cs="Arial"/>
          <w:sz w:val="22"/>
          <w:szCs w:val="22"/>
        </w:rPr>
        <w:t>) r</w:t>
      </w:r>
      <w:r w:rsidRPr="00740DCC">
        <w:rPr>
          <w:rFonts w:ascii="Arial" w:hAnsi="Arial" w:cs="Arial"/>
          <w:sz w:val="22"/>
          <w:szCs w:val="22"/>
        </w:rPr>
        <w:t>econocer la singularidad de los gremios</w:t>
      </w:r>
      <w:r w:rsidR="00231DA6">
        <w:rPr>
          <w:rFonts w:ascii="Arial" w:hAnsi="Arial" w:cs="Arial"/>
          <w:sz w:val="22"/>
          <w:szCs w:val="22"/>
        </w:rPr>
        <w:t xml:space="preserve"> </w:t>
      </w:r>
      <w:r w:rsidRPr="00740DCC">
        <w:rPr>
          <w:rFonts w:ascii="Arial" w:hAnsi="Arial" w:cs="Arial"/>
          <w:sz w:val="22"/>
          <w:szCs w:val="22"/>
        </w:rPr>
        <w:t>y abordarlos desde una comprensión de su identidad, estructura y poder negociador,</w:t>
      </w:r>
      <w:r w:rsidR="00CA79F6">
        <w:rPr>
          <w:rFonts w:ascii="Arial" w:hAnsi="Arial" w:cs="Arial"/>
          <w:sz w:val="22"/>
          <w:szCs w:val="22"/>
        </w:rPr>
        <w:t xml:space="preserve"> (iii) </w:t>
      </w:r>
      <w:r w:rsidR="00A97BF2">
        <w:rPr>
          <w:rFonts w:ascii="Arial" w:hAnsi="Arial" w:cs="Arial"/>
          <w:sz w:val="22"/>
          <w:szCs w:val="22"/>
        </w:rPr>
        <w:t>reafirmar</w:t>
      </w:r>
      <w:r w:rsidRPr="00740DCC">
        <w:rPr>
          <w:rFonts w:ascii="Arial" w:hAnsi="Arial" w:cs="Arial"/>
          <w:sz w:val="22"/>
          <w:szCs w:val="22"/>
        </w:rPr>
        <w:t xml:space="preserve"> la eficacia de las estrategias de comunicación para el desarrollo</w:t>
      </w:r>
      <w:r w:rsidR="00153CBC">
        <w:rPr>
          <w:rFonts w:ascii="Arial" w:hAnsi="Arial" w:cs="Arial"/>
          <w:sz w:val="22"/>
          <w:szCs w:val="22"/>
        </w:rPr>
        <w:t xml:space="preserve">, </w:t>
      </w:r>
      <w:r w:rsidRPr="00740DCC">
        <w:rPr>
          <w:rFonts w:ascii="Arial" w:hAnsi="Arial" w:cs="Arial"/>
          <w:sz w:val="22"/>
          <w:szCs w:val="22"/>
        </w:rPr>
        <w:t>siempre que éstas respeten las prácticas culturales locales y prioricen mensajes claros y relevantes</w:t>
      </w:r>
      <w:r w:rsidR="00CA79F6">
        <w:rPr>
          <w:rFonts w:ascii="Arial" w:hAnsi="Arial" w:cs="Arial"/>
          <w:sz w:val="22"/>
          <w:szCs w:val="22"/>
        </w:rPr>
        <w:t xml:space="preserve"> y</w:t>
      </w:r>
      <w:r w:rsidR="00F35270">
        <w:rPr>
          <w:rFonts w:ascii="Arial" w:hAnsi="Arial" w:cs="Arial"/>
          <w:sz w:val="22"/>
          <w:szCs w:val="22"/>
        </w:rPr>
        <w:t>, f</w:t>
      </w:r>
      <w:r w:rsidRPr="00740DCC">
        <w:rPr>
          <w:rFonts w:ascii="Arial" w:hAnsi="Arial" w:cs="Arial"/>
          <w:sz w:val="22"/>
          <w:szCs w:val="22"/>
        </w:rPr>
        <w:t xml:space="preserve">inalmente, </w:t>
      </w:r>
      <w:r w:rsidR="00F35270">
        <w:rPr>
          <w:rFonts w:ascii="Arial" w:hAnsi="Arial" w:cs="Arial"/>
          <w:sz w:val="22"/>
          <w:szCs w:val="22"/>
        </w:rPr>
        <w:t>(</w:t>
      </w:r>
      <w:proofErr w:type="spellStart"/>
      <w:r w:rsidR="00F35270">
        <w:rPr>
          <w:rFonts w:ascii="Arial" w:hAnsi="Arial" w:cs="Arial"/>
          <w:sz w:val="22"/>
          <w:szCs w:val="22"/>
        </w:rPr>
        <w:t>iv</w:t>
      </w:r>
      <w:proofErr w:type="spellEnd"/>
      <w:r w:rsidR="00F35270">
        <w:rPr>
          <w:rFonts w:ascii="Arial" w:hAnsi="Arial" w:cs="Arial"/>
          <w:sz w:val="22"/>
          <w:szCs w:val="22"/>
        </w:rPr>
        <w:t xml:space="preserve">) </w:t>
      </w:r>
      <w:r w:rsidRPr="00740DCC">
        <w:rPr>
          <w:rFonts w:ascii="Arial" w:hAnsi="Arial" w:cs="Arial"/>
          <w:sz w:val="22"/>
          <w:szCs w:val="22"/>
        </w:rPr>
        <w:t xml:space="preserve">la búsqueda de valor compartido no solo es posible, sino deseable, cuando se alinea con los objetivos del proyecto. </w:t>
      </w:r>
    </w:p>
    <w:sectPr w:rsidR="002B5CEB" w:rsidRPr="00695E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45DA1"/>
    <w:multiLevelType w:val="multilevel"/>
    <w:tmpl w:val="890AE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547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BB0"/>
    <w:rsid w:val="00030792"/>
    <w:rsid w:val="000349E5"/>
    <w:rsid w:val="00035E8A"/>
    <w:rsid w:val="00044BA8"/>
    <w:rsid w:val="00153CBC"/>
    <w:rsid w:val="001816F2"/>
    <w:rsid w:val="00185C3A"/>
    <w:rsid w:val="001F355C"/>
    <w:rsid w:val="002030CA"/>
    <w:rsid w:val="00231DA6"/>
    <w:rsid w:val="00291F92"/>
    <w:rsid w:val="002B5CEB"/>
    <w:rsid w:val="002D1866"/>
    <w:rsid w:val="00307F41"/>
    <w:rsid w:val="00372E20"/>
    <w:rsid w:val="003A5CA1"/>
    <w:rsid w:val="003E1A5F"/>
    <w:rsid w:val="005E0267"/>
    <w:rsid w:val="006220E9"/>
    <w:rsid w:val="00695EC3"/>
    <w:rsid w:val="007346A3"/>
    <w:rsid w:val="007374D3"/>
    <w:rsid w:val="00740DCC"/>
    <w:rsid w:val="00761ADB"/>
    <w:rsid w:val="00763568"/>
    <w:rsid w:val="007F1DEF"/>
    <w:rsid w:val="008140BA"/>
    <w:rsid w:val="00833C80"/>
    <w:rsid w:val="00856C71"/>
    <w:rsid w:val="009645ED"/>
    <w:rsid w:val="00A848C6"/>
    <w:rsid w:val="00A97BF2"/>
    <w:rsid w:val="00AA76C4"/>
    <w:rsid w:val="00B53E04"/>
    <w:rsid w:val="00C53061"/>
    <w:rsid w:val="00CA79F6"/>
    <w:rsid w:val="00CE4BB0"/>
    <w:rsid w:val="00D03895"/>
    <w:rsid w:val="00D32386"/>
    <w:rsid w:val="00D63FF8"/>
    <w:rsid w:val="00DD0D41"/>
    <w:rsid w:val="00EB07B6"/>
    <w:rsid w:val="00F238B6"/>
    <w:rsid w:val="00F35270"/>
    <w:rsid w:val="00F56D93"/>
    <w:rsid w:val="00F66C94"/>
    <w:rsid w:val="00F911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E77D5"/>
  <w15:chartTrackingRefBased/>
  <w15:docId w15:val="{9EAE3320-C852-473E-9D54-D6314D80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E4B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E4B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E4B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E4B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E4B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E4B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E4B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E4B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E4B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4B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4B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4B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4B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4B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4B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4B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4B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4BB0"/>
    <w:rPr>
      <w:rFonts w:eastAsiaTheme="majorEastAsia" w:cstheme="majorBidi"/>
      <w:color w:val="272727" w:themeColor="text1" w:themeTint="D8"/>
    </w:rPr>
  </w:style>
  <w:style w:type="paragraph" w:styleId="Ttulo">
    <w:name w:val="Title"/>
    <w:basedOn w:val="Normal"/>
    <w:next w:val="Normal"/>
    <w:link w:val="TtuloCar"/>
    <w:uiPriority w:val="10"/>
    <w:qFormat/>
    <w:rsid w:val="00CE4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E4B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4B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E4B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4BB0"/>
    <w:pPr>
      <w:spacing w:before="160"/>
      <w:jc w:val="center"/>
    </w:pPr>
    <w:rPr>
      <w:i/>
      <w:iCs/>
      <w:color w:val="404040" w:themeColor="text1" w:themeTint="BF"/>
    </w:rPr>
  </w:style>
  <w:style w:type="character" w:customStyle="1" w:styleId="CitaCar">
    <w:name w:val="Cita Car"/>
    <w:basedOn w:val="Fuentedeprrafopredeter"/>
    <w:link w:val="Cita"/>
    <w:uiPriority w:val="29"/>
    <w:rsid w:val="00CE4BB0"/>
    <w:rPr>
      <w:i/>
      <w:iCs/>
      <w:color w:val="404040" w:themeColor="text1" w:themeTint="BF"/>
    </w:rPr>
  </w:style>
  <w:style w:type="paragraph" w:styleId="Prrafodelista">
    <w:name w:val="List Paragraph"/>
    <w:basedOn w:val="Normal"/>
    <w:uiPriority w:val="34"/>
    <w:qFormat/>
    <w:rsid w:val="00CE4BB0"/>
    <w:pPr>
      <w:ind w:left="720"/>
      <w:contextualSpacing/>
    </w:pPr>
  </w:style>
  <w:style w:type="character" w:styleId="nfasisintenso">
    <w:name w:val="Intense Emphasis"/>
    <w:basedOn w:val="Fuentedeprrafopredeter"/>
    <w:uiPriority w:val="21"/>
    <w:qFormat/>
    <w:rsid w:val="00CE4BB0"/>
    <w:rPr>
      <w:i/>
      <w:iCs/>
      <w:color w:val="0F4761" w:themeColor="accent1" w:themeShade="BF"/>
    </w:rPr>
  </w:style>
  <w:style w:type="paragraph" w:styleId="Citadestacada">
    <w:name w:val="Intense Quote"/>
    <w:basedOn w:val="Normal"/>
    <w:next w:val="Normal"/>
    <w:link w:val="CitadestacadaCar"/>
    <w:uiPriority w:val="30"/>
    <w:qFormat/>
    <w:rsid w:val="00CE4B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E4BB0"/>
    <w:rPr>
      <w:i/>
      <w:iCs/>
      <w:color w:val="0F4761" w:themeColor="accent1" w:themeShade="BF"/>
    </w:rPr>
  </w:style>
  <w:style w:type="character" w:styleId="Referenciaintensa">
    <w:name w:val="Intense Reference"/>
    <w:basedOn w:val="Fuentedeprrafopredeter"/>
    <w:uiPriority w:val="32"/>
    <w:qFormat/>
    <w:rsid w:val="00CE4BB0"/>
    <w:rPr>
      <w:b/>
      <w:bCs/>
      <w:smallCaps/>
      <w:color w:val="0F4761" w:themeColor="accent1" w:themeShade="BF"/>
      <w:spacing w:val="5"/>
    </w:rPr>
  </w:style>
  <w:style w:type="character" w:styleId="Hipervnculo">
    <w:name w:val="Hyperlink"/>
    <w:basedOn w:val="Fuentedeprrafopredeter"/>
    <w:uiPriority w:val="99"/>
    <w:unhideWhenUsed/>
    <w:rsid w:val="002B5CEB"/>
    <w:rPr>
      <w:color w:val="467886" w:themeColor="hyperlink"/>
      <w:u w:val="single"/>
    </w:rPr>
  </w:style>
  <w:style w:type="character" w:styleId="Mencinsinresolver">
    <w:name w:val="Unresolved Mention"/>
    <w:basedOn w:val="Fuentedeprrafopredeter"/>
    <w:uiPriority w:val="99"/>
    <w:semiHidden/>
    <w:unhideWhenUsed/>
    <w:rsid w:val="002B5C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49631">
      <w:bodyDiv w:val="1"/>
      <w:marLeft w:val="0"/>
      <w:marRight w:val="0"/>
      <w:marTop w:val="0"/>
      <w:marBottom w:val="0"/>
      <w:divBdr>
        <w:top w:val="none" w:sz="0" w:space="0" w:color="auto"/>
        <w:left w:val="none" w:sz="0" w:space="0" w:color="auto"/>
        <w:bottom w:val="none" w:sz="0" w:space="0" w:color="auto"/>
        <w:right w:val="none" w:sz="0" w:space="0" w:color="auto"/>
      </w:divBdr>
    </w:div>
    <w:div w:id="104276002">
      <w:bodyDiv w:val="1"/>
      <w:marLeft w:val="0"/>
      <w:marRight w:val="0"/>
      <w:marTop w:val="0"/>
      <w:marBottom w:val="0"/>
      <w:divBdr>
        <w:top w:val="none" w:sz="0" w:space="0" w:color="auto"/>
        <w:left w:val="none" w:sz="0" w:space="0" w:color="auto"/>
        <w:bottom w:val="none" w:sz="0" w:space="0" w:color="auto"/>
        <w:right w:val="none" w:sz="0" w:space="0" w:color="auto"/>
      </w:divBdr>
    </w:div>
    <w:div w:id="151531385">
      <w:bodyDiv w:val="1"/>
      <w:marLeft w:val="0"/>
      <w:marRight w:val="0"/>
      <w:marTop w:val="0"/>
      <w:marBottom w:val="0"/>
      <w:divBdr>
        <w:top w:val="none" w:sz="0" w:space="0" w:color="auto"/>
        <w:left w:val="none" w:sz="0" w:space="0" w:color="auto"/>
        <w:bottom w:val="none" w:sz="0" w:space="0" w:color="auto"/>
        <w:right w:val="none" w:sz="0" w:space="0" w:color="auto"/>
      </w:divBdr>
    </w:div>
    <w:div w:id="208347954">
      <w:bodyDiv w:val="1"/>
      <w:marLeft w:val="0"/>
      <w:marRight w:val="0"/>
      <w:marTop w:val="0"/>
      <w:marBottom w:val="0"/>
      <w:divBdr>
        <w:top w:val="none" w:sz="0" w:space="0" w:color="auto"/>
        <w:left w:val="none" w:sz="0" w:space="0" w:color="auto"/>
        <w:bottom w:val="none" w:sz="0" w:space="0" w:color="auto"/>
        <w:right w:val="none" w:sz="0" w:space="0" w:color="auto"/>
      </w:divBdr>
    </w:div>
    <w:div w:id="277414393">
      <w:bodyDiv w:val="1"/>
      <w:marLeft w:val="0"/>
      <w:marRight w:val="0"/>
      <w:marTop w:val="0"/>
      <w:marBottom w:val="0"/>
      <w:divBdr>
        <w:top w:val="none" w:sz="0" w:space="0" w:color="auto"/>
        <w:left w:val="none" w:sz="0" w:space="0" w:color="auto"/>
        <w:bottom w:val="none" w:sz="0" w:space="0" w:color="auto"/>
        <w:right w:val="none" w:sz="0" w:space="0" w:color="auto"/>
      </w:divBdr>
    </w:div>
    <w:div w:id="472478883">
      <w:bodyDiv w:val="1"/>
      <w:marLeft w:val="0"/>
      <w:marRight w:val="0"/>
      <w:marTop w:val="0"/>
      <w:marBottom w:val="0"/>
      <w:divBdr>
        <w:top w:val="none" w:sz="0" w:space="0" w:color="auto"/>
        <w:left w:val="none" w:sz="0" w:space="0" w:color="auto"/>
        <w:bottom w:val="none" w:sz="0" w:space="0" w:color="auto"/>
        <w:right w:val="none" w:sz="0" w:space="0" w:color="auto"/>
      </w:divBdr>
    </w:div>
    <w:div w:id="521211274">
      <w:bodyDiv w:val="1"/>
      <w:marLeft w:val="0"/>
      <w:marRight w:val="0"/>
      <w:marTop w:val="0"/>
      <w:marBottom w:val="0"/>
      <w:divBdr>
        <w:top w:val="none" w:sz="0" w:space="0" w:color="auto"/>
        <w:left w:val="none" w:sz="0" w:space="0" w:color="auto"/>
        <w:bottom w:val="none" w:sz="0" w:space="0" w:color="auto"/>
        <w:right w:val="none" w:sz="0" w:space="0" w:color="auto"/>
      </w:divBdr>
    </w:div>
    <w:div w:id="996298113">
      <w:bodyDiv w:val="1"/>
      <w:marLeft w:val="0"/>
      <w:marRight w:val="0"/>
      <w:marTop w:val="0"/>
      <w:marBottom w:val="0"/>
      <w:divBdr>
        <w:top w:val="none" w:sz="0" w:space="0" w:color="auto"/>
        <w:left w:val="none" w:sz="0" w:space="0" w:color="auto"/>
        <w:bottom w:val="none" w:sz="0" w:space="0" w:color="auto"/>
        <w:right w:val="none" w:sz="0" w:space="0" w:color="auto"/>
      </w:divBdr>
    </w:div>
    <w:div w:id="1004551499">
      <w:bodyDiv w:val="1"/>
      <w:marLeft w:val="0"/>
      <w:marRight w:val="0"/>
      <w:marTop w:val="0"/>
      <w:marBottom w:val="0"/>
      <w:divBdr>
        <w:top w:val="none" w:sz="0" w:space="0" w:color="auto"/>
        <w:left w:val="none" w:sz="0" w:space="0" w:color="auto"/>
        <w:bottom w:val="none" w:sz="0" w:space="0" w:color="auto"/>
        <w:right w:val="none" w:sz="0" w:space="0" w:color="auto"/>
      </w:divBdr>
    </w:div>
    <w:div w:id="1007246906">
      <w:bodyDiv w:val="1"/>
      <w:marLeft w:val="0"/>
      <w:marRight w:val="0"/>
      <w:marTop w:val="0"/>
      <w:marBottom w:val="0"/>
      <w:divBdr>
        <w:top w:val="none" w:sz="0" w:space="0" w:color="auto"/>
        <w:left w:val="none" w:sz="0" w:space="0" w:color="auto"/>
        <w:bottom w:val="none" w:sz="0" w:space="0" w:color="auto"/>
        <w:right w:val="none" w:sz="0" w:space="0" w:color="auto"/>
      </w:divBdr>
    </w:div>
    <w:div w:id="1065178175">
      <w:bodyDiv w:val="1"/>
      <w:marLeft w:val="0"/>
      <w:marRight w:val="0"/>
      <w:marTop w:val="0"/>
      <w:marBottom w:val="0"/>
      <w:divBdr>
        <w:top w:val="none" w:sz="0" w:space="0" w:color="auto"/>
        <w:left w:val="none" w:sz="0" w:space="0" w:color="auto"/>
        <w:bottom w:val="none" w:sz="0" w:space="0" w:color="auto"/>
        <w:right w:val="none" w:sz="0" w:space="0" w:color="auto"/>
      </w:divBdr>
    </w:div>
    <w:div w:id="1088041284">
      <w:bodyDiv w:val="1"/>
      <w:marLeft w:val="0"/>
      <w:marRight w:val="0"/>
      <w:marTop w:val="0"/>
      <w:marBottom w:val="0"/>
      <w:divBdr>
        <w:top w:val="none" w:sz="0" w:space="0" w:color="auto"/>
        <w:left w:val="none" w:sz="0" w:space="0" w:color="auto"/>
        <w:bottom w:val="none" w:sz="0" w:space="0" w:color="auto"/>
        <w:right w:val="none" w:sz="0" w:space="0" w:color="auto"/>
      </w:divBdr>
    </w:div>
    <w:div w:id="1094981857">
      <w:bodyDiv w:val="1"/>
      <w:marLeft w:val="0"/>
      <w:marRight w:val="0"/>
      <w:marTop w:val="0"/>
      <w:marBottom w:val="0"/>
      <w:divBdr>
        <w:top w:val="none" w:sz="0" w:space="0" w:color="auto"/>
        <w:left w:val="none" w:sz="0" w:space="0" w:color="auto"/>
        <w:bottom w:val="none" w:sz="0" w:space="0" w:color="auto"/>
        <w:right w:val="none" w:sz="0" w:space="0" w:color="auto"/>
      </w:divBdr>
    </w:div>
    <w:div w:id="1463305264">
      <w:bodyDiv w:val="1"/>
      <w:marLeft w:val="0"/>
      <w:marRight w:val="0"/>
      <w:marTop w:val="0"/>
      <w:marBottom w:val="0"/>
      <w:divBdr>
        <w:top w:val="none" w:sz="0" w:space="0" w:color="auto"/>
        <w:left w:val="none" w:sz="0" w:space="0" w:color="auto"/>
        <w:bottom w:val="none" w:sz="0" w:space="0" w:color="auto"/>
        <w:right w:val="none" w:sz="0" w:space="0" w:color="auto"/>
      </w:divBdr>
    </w:div>
    <w:div w:id="1882474166">
      <w:bodyDiv w:val="1"/>
      <w:marLeft w:val="0"/>
      <w:marRight w:val="0"/>
      <w:marTop w:val="0"/>
      <w:marBottom w:val="0"/>
      <w:divBdr>
        <w:top w:val="none" w:sz="0" w:space="0" w:color="auto"/>
        <w:left w:val="none" w:sz="0" w:space="0" w:color="auto"/>
        <w:bottom w:val="none" w:sz="0" w:space="0" w:color="auto"/>
        <w:right w:val="none" w:sz="0" w:space="0" w:color="auto"/>
      </w:divBdr>
    </w:div>
    <w:div w:id="195817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vigo@pucp.pe" TargetMode="External"/><Relationship Id="rId5" Type="http://schemas.openxmlformats.org/officeDocument/2006/relationships/hyperlink" Target="mailto:gianfranco.vigo@kg.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1133</Words>
  <Characters>6235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Vigo</dc:creator>
  <cp:keywords/>
  <dc:description/>
  <cp:lastModifiedBy>Gianfranco Vigo</cp:lastModifiedBy>
  <cp:revision>41</cp:revision>
  <dcterms:created xsi:type="dcterms:W3CDTF">2025-05-13T04:16:00Z</dcterms:created>
  <dcterms:modified xsi:type="dcterms:W3CDTF">2025-05-13T05:26:00Z</dcterms:modified>
</cp:coreProperties>
</file>