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64E3DD" w14:textId="62820F8D" w:rsidR="00995718" w:rsidRPr="008E0A3C" w:rsidRDefault="008E0A3C">
      <w:pPr>
        <w:rPr>
          <w:b/>
          <w:bCs w:val="0"/>
          <w:lang w:val="es-PE"/>
        </w:rPr>
      </w:pPr>
      <w:r w:rsidRPr="008E0A3C">
        <w:rPr>
          <w:b/>
          <w:bCs w:val="0"/>
          <w:highlight w:val="yellow"/>
          <w:lang w:val="es-PE"/>
        </w:rPr>
        <w:t>"Educación como estrategia para fortalecer la sostenibilidad y la licencia social en zonas mineras: Caso de estudio en Arequipa"</w:t>
      </w:r>
    </w:p>
    <w:p w14:paraId="27C7B964" w14:textId="341FE87A" w:rsidR="008E0A3C" w:rsidRDefault="008E0A3C">
      <w:pPr>
        <w:rPr>
          <w:lang w:val="es-PE"/>
        </w:rPr>
      </w:pPr>
    </w:p>
    <w:p w14:paraId="793EB284" w14:textId="77777777" w:rsidR="008E0A3C" w:rsidRPr="008E0A3C" w:rsidRDefault="008E0A3C" w:rsidP="008E0A3C">
      <w:pPr>
        <w:spacing w:before="100" w:beforeAutospacing="1" w:after="100" w:afterAutospacing="1" w:line="240" w:lineRule="auto"/>
        <w:rPr>
          <w:rFonts w:eastAsia="Times New Roman" w:cs="Times New Roman"/>
          <w:bCs w:val="0"/>
          <w:color w:val="auto"/>
          <w:sz w:val="24"/>
          <w:szCs w:val="24"/>
          <w:lang w:val="es-PE" w:eastAsia="es-PE"/>
        </w:rPr>
      </w:pPr>
      <w:r w:rsidRPr="008E0A3C">
        <w:rPr>
          <w:rFonts w:eastAsia="Times New Roman" w:cs="Times New Roman"/>
          <w:b/>
          <w:color w:val="auto"/>
          <w:sz w:val="24"/>
          <w:szCs w:val="24"/>
          <w:lang w:val="es-PE" w:eastAsia="es-PE"/>
        </w:rPr>
        <w:t>1. Introducción</w:t>
      </w:r>
    </w:p>
    <w:p w14:paraId="755373E0" w14:textId="77777777" w:rsidR="008E0A3C" w:rsidRPr="008E0A3C" w:rsidRDefault="008E0A3C" w:rsidP="008E0A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bCs w:val="0"/>
          <w:color w:val="auto"/>
          <w:sz w:val="24"/>
          <w:szCs w:val="24"/>
          <w:lang w:val="es-PE" w:eastAsia="es-PE"/>
        </w:rPr>
      </w:pPr>
      <w:r w:rsidRPr="008E0A3C">
        <w:rPr>
          <w:rFonts w:eastAsia="Times New Roman" w:cs="Times New Roman"/>
          <w:bCs w:val="0"/>
          <w:color w:val="auto"/>
          <w:sz w:val="24"/>
          <w:szCs w:val="24"/>
          <w:lang w:val="es-PE" w:eastAsia="es-PE"/>
        </w:rPr>
        <w:t>Importancia de la minería en el Perú y en regiones como Arequipa.</w:t>
      </w:r>
    </w:p>
    <w:p w14:paraId="1D915762" w14:textId="77777777" w:rsidR="008E0A3C" w:rsidRPr="008E0A3C" w:rsidRDefault="008E0A3C" w:rsidP="008E0A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bCs w:val="0"/>
          <w:color w:val="auto"/>
          <w:sz w:val="24"/>
          <w:szCs w:val="24"/>
          <w:lang w:val="es-PE" w:eastAsia="es-PE"/>
        </w:rPr>
      </w:pPr>
      <w:r w:rsidRPr="008E0A3C">
        <w:rPr>
          <w:rFonts w:eastAsia="Times New Roman" w:cs="Times New Roman"/>
          <w:bCs w:val="0"/>
          <w:color w:val="auto"/>
          <w:sz w:val="24"/>
          <w:szCs w:val="24"/>
          <w:lang w:val="es-PE" w:eastAsia="es-PE"/>
        </w:rPr>
        <w:t>Desafíos actuales: conflictos sociales, percepción negativa, necesidad de licencia social.</w:t>
      </w:r>
    </w:p>
    <w:p w14:paraId="6BD1F994" w14:textId="77777777" w:rsidR="008E0A3C" w:rsidRPr="008E0A3C" w:rsidRDefault="008E0A3C" w:rsidP="008E0A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bCs w:val="0"/>
          <w:color w:val="auto"/>
          <w:sz w:val="24"/>
          <w:szCs w:val="24"/>
          <w:lang w:val="es-PE" w:eastAsia="es-PE"/>
        </w:rPr>
      </w:pPr>
      <w:r w:rsidRPr="008E0A3C">
        <w:rPr>
          <w:rFonts w:eastAsia="Times New Roman" w:cs="Times New Roman"/>
          <w:bCs w:val="0"/>
          <w:color w:val="auto"/>
          <w:sz w:val="24"/>
          <w:szCs w:val="24"/>
          <w:lang w:val="es-PE" w:eastAsia="es-PE"/>
        </w:rPr>
        <w:t>Hipótesis: invertir en educación puede ser una herramienta clave para mejorar la relación entre minería, comunidad y gobierno.</w:t>
      </w:r>
    </w:p>
    <w:p w14:paraId="71609EB2" w14:textId="77777777" w:rsidR="008E0A3C" w:rsidRPr="008E0A3C" w:rsidRDefault="008E0A3C" w:rsidP="008E0A3C">
      <w:pPr>
        <w:spacing w:before="100" w:beforeAutospacing="1" w:after="100" w:afterAutospacing="1" w:line="240" w:lineRule="auto"/>
        <w:rPr>
          <w:rFonts w:eastAsia="Times New Roman" w:cs="Times New Roman"/>
          <w:bCs w:val="0"/>
          <w:color w:val="auto"/>
          <w:sz w:val="24"/>
          <w:szCs w:val="24"/>
          <w:lang w:val="es-PE" w:eastAsia="es-PE"/>
        </w:rPr>
      </w:pPr>
      <w:r w:rsidRPr="008E0A3C">
        <w:rPr>
          <w:rFonts w:eastAsia="Times New Roman" w:cs="Times New Roman"/>
          <w:b/>
          <w:color w:val="auto"/>
          <w:sz w:val="24"/>
          <w:szCs w:val="24"/>
          <w:lang w:val="es-PE" w:eastAsia="es-PE"/>
        </w:rPr>
        <w:t>2. Justificación</w:t>
      </w:r>
    </w:p>
    <w:p w14:paraId="22B4FD4A" w14:textId="77777777" w:rsidR="008E0A3C" w:rsidRPr="008E0A3C" w:rsidRDefault="008E0A3C" w:rsidP="008E0A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bCs w:val="0"/>
          <w:color w:val="auto"/>
          <w:sz w:val="24"/>
          <w:szCs w:val="24"/>
          <w:lang w:val="es-PE" w:eastAsia="es-PE"/>
        </w:rPr>
      </w:pPr>
      <w:r w:rsidRPr="008E0A3C">
        <w:rPr>
          <w:rFonts w:eastAsia="Times New Roman" w:cs="Times New Roman"/>
          <w:bCs w:val="0"/>
          <w:color w:val="auto"/>
          <w:sz w:val="24"/>
          <w:szCs w:val="24"/>
          <w:lang w:val="es-PE" w:eastAsia="es-PE"/>
        </w:rPr>
        <w:t>Educación como motor de diálogo informado.</w:t>
      </w:r>
    </w:p>
    <w:p w14:paraId="1465C5A5" w14:textId="77777777" w:rsidR="008E0A3C" w:rsidRPr="008E0A3C" w:rsidRDefault="008E0A3C" w:rsidP="008E0A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bCs w:val="0"/>
          <w:color w:val="auto"/>
          <w:sz w:val="24"/>
          <w:szCs w:val="24"/>
          <w:lang w:val="es-PE" w:eastAsia="es-PE"/>
        </w:rPr>
      </w:pPr>
      <w:r w:rsidRPr="008E0A3C">
        <w:rPr>
          <w:rFonts w:eastAsia="Times New Roman" w:cs="Times New Roman"/>
          <w:bCs w:val="0"/>
          <w:color w:val="auto"/>
          <w:sz w:val="24"/>
          <w:szCs w:val="24"/>
          <w:lang w:val="es-PE" w:eastAsia="es-PE"/>
        </w:rPr>
        <w:t>Mejora de capacidades locales: desde técnicas de minería sostenible hasta alternativas laborales.</w:t>
      </w:r>
    </w:p>
    <w:p w14:paraId="1F5C028A" w14:textId="77777777" w:rsidR="008E0A3C" w:rsidRPr="008E0A3C" w:rsidRDefault="008E0A3C" w:rsidP="008E0A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bCs w:val="0"/>
          <w:color w:val="auto"/>
          <w:sz w:val="24"/>
          <w:szCs w:val="24"/>
          <w:lang w:val="es-PE" w:eastAsia="es-PE"/>
        </w:rPr>
      </w:pPr>
      <w:r w:rsidRPr="008E0A3C">
        <w:rPr>
          <w:rFonts w:eastAsia="Times New Roman" w:cs="Times New Roman"/>
          <w:bCs w:val="0"/>
          <w:color w:val="auto"/>
          <w:sz w:val="24"/>
          <w:szCs w:val="24"/>
          <w:lang w:val="es-PE" w:eastAsia="es-PE"/>
        </w:rPr>
        <w:t>Valor agregado para las empresas mineras: reducción de conflictos, mayor estabilidad, acceso a permisos.</w:t>
      </w:r>
    </w:p>
    <w:p w14:paraId="27DA396F" w14:textId="77777777" w:rsidR="008E0A3C" w:rsidRPr="008E0A3C" w:rsidRDefault="008E0A3C" w:rsidP="008E0A3C">
      <w:pPr>
        <w:spacing w:before="100" w:beforeAutospacing="1" w:after="100" w:afterAutospacing="1" w:line="240" w:lineRule="auto"/>
        <w:rPr>
          <w:rFonts w:eastAsia="Times New Roman" w:cs="Times New Roman"/>
          <w:bCs w:val="0"/>
          <w:color w:val="auto"/>
          <w:sz w:val="24"/>
          <w:szCs w:val="24"/>
          <w:lang w:val="es-PE" w:eastAsia="es-PE"/>
        </w:rPr>
      </w:pPr>
      <w:r w:rsidRPr="008E0A3C">
        <w:rPr>
          <w:rFonts w:eastAsia="Times New Roman" w:cs="Times New Roman"/>
          <w:b/>
          <w:color w:val="auto"/>
          <w:sz w:val="24"/>
          <w:szCs w:val="24"/>
          <w:lang w:val="es-PE" w:eastAsia="es-PE"/>
        </w:rPr>
        <w:t>3. Objetivos</w:t>
      </w:r>
    </w:p>
    <w:p w14:paraId="79DA0DDE" w14:textId="77777777" w:rsidR="008E0A3C" w:rsidRPr="008E0A3C" w:rsidRDefault="008E0A3C" w:rsidP="008E0A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bCs w:val="0"/>
          <w:color w:val="auto"/>
          <w:sz w:val="24"/>
          <w:szCs w:val="24"/>
          <w:lang w:val="es-PE" w:eastAsia="es-PE"/>
        </w:rPr>
      </w:pPr>
      <w:r w:rsidRPr="008E0A3C">
        <w:rPr>
          <w:rFonts w:eastAsia="Times New Roman" w:cs="Times New Roman"/>
          <w:b/>
          <w:color w:val="auto"/>
          <w:sz w:val="24"/>
          <w:szCs w:val="24"/>
          <w:lang w:val="es-PE" w:eastAsia="es-PE"/>
        </w:rPr>
        <w:t>General:</w:t>
      </w:r>
      <w:r w:rsidRPr="008E0A3C">
        <w:rPr>
          <w:rFonts w:eastAsia="Times New Roman" w:cs="Times New Roman"/>
          <w:bCs w:val="0"/>
          <w:color w:val="auto"/>
          <w:sz w:val="24"/>
          <w:szCs w:val="24"/>
          <w:lang w:val="es-PE" w:eastAsia="es-PE"/>
        </w:rPr>
        <w:br/>
        <w:t>Evaluar el impacto de la inversión en educación financiada por el canon minero en la percepción y sostenibilidad de proyectos mineros en Arequipa.</w:t>
      </w:r>
    </w:p>
    <w:p w14:paraId="3D5306D8" w14:textId="77777777" w:rsidR="008E0A3C" w:rsidRPr="008E0A3C" w:rsidRDefault="008E0A3C" w:rsidP="008E0A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bCs w:val="0"/>
          <w:color w:val="auto"/>
          <w:sz w:val="24"/>
          <w:szCs w:val="24"/>
          <w:lang w:val="es-PE" w:eastAsia="es-PE"/>
        </w:rPr>
      </w:pPr>
      <w:r w:rsidRPr="008E0A3C">
        <w:rPr>
          <w:rFonts w:eastAsia="Times New Roman" w:cs="Times New Roman"/>
          <w:b/>
          <w:color w:val="auto"/>
          <w:sz w:val="24"/>
          <w:szCs w:val="24"/>
          <w:lang w:val="es-PE" w:eastAsia="es-PE"/>
        </w:rPr>
        <w:t>Específicos:</w:t>
      </w:r>
    </w:p>
    <w:p w14:paraId="353A566D" w14:textId="77777777" w:rsidR="008E0A3C" w:rsidRPr="008E0A3C" w:rsidRDefault="008E0A3C" w:rsidP="008E0A3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bCs w:val="0"/>
          <w:color w:val="auto"/>
          <w:sz w:val="24"/>
          <w:szCs w:val="24"/>
          <w:lang w:val="es-PE" w:eastAsia="es-PE"/>
        </w:rPr>
      </w:pPr>
      <w:r w:rsidRPr="008E0A3C">
        <w:rPr>
          <w:rFonts w:eastAsia="Times New Roman" w:cs="Times New Roman"/>
          <w:bCs w:val="0"/>
          <w:color w:val="auto"/>
          <w:sz w:val="24"/>
          <w:szCs w:val="24"/>
          <w:lang w:val="es-PE" w:eastAsia="es-PE"/>
        </w:rPr>
        <w:t>Analizar experiencias de colegios financiados con canon minero.</w:t>
      </w:r>
    </w:p>
    <w:p w14:paraId="1A1251CA" w14:textId="77777777" w:rsidR="008E0A3C" w:rsidRPr="008E0A3C" w:rsidRDefault="008E0A3C" w:rsidP="008E0A3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bCs w:val="0"/>
          <w:color w:val="auto"/>
          <w:sz w:val="24"/>
          <w:szCs w:val="24"/>
          <w:lang w:val="es-PE" w:eastAsia="es-PE"/>
        </w:rPr>
      </w:pPr>
      <w:r w:rsidRPr="008E0A3C">
        <w:rPr>
          <w:rFonts w:eastAsia="Times New Roman" w:cs="Times New Roman"/>
          <w:bCs w:val="0"/>
          <w:color w:val="auto"/>
          <w:sz w:val="24"/>
          <w:szCs w:val="24"/>
          <w:lang w:val="es-PE" w:eastAsia="es-PE"/>
        </w:rPr>
        <w:t>Identificar cambios en la percepción social sobre la minería.</w:t>
      </w:r>
    </w:p>
    <w:p w14:paraId="4BD88315" w14:textId="77777777" w:rsidR="008E0A3C" w:rsidRPr="008E0A3C" w:rsidRDefault="008E0A3C" w:rsidP="008E0A3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bCs w:val="0"/>
          <w:color w:val="auto"/>
          <w:sz w:val="24"/>
          <w:szCs w:val="24"/>
          <w:lang w:val="es-PE" w:eastAsia="es-PE"/>
        </w:rPr>
      </w:pPr>
      <w:r w:rsidRPr="008E0A3C">
        <w:rPr>
          <w:rFonts w:eastAsia="Times New Roman" w:cs="Times New Roman"/>
          <w:bCs w:val="0"/>
          <w:color w:val="auto"/>
          <w:sz w:val="24"/>
          <w:szCs w:val="24"/>
          <w:lang w:val="es-PE" w:eastAsia="es-PE"/>
        </w:rPr>
        <w:t>Proponer un modelo educativo que fortalezca la sostenibilidad minera.</w:t>
      </w:r>
    </w:p>
    <w:p w14:paraId="4C298828" w14:textId="77777777" w:rsidR="008E0A3C" w:rsidRPr="008E0A3C" w:rsidRDefault="008E0A3C" w:rsidP="008E0A3C">
      <w:pPr>
        <w:spacing w:before="100" w:beforeAutospacing="1" w:after="100" w:afterAutospacing="1" w:line="240" w:lineRule="auto"/>
        <w:rPr>
          <w:rFonts w:eastAsia="Times New Roman" w:cs="Times New Roman"/>
          <w:bCs w:val="0"/>
          <w:color w:val="auto"/>
          <w:sz w:val="24"/>
          <w:szCs w:val="24"/>
          <w:lang w:val="es-PE" w:eastAsia="es-PE"/>
        </w:rPr>
      </w:pPr>
      <w:r w:rsidRPr="008E0A3C">
        <w:rPr>
          <w:rFonts w:eastAsia="Times New Roman" w:cs="Times New Roman"/>
          <w:b/>
          <w:color w:val="auto"/>
          <w:sz w:val="24"/>
          <w:szCs w:val="24"/>
          <w:lang w:val="es-PE" w:eastAsia="es-PE"/>
        </w:rPr>
        <w:t>4. Metodología</w:t>
      </w:r>
    </w:p>
    <w:p w14:paraId="705943F7" w14:textId="77777777" w:rsidR="008E0A3C" w:rsidRPr="008E0A3C" w:rsidRDefault="008E0A3C" w:rsidP="008E0A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bCs w:val="0"/>
          <w:color w:val="auto"/>
          <w:sz w:val="24"/>
          <w:szCs w:val="24"/>
          <w:lang w:val="es-PE" w:eastAsia="es-PE"/>
        </w:rPr>
      </w:pPr>
      <w:r w:rsidRPr="008E0A3C">
        <w:rPr>
          <w:rFonts w:eastAsia="Times New Roman" w:cs="Times New Roman"/>
          <w:bCs w:val="0"/>
          <w:color w:val="auto"/>
          <w:sz w:val="24"/>
          <w:szCs w:val="24"/>
          <w:lang w:val="es-PE" w:eastAsia="es-PE"/>
        </w:rPr>
        <w:t>Estudio de caso: colegios en zonas mineras de Arequipa.</w:t>
      </w:r>
    </w:p>
    <w:p w14:paraId="2B9147FA" w14:textId="77777777" w:rsidR="008E0A3C" w:rsidRPr="008E0A3C" w:rsidRDefault="008E0A3C" w:rsidP="008E0A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bCs w:val="0"/>
          <w:color w:val="auto"/>
          <w:sz w:val="24"/>
          <w:szCs w:val="24"/>
          <w:lang w:val="es-PE" w:eastAsia="es-PE"/>
        </w:rPr>
      </w:pPr>
      <w:r w:rsidRPr="008E0A3C">
        <w:rPr>
          <w:rFonts w:eastAsia="Times New Roman" w:cs="Times New Roman"/>
          <w:bCs w:val="0"/>
          <w:color w:val="auto"/>
          <w:sz w:val="24"/>
          <w:szCs w:val="24"/>
          <w:lang w:val="es-PE" w:eastAsia="es-PE"/>
        </w:rPr>
        <w:t>Entrevistas a docentes, alumnos, líderes comunales y autoridades.</w:t>
      </w:r>
    </w:p>
    <w:p w14:paraId="7F83155D" w14:textId="77777777" w:rsidR="008E0A3C" w:rsidRPr="008E0A3C" w:rsidRDefault="008E0A3C" w:rsidP="008E0A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bCs w:val="0"/>
          <w:color w:val="auto"/>
          <w:sz w:val="24"/>
          <w:szCs w:val="24"/>
          <w:lang w:val="es-PE" w:eastAsia="es-PE"/>
        </w:rPr>
      </w:pPr>
      <w:r w:rsidRPr="008E0A3C">
        <w:rPr>
          <w:rFonts w:eastAsia="Times New Roman" w:cs="Times New Roman"/>
          <w:bCs w:val="0"/>
          <w:color w:val="auto"/>
          <w:sz w:val="24"/>
          <w:szCs w:val="24"/>
          <w:lang w:val="es-PE" w:eastAsia="es-PE"/>
        </w:rPr>
        <w:t>Encuestas sobre percepción de la minería antes y después de proyectos educativos.</w:t>
      </w:r>
    </w:p>
    <w:p w14:paraId="62D77EEE" w14:textId="77777777" w:rsidR="008E0A3C" w:rsidRPr="008E0A3C" w:rsidRDefault="008E0A3C" w:rsidP="008E0A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bCs w:val="0"/>
          <w:color w:val="auto"/>
          <w:sz w:val="24"/>
          <w:szCs w:val="24"/>
          <w:lang w:val="es-PE" w:eastAsia="es-PE"/>
        </w:rPr>
      </w:pPr>
      <w:r w:rsidRPr="008E0A3C">
        <w:rPr>
          <w:rFonts w:eastAsia="Times New Roman" w:cs="Times New Roman"/>
          <w:bCs w:val="0"/>
          <w:color w:val="auto"/>
          <w:sz w:val="24"/>
          <w:szCs w:val="24"/>
          <w:lang w:val="es-PE" w:eastAsia="es-PE"/>
        </w:rPr>
        <w:t>Análisis de contenido curricular: presencia de temas de sostenibilidad minera, reconversión laboral y carreras STEM.</w:t>
      </w:r>
    </w:p>
    <w:p w14:paraId="002D4AE7" w14:textId="77777777" w:rsidR="008E0A3C" w:rsidRPr="008E0A3C" w:rsidRDefault="008E0A3C" w:rsidP="008E0A3C">
      <w:pPr>
        <w:spacing w:before="100" w:beforeAutospacing="1" w:after="100" w:afterAutospacing="1" w:line="240" w:lineRule="auto"/>
        <w:rPr>
          <w:rFonts w:eastAsia="Times New Roman" w:cs="Times New Roman"/>
          <w:bCs w:val="0"/>
          <w:color w:val="auto"/>
          <w:sz w:val="24"/>
          <w:szCs w:val="24"/>
          <w:lang w:val="es-PE" w:eastAsia="es-PE"/>
        </w:rPr>
      </w:pPr>
      <w:r w:rsidRPr="008E0A3C">
        <w:rPr>
          <w:rFonts w:eastAsia="Times New Roman" w:cs="Times New Roman"/>
          <w:b/>
          <w:color w:val="auto"/>
          <w:sz w:val="24"/>
          <w:szCs w:val="24"/>
          <w:lang w:val="es-PE" w:eastAsia="es-PE"/>
        </w:rPr>
        <w:t>5. Ejemplo práctico</w:t>
      </w:r>
    </w:p>
    <w:p w14:paraId="649F3C9C" w14:textId="77777777" w:rsidR="008E0A3C" w:rsidRPr="008E0A3C" w:rsidRDefault="008E0A3C" w:rsidP="008E0A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bCs w:val="0"/>
          <w:color w:val="auto"/>
          <w:sz w:val="24"/>
          <w:szCs w:val="24"/>
          <w:lang w:val="es-PE" w:eastAsia="es-PE"/>
        </w:rPr>
      </w:pPr>
      <w:r w:rsidRPr="008E0A3C">
        <w:rPr>
          <w:rFonts w:eastAsia="Times New Roman" w:cs="Times New Roman"/>
          <w:bCs w:val="0"/>
          <w:color w:val="auto"/>
          <w:sz w:val="24"/>
          <w:szCs w:val="24"/>
          <w:lang w:val="es-PE" w:eastAsia="es-PE"/>
        </w:rPr>
        <w:t>Un colegio rural en Arequipa, financiado por el canon, que enseñe:</w:t>
      </w:r>
    </w:p>
    <w:p w14:paraId="4BE50B75" w14:textId="77777777" w:rsidR="008E0A3C" w:rsidRPr="008E0A3C" w:rsidRDefault="008E0A3C" w:rsidP="008E0A3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bCs w:val="0"/>
          <w:color w:val="auto"/>
          <w:sz w:val="24"/>
          <w:szCs w:val="24"/>
          <w:lang w:val="es-PE" w:eastAsia="es-PE"/>
        </w:rPr>
      </w:pPr>
      <w:r w:rsidRPr="008E0A3C">
        <w:rPr>
          <w:rFonts w:eastAsia="Times New Roman" w:cs="Times New Roman"/>
          <w:bCs w:val="0"/>
          <w:i/>
          <w:iCs/>
          <w:color w:val="auto"/>
          <w:sz w:val="24"/>
          <w:szCs w:val="24"/>
          <w:lang w:val="es-PE" w:eastAsia="es-PE"/>
        </w:rPr>
        <w:t>Técnicas de minería sostenible</w:t>
      </w:r>
      <w:r w:rsidRPr="008E0A3C">
        <w:rPr>
          <w:rFonts w:eastAsia="Times New Roman" w:cs="Times New Roman"/>
          <w:bCs w:val="0"/>
          <w:color w:val="auto"/>
          <w:sz w:val="24"/>
          <w:szCs w:val="24"/>
          <w:lang w:val="es-PE" w:eastAsia="es-PE"/>
        </w:rPr>
        <w:t xml:space="preserve"> (reducción de impacto ambiental, cierre de minas).</w:t>
      </w:r>
    </w:p>
    <w:p w14:paraId="2CF5671D" w14:textId="77777777" w:rsidR="008E0A3C" w:rsidRPr="008E0A3C" w:rsidRDefault="008E0A3C" w:rsidP="008E0A3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bCs w:val="0"/>
          <w:color w:val="auto"/>
          <w:sz w:val="24"/>
          <w:szCs w:val="24"/>
          <w:lang w:val="es-PE" w:eastAsia="es-PE"/>
        </w:rPr>
      </w:pPr>
      <w:r w:rsidRPr="008E0A3C">
        <w:rPr>
          <w:rFonts w:eastAsia="Times New Roman" w:cs="Times New Roman"/>
          <w:bCs w:val="0"/>
          <w:i/>
          <w:iCs/>
          <w:color w:val="auto"/>
          <w:sz w:val="24"/>
          <w:szCs w:val="24"/>
          <w:lang w:val="es-PE" w:eastAsia="es-PE"/>
        </w:rPr>
        <w:t>Reconversión laboral</w:t>
      </w:r>
      <w:r w:rsidRPr="008E0A3C">
        <w:rPr>
          <w:rFonts w:eastAsia="Times New Roman" w:cs="Times New Roman"/>
          <w:bCs w:val="0"/>
          <w:color w:val="auto"/>
          <w:sz w:val="24"/>
          <w:szCs w:val="24"/>
          <w:lang w:val="es-PE" w:eastAsia="es-PE"/>
        </w:rPr>
        <w:t xml:space="preserve"> (cursos de agroindustria, turismo, emprendimiento).</w:t>
      </w:r>
    </w:p>
    <w:p w14:paraId="5D8194AE" w14:textId="77777777" w:rsidR="008E0A3C" w:rsidRPr="008E0A3C" w:rsidRDefault="008E0A3C" w:rsidP="008E0A3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bCs w:val="0"/>
          <w:color w:val="auto"/>
          <w:sz w:val="24"/>
          <w:szCs w:val="24"/>
          <w:lang w:val="es-PE" w:eastAsia="es-PE"/>
        </w:rPr>
      </w:pPr>
      <w:r w:rsidRPr="008E0A3C">
        <w:rPr>
          <w:rFonts w:eastAsia="Times New Roman" w:cs="Times New Roman"/>
          <w:bCs w:val="0"/>
          <w:i/>
          <w:iCs/>
          <w:color w:val="auto"/>
          <w:sz w:val="24"/>
          <w:szCs w:val="24"/>
          <w:lang w:val="es-PE" w:eastAsia="es-PE"/>
        </w:rPr>
        <w:t>Carreras STEM</w:t>
      </w:r>
      <w:r w:rsidRPr="008E0A3C">
        <w:rPr>
          <w:rFonts w:eastAsia="Times New Roman" w:cs="Times New Roman"/>
          <w:bCs w:val="0"/>
          <w:color w:val="auto"/>
          <w:sz w:val="24"/>
          <w:szCs w:val="24"/>
          <w:lang w:val="es-PE" w:eastAsia="es-PE"/>
        </w:rPr>
        <w:t xml:space="preserve"> orientadas a innovación minera.</w:t>
      </w:r>
    </w:p>
    <w:p w14:paraId="4F31CC8C" w14:textId="77777777" w:rsidR="008E0A3C" w:rsidRPr="008E0A3C" w:rsidRDefault="008E0A3C" w:rsidP="008E0A3C">
      <w:pPr>
        <w:spacing w:before="100" w:beforeAutospacing="1" w:after="100" w:afterAutospacing="1" w:line="240" w:lineRule="auto"/>
        <w:rPr>
          <w:rFonts w:eastAsia="Times New Roman" w:cs="Times New Roman"/>
          <w:bCs w:val="0"/>
          <w:color w:val="auto"/>
          <w:sz w:val="24"/>
          <w:szCs w:val="24"/>
          <w:lang w:val="es-PE" w:eastAsia="es-PE"/>
        </w:rPr>
      </w:pPr>
      <w:r w:rsidRPr="008E0A3C">
        <w:rPr>
          <w:rFonts w:eastAsia="Times New Roman" w:cs="Times New Roman"/>
          <w:b/>
          <w:color w:val="auto"/>
          <w:sz w:val="24"/>
          <w:szCs w:val="24"/>
          <w:lang w:val="es-PE" w:eastAsia="es-PE"/>
        </w:rPr>
        <w:t>6. Resultados esperados</w:t>
      </w:r>
    </w:p>
    <w:p w14:paraId="448101EF" w14:textId="77777777" w:rsidR="008E0A3C" w:rsidRPr="008E0A3C" w:rsidRDefault="008E0A3C" w:rsidP="008E0A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bCs w:val="0"/>
          <w:color w:val="auto"/>
          <w:sz w:val="24"/>
          <w:szCs w:val="24"/>
          <w:lang w:val="es-PE" w:eastAsia="es-PE"/>
        </w:rPr>
      </w:pPr>
      <w:r w:rsidRPr="008E0A3C">
        <w:rPr>
          <w:rFonts w:eastAsia="Times New Roman" w:cs="Times New Roman"/>
          <w:bCs w:val="0"/>
          <w:color w:val="auto"/>
          <w:sz w:val="24"/>
          <w:szCs w:val="24"/>
          <w:lang w:val="es-PE" w:eastAsia="es-PE"/>
        </w:rPr>
        <w:lastRenderedPageBreak/>
        <w:t>Mayor diálogo informado entre comunidades y empresas mineras.</w:t>
      </w:r>
    </w:p>
    <w:p w14:paraId="2433F6F5" w14:textId="77777777" w:rsidR="008E0A3C" w:rsidRPr="008E0A3C" w:rsidRDefault="008E0A3C" w:rsidP="008E0A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bCs w:val="0"/>
          <w:color w:val="auto"/>
          <w:sz w:val="24"/>
          <w:szCs w:val="24"/>
          <w:lang w:val="es-PE" w:eastAsia="es-PE"/>
        </w:rPr>
      </w:pPr>
      <w:r w:rsidRPr="008E0A3C">
        <w:rPr>
          <w:rFonts w:eastAsia="Times New Roman" w:cs="Times New Roman"/>
          <w:bCs w:val="0"/>
          <w:color w:val="auto"/>
          <w:sz w:val="24"/>
          <w:szCs w:val="24"/>
          <w:lang w:val="es-PE" w:eastAsia="es-PE"/>
        </w:rPr>
        <w:t>Mayor interés por carreras técnicas y científicas relacionadas al sector.</w:t>
      </w:r>
    </w:p>
    <w:p w14:paraId="7895D344" w14:textId="77777777" w:rsidR="008E0A3C" w:rsidRPr="008E0A3C" w:rsidRDefault="008E0A3C" w:rsidP="008E0A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bCs w:val="0"/>
          <w:color w:val="auto"/>
          <w:sz w:val="24"/>
          <w:szCs w:val="24"/>
          <w:lang w:val="es-PE" w:eastAsia="es-PE"/>
        </w:rPr>
      </w:pPr>
      <w:r w:rsidRPr="008E0A3C">
        <w:rPr>
          <w:rFonts w:eastAsia="Times New Roman" w:cs="Times New Roman"/>
          <w:bCs w:val="0"/>
          <w:color w:val="auto"/>
          <w:sz w:val="24"/>
          <w:szCs w:val="24"/>
          <w:lang w:val="es-PE" w:eastAsia="es-PE"/>
        </w:rPr>
        <w:t>Reducción de conflictos sociales en zonas de influencia minera.</w:t>
      </w:r>
    </w:p>
    <w:p w14:paraId="26D6D5BC" w14:textId="77777777" w:rsidR="008E0A3C" w:rsidRPr="008E0A3C" w:rsidRDefault="008E0A3C" w:rsidP="008E0A3C">
      <w:pPr>
        <w:spacing w:before="100" w:beforeAutospacing="1" w:after="100" w:afterAutospacing="1" w:line="240" w:lineRule="auto"/>
        <w:rPr>
          <w:rFonts w:eastAsia="Times New Roman" w:cs="Times New Roman"/>
          <w:bCs w:val="0"/>
          <w:color w:val="auto"/>
          <w:sz w:val="24"/>
          <w:szCs w:val="24"/>
          <w:lang w:val="es-PE" w:eastAsia="es-PE"/>
        </w:rPr>
      </w:pPr>
      <w:r w:rsidRPr="008E0A3C">
        <w:rPr>
          <w:rFonts w:eastAsia="Times New Roman" w:cs="Times New Roman"/>
          <w:b/>
          <w:color w:val="auto"/>
          <w:sz w:val="24"/>
          <w:szCs w:val="24"/>
          <w:lang w:val="es-PE" w:eastAsia="es-PE"/>
        </w:rPr>
        <w:t>7. Conclusión</w:t>
      </w:r>
    </w:p>
    <w:p w14:paraId="1AD254DB" w14:textId="77777777" w:rsidR="008E0A3C" w:rsidRPr="008E0A3C" w:rsidRDefault="008E0A3C" w:rsidP="008E0A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bCs w:val="0"/>
          <w:color w:val="auto"/>
          <w:sz w:val="24"/>
          <w:szCs w:val="24"/>
          <w:lang w:val="es-PE" w:eastAsia="es-PE"/>
        </w:rPr>
      </w:pPr>
      <w:r w:rsidRPr="008E0A3C">
        <w:rPr>
          <w:rFonts w:eastAsia="Times New Roman" w:cs="Times New Roman"/>
          <w:bCs w:val="0"/>
          <w:color w:val="auto"/>
          <w:sz w:val="24"/>
          <w:szCs w:val="24"/>
          <w:lang w:val="es-PE" w:eastAsia="es-PE"/>
        </w:rPr>
        <w:t>El uso estratégico del canon minero en educación es una inversión en sostenibilidad y en licencia social, beneficiando tanto a las comunidades como al sector minero</w:t>
      </w:r>
    </w:p>
    <w:p w14:paraId="52A40EB6" w14:textId="77777777" w:rsidR="008E0A3C" w:rsidRPr="008E0A3C" w:rsidRDefault="008E0A3C" w:rsidP="008E0A3C">
      <w:pPr>
        <w:spacing w:before="100" w:beforeAutospacing="1" w:after="100" w:afterAutospacing="1" w:line="240" w:lineRule="auto"/>
        <w:rPr>
          <w:rFonts w:eastAsia="Times New Roman" w:cs="Times New Roman"/>
          <w:bCs w:val="0"/>
          <w:color w:val="auto"/>
          <w:sz w:val="24"/>
          <w:szCs w:val="24"/>
          <w:lang w:val="es-PE" w:eastAsia="es-PE"/>
        </w:rPr>
      </w:pPr>
      <w:r w:rsidRPr="008E0A3C">
        <w:rPr>
          <w:rFonts w:eastAsia="Times New Roman" w:cs="Times New Roman"/>
          <w:b/>
          <w:color w:val="auto"/>
          <w:sz w:val="24"/>
          <w:szCs w:val="24"/>
          <w:lang w:val="es-PE" w:eastAsia="es-PE"/>
        </w:rPr>
        <w:t>Resumen</w:t>
      </w:r>
    </w:p>
    <w:p w14:paraId="286DD7BA" w14:textId="2CA56B4B" w:rsidR="008E0A3C" w:rsidRPr="008E0A3C" w:rsidRDefault="008E0A3C" w:rsidP="008E0A3C">
      <w:pPr>
        <w:spacing w:before="100" w:beforeAutospacing="1" w:after="100" w:afterAutospacing="1" w:line="240" w:lineRule="auto"/>
        <w:jc w:val="both"/>
        <w:rPr>
          <w:rFonts w:eastAsia="Times New Roman" w:cs="Times New Roman"/>
          <w:bCs w:val="0"/>
          <w:color w:val="auto"/>
          <w:sz w:val="24"/>
          <w:szCs w:val="24"/>
          <w:lang w:val="es-PE" w:eastAsia="es-PE"/>
        </w:rPr>
      </w:pPr>
      <w:r w:rsidRPr="008E0A3C">
        <w:rPr>
          <w:rFonts w:eastAsia="Times New Roman" w:cs="Times New Roman"/>
          <w:bCs w:val="0"/>
          <w:color w:val="auto"/>
          <w:sz w:val="24"/>
          <w:szCs w:val="24"/>
          <w:lang w:val="es-PE" w:eastAsia="es-PE"/>
        </w:rPr>
        <w:t>La minería representa un pilar fundamental para la economía peruana; sin embargo, su sostenibilidad enfrenta crecientes desafíos debido a la desconfianza social y a la complejidad para obtener licencia social en las regiones de influencia. Este proyecto propone una estrategia innovadora: utilizar los recursos del canon minero para invertir directamente en educación, fortaleciendo así la sostenibilidad del sector y promoviendo un entorno social más capacitado y constructivo.</w:t>
      </w:r>
      <w:r>
        <w:rPr>
          <w:rFonts w:eastAsia="Times New Roman" w:cs="Times New Roman"/>
          <w:bCs w:val="0"/>
          <w:color w:val="auto"/>
          <w:sz w:val="24"/>
          <w:szCs w:val="24"/>
          <w:lang w:val="es-PE" w:eastAsia="es-PE"/>
        </w:rPr>
        <w:t xml:space="preserve"> </w:t>
      </w:r>
      <w:r w:rsidRPr="008E0A3C">
        <w:rPr>
          <w:rFonts w:eastAsia="Times New Roman" w:cs="Times New Roman"/>
          <w:bCs w:val="0"/>
          <w:color w:val="auto"/>
          <w:sz w:val="24"/>
          <w:szCs w:val="24"/>
          <w:lang w:val="es-PE" w:eastAsia="es-PE"/>
        </w:rPr>
        <w:t>El estudio se centrará en la región de Arequipa, analizando colegios financiados por el canon minero que integren en su currículo temas como técnicas de minería sostenible, programas de reconversión laboral y la promoción de carreras STEM (Ciencia, Tecnología, Ingeniería y Matemáticas) vinculadas al desarrollo económico local. Se empleará una metodología de estudio de caso, combinando entrevistas a líderes comunales, docentes y estudiantes, encuestas de percepción social y análisis de contenidos educativos.</w:t>
      </w:r>
      <w:r>
        <w:rPr>
          <w:rFonts w:eastAsia="Times New Roman" w:cs="Times New Roman"/>
          <w:bCs w:val="0"/>
          <w:color w:val="auto"/>
          <w:sz w:val="24"/>
          <w:szCs w:val="24"/>
          <w:lang w:val="es-PE" w:eastAsia="es-PE"/>
        </w:rPr>
        <w:t xml:space="preserve"> </w:t>
      </w:r>
      <w:r w:rsidRPr="008E0A3C">
        <w:rPr>
          <w:rFonts w:eastAsia="Times New Roman" w:cs="Times New Roman"/>
          <w:bCs w:val="0"/>
          <w:color w:val="auto"/>
          <w:sz w:val="24"/>
          <w:szCs w:val="24"/>
          <w:lang w:val="es-PE" w:eastAsia="es-PE"/>
        </w:rPr>
        <w:t>La hipótesis central sostiene que una comunidad mejor educada puede dialogar de manera más crítica y constructiva sobre los impactos de la minería, disminuyendo los conflictos y facilitando la obtención de licencias y permisos para las empresas. A su vez, se espera que los programas educativos abran nuevas oportunidades económicas para las futuras generaciones, diversificando las bases productivas locales.</w:t>
      </w:r>
      <w:r>
        <w:rPr>
          <w:rFonts w:eastAsia="Times New Roman" w:cs="Times New Roman"/>
          <w:bCs w:val="0"/>
          <w:color w:val="auto"/>
          <w:sz w:val="24"/>
          <w:szCs w:val="24"/>
          <w:lang w:val="es-PE" w:eastAsia="es-PE"/>
        </w:rPr>
        <w:t xml:space="preserve"> </w:t>
      </w:r>
      <w:r w:rsidRPr="008E0A3C">
        <w:rPr>
          <w:rFonts w:eastAsia="Times New Roman" w:cs="Times New Roman"/>
          <w:bCs w:val="0"/>
          <w:color w:val="auto"/>
          <w:sz w:val="24"/>
          <w:szCs w:val="24"/>
          <w:lang w:val="es-PE" w:eastAsia="es-PE"/>
        </w:rPr>
        <w:t>La relevancia de este proyecto radica en su potencial para generar un cambio sistémico: transformar la educación financiada por el canon minero en un motor de desarrollo sostenible y cohesión social. La viabilidad es alta, dado el acceso a fondos existentes y la creciente necesidad de estrategias innovadoras que fortalezcan la relación entre minería, comunidad y Estado en el Perú.</w:t>
      </w:r>
    </w:p>
    <w:p w14:paraId="47265E2C" w14:textId="77777777" w:rsidR="008E0A3C" w:rsidRPr="008E0A3C" w:rsidRDefault="008E0A3C">
      <w:pPr>
        <w:rPr>
          <w:lang w:val="es-PE"/>
        </w:rPr>
      </w:pPr>
    </w:p>
    <w:sectPr w:rsidR="008E0A3C" w:rsidRPr="008E0A3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1E3DC6"/>
    <w:multiLevelType w:val="multilevel"/>
    <w:tmpl w:val="32A43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F63880"/>
    <w:multiLevelType w:val="multilevel"/>
    <w:tmpl w:val="85AC7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AF4C88"/>
    <w:multiLevelType w:val="multilevel"/>
    <w:tmpl w:val="8E4A4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8C3BF7"/>
    <w:multiLevelType w:val="multilevel"/>
    <w:tmpl w:val="4216B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4D5FB7"/>
    <w:multiLevelType w:val="multilevel"/>
    <w:tmpl w:val="7166D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3C6752"/>
    <w:multiLevelType w:val="multilevel"/>
    <w:tmpl w:val="22F8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E22140"/>
    <w:multiLevelType w:val="multilevel"/>
    <w:tmpl w:val="9154C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2"/>
  </w:num>
  <w:num w:numId="5">
    <w:abstractNumId w:val="0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A3C"/>
    <w:rsid w:val="00840137"/>
    <w:rsid w:val="008E0A3C"/>
    <w:rsid w:val="0094524E"/>
    <w:rsid w:val="00995718"/>
    <w:rsid w:val="00AD1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D59D338"/>
  <w15:chartTrackingRefBased/>
  <w15:docId w15:val="{12AD5C86-5C72-47C3-9492-AB2FFD1DB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Mangal"/>
        <w:bCs/>
        <w:color w:val="000000" w:themeColor="text1"/>
        <w:sz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840137"/>
    <w:pPr>
      <w:keepNext/>
      <w:spacing w:after="0" w:line="240" w:lineRule="auto"/>
      <w:jc w:val="center"/>
      <w:outlineLvl w:val="0"/>
    </w:pPr>
    <w:rPr>
      <w:b/>
      <w:bCs w:val="0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uiPriority w:val="9"/>
    <w:rsid w:val="00840137"/>
    <w:rPr>
      <w:b/>
      <w:bCs w:val="0"/>
      <w:color w:val="000000" w:themeColor="text1"/>
      <w:sz w:val="24"/>
      <w:szCs w:val="24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94524E"/>
    <w:pPr>
      <w:spacing w:before="120" w:after="220" w:line="240" w:lineRule="auto"/>
    </w:pPr>
    <w:rPr>
      <w:rFonts w:ascii="Arial" w:eastAsia="Times New Roman" w:hAnsi="Arial" w:cs="Times New Roman"/>
      <w:sz w:val="24"/>
      <w:szCs w:val="24"/>
      <w:lang w:val="es-ES" w:eastAsia="es-ES"/>
    </w:rPr>
  </w:style>
  <w:style w:type="character" w:styleId="Textoennegrita">
    <w:name w:val="Strong"/>
    <w:basedOn w:val="Fuentedeprrafopredeter"/>
    <w:uiPriority w:val="22"/>
    <w:qFormat/>
    <w:rsid w:val="008E0A3C"/>
    <w:rPr>
      <w:b/>
      <w:bCs w:val="0"/>
    </w:rPr>
  </w:style>
  <w:style w:type="character" w:styleId="nfasis">
    <w:name w:val="Emphasis"/>
    <w:basedOn w:val="Fuentedeprrafopredeter"/>
    <w:uiPriority w:val="20"/>
    <w:qFormat/>
    <w:rsid w:val="008E0A3C"/>
    <w:rPr>
      <w:i/>
      <w:iCs/>
    </w:rPr>
  </w:style>
  <w:style w:type="paragraph" w:styleId="Prrafodelista">
    <w:name w:val="List Paragraph"/>
    <w:basedOn w:val="Normal"/>
    <w:uiPriority w:val="34"/>
    <w:qFormat/>
    <w:rsid w:val="008E0A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915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3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598</Words>
  <Characters>3295</Characters>
  <Application>Microsoft Office Word</Application>
  <DocSecurity>0</DocSecurity>
  <Lines>27</Lines>
  <Paragraphs>7</Paragraphs>
  <ScaleCrop>false</ScaleCrop>
  <Company/>
  <LinksUpToDate>false</LinksUpToDate>
  <CharactersWithSpaces>3886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Docente - Rafael Romero Carazas</dc:creator>
  <cp:keywords/>
  <dc:description/>
  <cp:lastModifiedBy>Docente - Rafael Romero Carazas</cp:lastModifiedBy>
  <cp:revision>1</cp:revision>
  <dcterms:created xsi:type="dcterms:W3CDTF">2025-04-28T06:02:00Z</dcterms:created>
  <dcterms:modified xsi:type="dcterms:W3CDTF">2025-04-28T06:07:00Z</dcterms:modified>
</cp:coreProperties>
</file>