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44D1" w14:textId="2B1C08EE" w:rsidR="003B713D" w:rsidRDefault="00240B03" w:rsidP="00240B0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APLICACIÓN</w:t>
      </w:r>
      <w:r w:rsidRPr="003B713D">
        <w:rPr>
          <w:rFonts w:ascii="Arial" w:hAnsi="Arial" w:cs="Arial"/>
          <w:b/>
          <w:bCs/>
          <w:sz w:val="22"/>
          <w:szCs w:val="22"/>
        </w:rPr>
        <w:t xml:space="preserve"> DEL MODELO HOLMBERG-PERSSON PARA EL ANÁLISIS DEL DISEÑO DE MALLA</w:t>
      </w:r>
      <w:r>
        <w:rPr>
          <w:rFonts w:ascii="Arial" w:hAnsi="Arial" w:cs="Arial"/>
          <w:b/>
          <w:bCs/>
          <w:sz w:val="22"/>
          <w:szCs w:val="22"/>
        </w:rPr>
        <w:t>S DE PERFORACIÓN EN TALADROS LARGOS</w:t>
      </w:r>
      <w:r w:rsidRPr="003B713D">
        <w:rPr>
          <w:rFonts w:ascii="Arial" w:hAnsi="Arial" w:cs="Arial"/>
          <w:b/>
          <w:bCs/>
          <w:sz w:val="22"/>
          <w:szCs w:val="22"/>
        </w:rPr>
        <w:t xml:space="preserve"> ORIENTADO A LA </w:t>
      </w:r>
      <w:r>
        <w:rPr>
          <w:rFonts w:ascii="Arial" w:hAnsi="Arial" w:cs="Arial"/>
          <w:b/>
          <w:bCs/>
          <w:sz w:val="22"/>
          <w:szCs w:val="22"/>
        </w:rPr>
        <w:t>REDUCCIÓN DEL COSTO OPERATIVO EN PERFORACIÓN Y VOLADURA</w:t>
      </w:r>
    </w:p>
    <w:p w14:paraId="2D5DEFA5" w14:textId="0E57124E" w:rsidR="00240B03" w:rsidRDefault="00240B03" w:rsidP="00240B0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MEJORA DE PROCESOS</w:t>
      </w:r>
    </w:p>
    <w:p w14:paraId="05204FE3" w14:textId="77777777" w:rsidR="00240B03" w:rsidRPr="00240B03" w:rsidRDefault="00240B03" w:rsidP="00240B0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240B03">
        <w:rPr>
          <w:rFonts w:ascii="Arial" w:hAnsi="Arial" w:cs="Arial"/>
          <w:b/>
          <w:bCs/>
          <w:sz w:val="22"/>
          <w:szCs w:val="22"/>
        </w:rPr>
        <w:t xml:space="preserve">Operaciones Mineras y Gestión Activos </w:t>
      </w:r>
    </w:p>
    <w:p w14:paraId="40A05D9B" w14:textId="0673E2C6" w:rsidR="007755D2" w:rsidRPr="00522A3B" w:rsidRDefault="007755D2" w:rsidP="00240B03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522A3B">
        <w:rPr>
          <w:rFonts w:ascii="Arial" w:hAnsi="Arial" w:cs="Arial"/>
          <w:sz w:val="22"/>
          <w:szCs w:val="22"/>
          <w:lang w:val="es-MX"/>
        </w:rPr>
        <w:t>Percy Romario Sapallanay Rashuaman</w:t>
      </w:r>
      <w:r w:rsidR="003F216A">
        <w:rPr>
          <w:rFonts w:ascii="Arial" w:hAnsi="Arial" w:cs="Arial"/>
          <w:sz w:val="22"/>
          <w:szCs w:val="22"/>
          <w:lang w:val="es-MX"/>
        </w:rPr>
        <w:t xml:space="preserve">, Volcan Compañía Minera S.A.A., </w:t>
      </w:r>
      <w:proofErr w:type="gramStart"/>
      <w:r w:rsidR="003F216A">
        <w:rPr>
          <w:rFonts w:ascii="Arial" w:hAnsi="Arial" w:cs="Arial"/>
          <w:sz w:val="22"/>
          <w:szCs w:val="22"/>
          <w:lang w:val="es-MX"/>
        </w:rPr>
        <w:t>Jefe</w:t>
      </w:r>
      <w:proofErr w:type="gramEnd"/>
      <w:r w:rsidR="003F216A">
        <w:rPr>
          <w:rFonts w:ascii="Arial" w:hAnsi="Arial" w:cs="Arial"/>
          <w:sz w:val="22"/>
          <w:szCs w:val="22"/>
          <w:lang w:val="es-MX"/>
        </w:rPr>
        <w:t xml:space="preserve"> de Perforación y Voladura, Lima, psapallanay</w:t>
      </w:r>
      <w:r w:rsidR="003F216A" w:rsidRPr="003F216A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 w:rsidR="003F216A" w:rsidRPr="003F216A">
        <w:rPr>
          <w:rFonts w:ascii="Arial" w:hAnsi="Arial" w:cs="Arial"/>
          <w:sz w:val="22"/>
          <w:szCs w:val="22"/>
        </w:rPr>
        <w:t>@</w:t>
      </w:r>
      <w:r w:rsidR="003F216A">
        <w:rPr>
          <w:rFonts w:ascii="Arial" w:hAnsi="Arial" w:cs="Arial"/>
          <w:sz w:val="22"/>
          <w:szCs w:val="22"/>
          <w:lang w:val="es-MX"/>
        </w:rPr>
        <w:t>volcan.com.pe, psapallanayr</w:t>
      </w:r>
      <w:r w:rsidR="003F216A" w:rsidRPr="003F216A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 w:rsidR="003F216A" w:rsidRPr="003F216A">
        <w:rPr>
          <w:rFonts w:ascii="Arial" w:hAnsi="Arial" w:cs="Arial"/>
          <w:sz w:val="22"/>
          <w:szCs w:val="22"/>
        </w:rPr>
        <w:t>@</w:t>
      </w:r>
      <w:r w:rsidR="003F216A">
        <w:rPr>
          <w:rFonts w:ascii="Arial" w:hAnsi="Arial" w:cs="Arial"/>
          <w:sz w:val="22"/>
          <w:szCs w:val="22"/>
        </w:rPr>
        <w:t>gmail.com, 978501838</w:t>
      </w:r>
    </w:p>
    <w:p w14:paraId="7D03F393" w14:textId="3363FAD3" w:rsidR="009B454D" w:rsidRPr="00522A3B" w:rsidRDefault="009B454D" w:rsidP="009B454D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RESUMEN</w:t>
      </w:r>
    </w:p>
    <w:p w14:paraId="1C28EC6D" w14:textId="67455EB3" w:rsidR="00CC0A4C" w:rsidRPr="00522A3B" w:rsidRDefault="00480779" w:rsidP="009B454D">
      <w:pPr>
        <w:spacing w:after="0"/>
        <w:jc w:val="both"/>
        <w:rPr>
          <w:rFonts w:ascii="Arial" w:hAnsi="Arial" w:cs="Arial"/>
          <w:sz w:val="22"/>
          <w:szCs w:val="22"/>
          <w:lang w:val="es-MX"/>
        </w:rPr>
      </w:pPr>
      <w:r w:rsidRPr="00522A3B">
        <w:rPr>
          <w:rFonts w:ascii="Arial" w:hAnsi="Arial" w:cs="Arial"/>
          <w:sz w:val="22"/>
          <w:szCs w:val="22"/>
          <w:lang w:val="es-MX"/>
        </w:rPr>
        <w:t>El objetivo del presente estudio tiene como finalida</w:t>
      </w:r>
      <w:r w:rsidR="001E0D1A" w:rsidRPr="00522A3B">
        <w:rPr>
          <w:rFonts w:ascii="Arial" w:hAnsi="Arial" w:cs="Arial"/>
          <w:sz w:val="22"/>
          <w:szCs w:val="22"/>
          <w:lang w:val="es-MX"/>
        </w:rPr>
        <w:t>d</w:t>
      </w:r>
      <w:r w:rsidRPr="00522A3B">
        <w:rPr>
          <w:rFonts w:ascii="Arial" w:hAnsi="Arial" w:cs="Arial"/>
          <w:sz w:val="22"/>
          <w:szCs w:val="22"/>
          <w:lang w:val="es-MX"/>
        </w:rPr>
        <w:t xml:space="preserve"> </w:t>
      </w:r>
      <w:r w:rsidR="001E0D1A" w:rsidRPr="00522A3B">
        <w:rPr>
          <w:rFonts w:ascii="Arial" w:hAnsi="Arial" w:cs="Arial"/>
          <w:sz w:val="22"/>
          <w:szCs w:val="22"/>
          <w:lang w:val="es-MX"/>
        </w:rPr>
        <w:t xml:space="preserve">la </w:t>
      </w:r>
      <w:r w:rsidR="00CD2DB6" w:rsidRPr="001D79F3">
        <w:rPr>
          <w:rFonts w:ascii="Arial" w:hAnsi="Arial" w:cs="Arial"/>
          <w:sz w:val="22"/>
          <w:szCs w:val="22"/>
          <w:lang w:val="es-MX"/>
        </w:rPr>
        <w:t xml:space="preserve">reducción del costo </w:t>
      </w:r>
      <w:r w:rsidR="00FB70CD" w:rsidRPr="001D79F3">
        <w:rPr>
          <w:rFonts w:ascii="Arial" w:hAnsi="Arial" w:cs="Arial"/>
          <w:sz w:val="22"/>
          <w:szCs w:val="22"/>
          <w:lang w:val="es-MX"/>
        </w:rPr>
        <w:t xml:space="preserve">operativo en perforación y voladura utilizando el modelo matemático de </w:t>
      </w:r>
      <w:r w:rsidR="00293ABC" w:rsidRPr="001D79F3">
        <w:rPr>
          <w:rFonts w:ascii="Arial" w:hAnsi="Arial" w:cs="Arial"/>
          <w:sz w:val="22"/>
          <w:szCs w:val="22"/>
          <w:lang w:val="es-MX"/>
        </w:rPr>
        <w:t>Holmberg</w:t>
      </w:r>
      <w:r w:rsidR="00401C3C" w:rsidRPr="001D79F3">
        <w:rPr>
          <w:rFonts w:ascii="Arial" w:hAnsi="Arial" w:cs="Arial"/>
          <w:sz w:val="22"/>
          <w:szCs w:val="22"/>
          <w:lang w:val="es-MX"/>
        </w:rPr>
        <w:t xml:space="preserve"> – Persson </w:t>
      </w:r>
      <w:r w:rsidR="00293ABC" w:rsidRPr="001D79F3">
        <w:rPr>
          <w:rFonts w:ascii="Arial" w:hAnsi="Arial" w:cs="Arial"/>
          <w:sz w:val="22"/>
          <w:szCs w:val="22"/>
          <w:lang w:val="es-MX"/>
        </w:rPr>
        <w:t>para el análisis de vibraciones</w:t>
      </w:r>
      <w:r w:rsidRPr="00522A3B">
        <w:rPr>
          <w:rFonts w:ascii="Arial" w:hAnsi="Arial" w:cs="Arial"/>
          <w:sz w:val="22"/>
          <w:szCs w:val="22"/>
          <w:lang w:val="es-MX"/>
        </w:rPr>
        <w:t xml:space="preserve"> </w:t>
      </w:r>
      <w:r w:rsidR="00401C3C">
        <w:rPr>
          <w:rFonts w:ascii="Arial" w:hAnsi="Arial" w:cs="Arial"/>
          <w:sz w:val="22"/>
          <w:szCs w:val="22"/>
          <w:lang w:val="es-MX"/>
        </w:rPr>
        <w:t>en campo cercano y determinar el radio de influencia de la emulsión bombeable aplicado en nuestros tajos minados por el método de Sub Level Stoping</w:t>
      </w:r>
      <w:r w:rsidR="009B454D">
        <w:rPr>
          <w:rFonts w:ascii="Arial" w:hAnsi="Arial" w:cs="Arial"/>
          <w:sz w:val="22"/>
          <w:szCs w:val="22"/>
          <w:lang w:val="es-MX"/>
        </w:rPr>
        <w:t>, ampliando nuestras mallas de perforación de B x E (1.</w:t>
      </w:r>
      <w:r w:rsidR="00240B03">
        <w:rPr>
          <w:rFonts w:ascii="Arial" w:hAnsi="Arial" w:cs="Arial"/>
          <w:sz w:val="22"/>
          <w:szCs w:val="22"/>
          <w:lang w:val="es-MX"/>
        </w:rPr>
        <w:t>4</w:t>
      </w:r>
      <w:r w:rsidR="009B454D">
        <w:rPr>
          <w:rFonts w:ascii="Arial" w:hAnsi="Arial" w:cs="Arial"/>
          <w:sz w:val="22"/>
          <w:szCs w:val="22"/>
          <w:lang w:val="es-MX"/>
        </w:rPr>
        <w:t>0 x 1.</w:t>
      </w:r>
      <w:r w:rsidR="00240B03">
        <w:rPr>
          <w:rFonts w:ascii="Arial" w:hAnsi="Arial" w:cs="Arial"/>
          <w:sz w:val="22"/>
          <w:szCs w:val="22"/>
          <w:lang w:val="es-MX"/>
        </w:rPr>
        <w:t>4</w:t>
      </w:r>
      <w:r w:rsidR="009B454D">
        <w:rPr>
          <w:rFonts w:ascii="Arial" w:hAnsi="Arial" w:cs="Arial"/>
          <w:sz w:val="22"/>
          <w:szCs w:val="22"/>
          <w:lang w:val="es-MX"/>
        </w:rPr>
        <w:t>0 m) a (1.60 x 1.60 m).</w:t>
      </w:r>
    </w:p>
    <w:p w14:paraId="289E8FC2" w14:textId="77ED635A" w:rsidR="00CA6210" w:rsidRDefault="009B454D" w:rsidP="001D79F3">
      <w:pPr>
        <w:spacing w:after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</w:t>
      </w:r>
      <w:r w:rsidR="001E0D1A" w:rsidRPr="00522A3B">
        <w:rPr>
          <w:rFonts w:ascii="Arial" w:hAnsi="Arial" w:cs="Arial"/>
          <w:sz w:val="22"/>
          <w:szCs w:val="22"/>
          <w:lang w:val="es-MX"/>
        </w:rPr>
        <w:t xml:space="preserve">sta ampliación </w:t>
      </w:r>
      <w:r>
        <w:rPr>
          <w:rFonts w:ascii="Arial" w:hAnsi="Arial" w:cs="Arial"/>
          <w:sz w:val="22"/>
          <w:szCs w:val="22"/>
          <w:lang w:val="es-MX"/>
        </w:rPr>
        <w:t xml:space="preserve">del burden y espaciamiento </w:t>
      </w:r>
      <w:r w:rsidR="001E0D1A" w:rsidRPr="00522A3B">
        <w:rPr>
          <w:rFonts w:ascii="Arial" w:hAnsi="Arial" w:cs="Arial"/>
          <w:sz w:val="22"/>
          <w:szCs w:val="22"/>
          <w:lang w:val="es-MX"/>
        </w:rPr>
        <w:t xml:space="preserve">de </w:t>
      </w:r>
      <w:r w:rsidR="006E22C4" w:rsidRPr="00522A3B">
        <w:rPr>
          <w:rFonts w:ascii="Arial" w:hAnsi="Arial" w:cs="Arial"/>
          <w:sz w:val="22"/>
          <w:szCs w:val="22"/>
          <w:lang w:val="es-MX"/>
        </w:rPr>
        <w:t xml:space="preserve">la </w:t>
      </w:r>
      <w:r w:rsidR="001E0D1A" w:rsidRPr="00522A3B">
        <w:rPr>
          <w:rFonts w:ascii="Arial" w:hAnsi="Arial" w:cs="Arial"/>
          <w:sz w:val="22"/>
          <w:szCs w:val="22"/>
          <w:lang w:val="es-MX"/>
        </w:rPr>
        <w:t>malla</w:t>
      </w:r>
      <w:r w:rsidR="006E22C4" w:rsidRPr="00522A3B">
        <w:rPr>
          <w:rFonts w:ascii="Arial" w:hAnsi="Arial" w:cs="Arial"/>
          <w:sz w:val="22"/>
          <w:szCs w:val="22"/>
          <w:lang w:val="es-MX"/>
        </w:rPr>
        <w:t xml:space="preserve"> de perforación</w:t>
      </w:r>
      <w:r w:rsidR="001D79F3">
        <w:rPr>
          <w:rFonts w:ascii="Arial" w:hAnsi="Arial" w:cs="Arial"/>
          <w:sz w:val="22"/>
          <w:szCs w:val="22"/>
          <w:lang w:val="es-MX"/>
        </w:rPr>
        <w:t xml:space="preserve"> </w:t>
      </w:r>
      <w:r w:rsidR="001E0D1A" w:rsidRPr="00522A3B">
        <w:rPr>
          <w:rFonts w:ascii="Arial" w:hAnsi="Arial" w:cs="Arial"/>
          <w:sz w:val="22"/>
          <w:szCs w:val="22"/>
          <w:lang w:val="es-MX"/>
        </w:rPr>
        <w:t xml:space="preserve">generará </w:t>
      </w:r>
      <w:r>
        <w:rPr>
          <w:rFonts w:ascii="Arial" w:hAnsi="Arial" w:cs="Arial"/>
          <w:sz w:val="22"/>
          <w:szCs w:val="22"/>
          <w:lang w:val="es-MX"/>
        </w:rPr>
        <w:t xml:space="preserve">disminuir </w:t>
      </w:r>
      <w:r w:rsidR="001E0D1A" w:rsidRPr="00522A3B">
        <w:rPr>
          <w:rFonts w:ascii="Arial" w:hAnsi="Arial" w:cs="Arial"/>
          <w:sz w:val="22"/>
          <w:szCs w:val="22"/>
          <w:lang w:val="es-MX"/>
        </w:rPr>
        <w:t>horas equipos</w:t>
      </w:r>
      <w:r>
        <w:rPr>
          <w:rFonts w:ascii="Arial" w:hAnsi="Arial" w:cs="Arial"/>
          <w:sz w:val="22"/>
          <w:szCs w:val="22"/>
          <w:lang w:val="es-MX"/>
        </w:rPr>
        <w:t xml:space="preserve"> de perforación</w:t>
      </w:r>
      <w:r w:rsidR="001E0D1A" w:rsidRPr="00522A3B">
        <w:rPr>
          <w:rFonts w:ascii="Arial" w:hAnsi="Arial" w:cs="Arial"/>
          <w:sz w:val="22"/>
          <w:szCs w:val="22"/>
          <w:lang w:val="es-MX"/>
        </w:rPr>
        <w:t xml:space="preserve">, </w:t>
      </w:r>
      <w:r w:rsidR="001D79F3">
        <w:rPr>
          <w:rFonts w:ascii="Arial" w:hAnsi="Arial" w:cs="Arial"/>
          <w:sz w:val="22"/>
          <w:szCs w:val="22"/>
          <w:lang w:val="es-MX"/>
        </w:rPr>
        <w:t>uso de explosivos y daño por voladura a las cajas.</w:t>
      </w:r>
    </w:p>
    <w:p w14:paraId="7B064141" w14:textId="77777777" w:rsidR="001D79F3" w:rsidRPr="00522A3B" w:rsidRDefault="001D79F3" w:rsidP="001D79F3">
      <w:pPr>
        <w:spacing w:after="0"/>
        <w:jc w:val="both"/>
        <w:rPr>
          <w:rFonts w:ascii="Arial" w:hAnsi="Arial" w:cs="Arial"/>
          <w:sz w:val="22"/>
          <w:szCs w:val="22"/>
          <w:lang w:val="es-MX"/>
        </w:rPr>
      </w:pPr>
    </w:p>
    <w:p w14:paraId="07D2FAD4" w14:textId="60831665" w:rsidR="00214B12" w:rsidRDefault="001D79F3" w:rsidP="00B2483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INTRODUCCIÓN </w:t>
      </w:r>
    </w:p>
    <w:p w14:paraId="40C9DDA1" w14:textId="77777777" w:rsidR="0000034A" w:rsidRDefault="0000034A" w:rsidP="0000034A">
      <w:pPr>
        <w:pStyle w:val="Prrafodelista"/>
        <w:ind w:left="360"/>
        <w:jc w:val="both"/>
        <w:rPr>
          <w:rFonts w:ascii="Arial" w:hAnsi="Arial" w:cs="Arial"/>
          <w:sz w:val="22"/>
          <w:szCs w:val="22"/>
          <w:lang w:val="es-MX"/>
        </w:rPr>
      </w:pPr>
    </w:p>
    <w:p w14:paraId="7E3BEC7D" w14:textId="5D1EE825" w:rsidR="009D30D1" w:rsidRPr="00522A3B" w:rsidRDefault="009D30D1" w:rsidP="009C3EEA">
      <w:pPr>
        <w:pStyle w:val="Prrafodelista"/>
        <w:ind w:left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En el presente artícul</w:t>
      </w:r>
      <w:r w:rsidR="00511897">
        <w:rPr>
          <w:rFonts w:ascii="Arial" w:hAnsi="Arial" w:cs="Arial"/>
          <w:sz w:val="22"/>
          <w:szCs w:val="22"/>
          <w:lang w:val="es-MX"/>
        </w:rPr>
        <w:t xml:space="preserve">o </w:t>
      </w:r>
      <w:r>
        <w:rPr>
          <w:rFonts w:ascii="Arial" w:hAnsi="Arial" w:cs="Arial"/>
          <w:sz w:val="22"/>
          <w:szCs w:val="22"/>
          <w:lang w:val="es-MX"/>
        </w:rPr>
        <w:t xml:space="preserve">muestra </w:t>
      </w:r>
      <w:r w:rsidR="00511897">
        <w:rPr>
          <w:rFonts w:ascii="Arial" w:hAnsi="Arial" w:cs="Arial"/>
          <w:sz w:val="22"/>
          <w:szCs w:val="22"/>
          <w:lang w:val="es-MX"/>
        </w:rPr>
        <w:t xml:space="preserve">el análisis realizado </w:t>
      </w:r>
      <w:r w:rsidR="0000034A">
        <w:rPr>
          <w:rFonts w:ascii="Arial" w:hAnsi="Arial" w:cs="Arial"/>
          <w:sz w:val="22"/>
          <w:szCs w:val="22"/>
          <w:lang w:val="es-MX"/>
        </w:rPr>
        <w:t xml:space="preserve">por el equipo de perforación y voladura de la unidad Andaychagua VOLCAN S.A.A. para </w:t>
      </w:r>
      <w:r w:rsidR="00511897">
        <w:rPr>
          <w:rFonts w:ascii="Arial" w:hAnsi="Arial" w:cs="Arial"/>
          <w:sz w:val="22"/>
          <w:szCs w:val="22"/>
          <w:lang w:val="es-MX"/>
        </w:rPr>
        <w:t>p</w:t>
      </w:r>
      <w:r w:rsidR="001D79F3">
        <w:rPr>
          <w:rFonts w:ascii="Arial" w:hAnsi="Arial" w:cs="Arial"/>
          <w:sz w:val="22"/>
          <w:szCs w:val="22"/>
          <w:lang w:val="es-MX"/>
        </w:rPr>
        <w:t>oder evaluar y cuantificar en forma experimental el comportamiento vibracional utilizand</w:t>
      </w:r>
      <w:r w:rsidR="0000034A">
        <w:rPr>
          <w:rFonts w:ascii="Arial" w:hAnsi="Arial" w:cs="Arial"/>
          <w:sz w:val="22"/>
          <w:szCs w:val="22"/>
          <w:lang w:val="es-MX"/>
        </w:rPr>
        <w:t xml:space="preserve">o la emulsión bombeable Subteck Charge, este </w:t>
      </w:r>
      <w:r w:rsidR="0000034A">
        <w:rPr>
          <w:rFonts w:ascii="Arial" w:hAnsi="Arial" w:cs="Arial"/>
          <w:sz w:val="22"/>
          <w:szCs w:val="22"/>
          <w:lang w:val="es-MX"/>
        </w:rPr>
        <w:t xml:space="preserve">análisis permitió ajustar los diseños de perforación y voladura en tajos minados por sub level stoping </w:t>
      </w:r>
      <w:r w:rsidR="009C3EEA">
        <w:rPr>
          <w:rFonts w:ascii="Arial" w:hAnsi="Arial" w:cs="Arial"/>
          <w:sz w:val="22"/>
          <w:szCs w:val="22"/>
          <w:lang w:val="es-MX"/>
        </w:rPr>
        <w:t>logrando disminuir el costo operativo de 2.61 $/</w:t>
      </w:r>
      <w:proofErr w:type="spellStart"/>
      <w:r w:rsidR="009C3EEA">
        <w:rPr>
          <w:rFonts w:ascii="Arial" w:hAnsi="Arial" w:cs="Arial"/>
          <w:sz w:val="22"/>
          <w:szCs w:val="22"/>
          <w:lang w:val="es-MX"/>
        </w:rPr>
        <w:t>tn</w:t>
      </w:r>
      <w:proofErr w:type="spellEnd"/>
      <w:r w:rsidR="009C3EEA">
        <w:rPr>
          <w:rFonts w:ascii="Arial" w:hAnsi="Arial" w:cs="Arial"/>
          <w:sz w:val="22"/>
          <w:szCs w:val="22"/>
          <w:lang w:val="es-MX"/>
        </w:rPr>
        <w:t xml:space="preserve"> a 1.60 $/</w:t>
      </w:r>
      <w:proofErr w:type="spellStart"/>
      <w:r w:rsidR="009C3EEA">
        <w:rPr>
          <w:rFonts w:ascii="Arial" w:hAnsi="Arial" w:cs="Arial"/>
          <w:sz w:val="22"/>
          <w:szCs w:val="22"/>
          <w:lang w:val="es-MX"/>
        </w:rPr>
        <w:t>Tn</w:t>
      </w:r>
      <w:proofErr w:type="spellEnd"/>
    </w:p>
    <w:p w14:paraId="14D0C034" w14:textId="77777777" w:rsidR="0081491E" w:rsidRPr="00522A3B" w:rsidRDefault="0081491E" w:rsidP="0081491E">
      <w:pPr>
        <w:pStyle w:val="Prrafodelista"/>
        <w:ind w:left="360"/>
        <w:jc w:val="center"/>
        <w:rPr>
          <w:rFonts w:ascii="Arial" w:hAnsi="Arial" w:cs="Arial"/>
          <w:sz w:val="22"/>
          <w:szCs w:val="22"/>
          <w:lang w:val="es-MX"/>
        </w:rPr>
      </w:pPr>
    </w:p>
    <w:p w14:paraId="609726B3" w14:textId="3C4B2262" w:rsidR="00B24835" w:rsidRDefault="009C3EEA" w:rsidP="00B2483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Emulsión bombeable</w:t>
      </w:r>
    </w:p>
    <w:p w14:paraId="3E220FD2" w14:textId="2040682B" w:rsidR="009C1C38" w:rsidRDefault="009C3EEA" w:rsidP="009C3EEA">
      <w:pPr>
        <w:pStyle w:val="Prrafodelista"/>
        <w:ind w:left="36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Actualmente </w:t>
      </w:r>
      <w:r w:rsidR="009C1C38">
        <w:rPr>
          <w:rFonts w:ascii="Arial" w:hAnsi="Arial" w:cs="Arial"/>
          <w:sz w:val="22"/>
          <w:szCs w:val="22"/>
          <w:lang w:val="es-MX"/>
        </w:rPr>
        <w:t>la implementación y el uso de emulsión bombeable en las operaciones en minerías subterráneas son las siguientes:</w:t>
      </w:r>
    </w:p>
    <w:p w14:paraId="171971BB" w14:textId="77777777" w:rsidR="009C1C38" w:rsidRDefault="009C1C38" w:rsidP="009C1C3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Mina Andaychagua – Volcan</w:t>
      </w:r>
    </w:p>
    <w:p w14:paraId="22B58CBD" w14:textId="4E9E750C" w:rsidR="009C1C38" w:rsidRDefault="009C1C38" w:rsidP="009C1C3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Sociedad Minera el Brocal – Buenaventura</w:t>
      </w:r>
    </w:p>
    <w:p w14:paraId="543B3C04" w14:textId="71748C8A" w:rsidR="009C1C38" w:rsidRDefault="009C1C38" w:rsidP="009C1C3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Compañía Minera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Raura</w:t>
      </w:r>
      <w:proofErr w:type="spellEnd"/>
    </w:p>
    <w:p w14:paraId="0AEDCCA5" w14:textId="04BC0A7B" w:rsidR="009C1C38" w:rsidRDefault="009C1C38" w:rsidP="009C1C3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>
        <w:rPr>
          <w:rFonts w:ascii="Arial" w:hAnsi="Arial" w:cs="Arial"/>
          <w:sz w:val="22"/>
          <w:szCs w:val="22"/>
          <w:lang w:val="es-MX"/>
        </w:rPr>
        <w:t>Nexa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Resources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 Perú</w:t>
      </w:r>
    </w:p>
    <w:p w14:paraId="45D00FA4" w14:textId="77777777" w:rsidR="00846419" w:rsidRDefault="00846419" w:rsidP="00846419">
      <w:pPr>
        <w:pStyle w:val="Prrafodelista"/>
        <w:jc w:val="both"/>
        <w:rPr>
          <w:rFonts w:ascii="Arial" w:hAnsi="Arial" w:cs="Arial"/>
          <w:sz w:val="22"/>
          <w:szCs w:val="22"/>
          <w:lang w:val="es-MX"/>
        </w:rPr>
      </w:pPr>
    </w:p>
    <w:p w14:paraId="15EA0544" w14:textId="40F1D44C" w:rsidR="009C1C38" w:rsidRDefault="009C1C38" w:rsidP="009C1C38">
      <w:pPr>
        <w:pStyle w:val="Prrafodelista"/>
        <w:ind w:left="36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Orica a desarrollado </w:t>
      </w:r>
      <w:r w:rsidR="008C2A78">
        <w:rPr>
          <w:rFonts w:ascii="Arial" w:hAnsi="Arial" w:cs="Arial"/>
          <w:sz w:val="22"/>
          <w:szCs w:val="22"/>
          <w:lang w:val="es-MX"/>
        </w:rPr>
        <w:t>explosivos de</w:t>
      </w:r>
      <w:r>
        <w:rPr>
          <w:rFonts w:ascii="Arial" w:hAnsi="Arial" w:cs="Arial"/>
          <w:sz w:val="22"/>
          <w:szCs w:val="22"/>
          <w:lang w:val="es-MX"/>
        </w:rPr>
        <w:t xml:space="preserve"> densidad variables </w:t>
      </w:r>
      <w:r w:rsidR="008C2A78">
        <w:rPr>
          <w:rFonts w:ascii="Arial" w:hAnsi="Arial" w:cs="Arial"/>
          <w:sz w:val="22"/>
          <w:szCs w:val="22"/>
          <w:lang w:val="es-MX"/>
        </w:rPr>
        <w:t>Subteck que consta de una emulsión matriz y un sensibilizador. En la Figura 1</w:t>
      </w:r>
      <w:r w:rsidR="00846419">
        <w:rPr>
          <w:rFonts w:ascii="Arial" w:hAnsi="Arial" w:cs="Arial"/>
          <w:sz w:val="22"/>
          <w:szCs w:val="22"/>
          <w:lang w:val="es-MX"/>
        </w:rPr>
        <w:t xml:space="preserve"> y 2</w:t>
      </w:r>
      <w:r w:rsidR="008C2A78">
        <w:rPr>
          <w:rFonts w:ascii="Arial" w:hAnsi="Arial" w:cs="Arial"/>
          <w:sz w:val="22"/>
          <w:szCs w:val="22"/>
          <w:lang w:val="es-MX"/>
        </w:rPr>
        <w:t xml:space="preserve"> se evidencia la performance de este explosivo</w:t>
      </w:r>
      <w:r w:rsidR="00846419">
        <w:rPr>
          <w:rFonts w:ascii="Arial" w:hAnsi="Arial" w:cs="Arial"/>
          <w:sz w:val="22"/>
          <w:szCs w:val="22"/>
          <w:lang w:val="es-MX"/>
        </w:rPr>
        <w:t xml:space="preserve"> (VOD)</w:t>
      </w:r>
      <w:r w:rsidR="008C2A78">
        <w:rPr>
          <w:rFonts w:ascii="Arial" w:hAnsi="Arial" w:cs="Arial"/>
          <w:sz w:val="22"/>
          <w:szCs w:val="22"/>
          <w:lang w:val="es-MX"/>
        </w:rPr>
        <w:t>.</w:t>
      </w:r>
    </w:p>
    <w:p w14:paraId="01B148F4" w14:textId="6B7165B5" w:rsidR="008C2A78" w:rsidRPr="00846419" w:rsidRDefault="008C2A78" w:rsidP="008C2A78">
      <w:pPr>
        <w:pStyle w:val="Descripcin"/>
        <w:keepNext/>
        <w:jc w:val="both"/>
        <w:rPr>
          <w:rFonts w:ascii="Arial" w:hAnsi="Arial" w:cs="Arial"/>
          <w:i w:val="0"/>
          <w:iCs w:val="0"/>
        </w:rPr>
      </w:pPr>
      <w:r w:rsidRPr="00846419">
        <w:rPr>
          <w:rFonts w:ascii="Arial" w:hAnsi="Arial" w:cs="Arial"/>
          <w:i w:val="0"/>
          <w:iCs w:val="0"/>
        </w:rPr>
        <w:t xml:space="preserve">          </w:t>
      </w:r>
      <w:r w:rsidRPr="00846419">
        <w:rPr>
          <w:rFonts w:ascii="Arial" w:hAnsi="Arial" w:cs="Arial"/>
          <w:i w:val="0"/>
          <w:iCs w:val="0"/>
          <w:color w:val="auto"/>
        </w:rPr>
        <w:t xml:space="preserve">Figura </w:t>
      </w:r>
      <w:r w:rsidRPr="00846419">
        <w:rPr>
          <w:rFonts w:ascii="Arial" w:hAnsi="Arial" w:cs="Arial"/>
          <w:i w:val="0"/>
          <w:iCs w:val="0"/>
          <w:color w:val="auto"/>
        </w:rPr>
        <w:fldChar w:fldCharType="begin"/>
      </w:r>
      <w:r w:rsidRPr="00846419">
        <w:rPr>
          <w:rFonts w:ascii="Arial" w:hAnsi="Arial" w:cs="Arial"/>
          <w:i w:val="0"/>
          <w:iCs w:val="0"/>
          <w:color w:val="auto"/>
        </w:rPr>
        <w:instrText xml:space="preserve"> SEQ Figura \* ARABIC </w:instrText>
      </w:r>
      <w:r w:rsidRPr="00846419">
        <w:rPr>
          <w:rFonts w:ascii="Arial" w:hAnsi="Arial" w:cs="Arial"/>
          <w:i w:val="0"/>
          <w:iCs w:val="0"/>
          <w:color w:val="auto"/>
        </w:rPr>
        <w:fldChar w:fldCharType="separate"/>
      </w:r>
      <w:r w:rsidR="00393F69">
        <w:rPr>
          <w:rFonts w:ascii="Arial" w:hAnsi="Arial" w:cs="Arial"/>
          <w:i w:val="0"/>
          <w:iCs w:val="0"/>
          <w:noProof/>
          <w:color w:val="auto"/>
        </w:rPr>
        <w:t>1</w:t>
      </w:r>
      <w:r w:rsidRPr="00846419">
        <w:rPr>
          <w:rFonts w:ascii="Arial" w:hAnsi="Arial" w:cs="Arial"/>
          <w:i w:val="0"/>
          <w:iCs w:val="0"/>
          <w:color w:val="auto"/>
        </w:rPr>
        <w:fldChar w:fldCharType="end"/>
      </w:r>
      <w:r w:rsidRPr="00846419">
        <w:rPr>
          <w:rFonts w:ascii="Arial" w:hAnsi="Arial" w:cs="Arial"/>
          <w:i w:val="0"/>
          <w:iCs w:val="0"/>
          <w:color w:val="auto"/>
        </w:rPr>
        <w:t xml:space="preserve"> VOD vs Densidad Subteck</w:t>
      </w:r>
      <w:r w:rsidR="00846419" w:rsidRPr="00846419">
        <w:rPr>
          <w:rFonts w:ascii="Arial" w:hAnsi="Arial" w:cs="Arial"/>
          <w:i w:val="0"/>
          <w:iCs w:val="0"/>
          <w:color w:val="auto"/>
        </w:rPr>
        <w:t xml:space="preserve"> Charge</w:t>
      </w:r>
    </w:p>
    <w:p w14:paraId="4F915B88" w14:textId="1EF2BABF" w:rsidR="008C2A78" w:rsidRDefault="00846419" w:rsidP="009C1C38">
      <w:pPr>
        <w:pStyle w:val="Prrafodelista"/>
        <w:ind w:left="36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noProof/>
        </w:rPr>
        <w:drawing>
          <wp:inline distT="0" distB="0" distL="0" distR="0" wp14:anchorId="6569024C" wp14:editId="121B1DC1">
            <wp:extent cx="2700655" cy="1633855"/>
            <wp:effectExtent l="19050" t="19050" r="23495" b="23495"/>
            <wp:docPr id="1534413057" name="Imagen 1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3057" name="Imagen 1" descr="Diagrama, Escala de tiemp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63385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F21FF" w14:textId="65562F15" w:rsidR="009C3EEA" w:rsidRDefault="008C2A78" w:rsidP="00846419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s-MX"/>
        </w:rPr>
        <w:t xml:space="preserve">Fuente: </w:t>
      </w:r>
      <w:r w:rsidRPr="00846419">
        <w:rPr>
          <w:rFonts w:ascii="Arial" w:hAnsi="Arial" w:cs="Arial"/>
          <w:sz w:val="22"/>
          <w:szCs w:val="22"/>
          <w:lang w:val="es-MX"/>
        </w:rPr>
        <w:t>Presentación emulsión bombeable Subteck TM</w:t>
      </w:r>
      <w:r w:rsidR="00846419" w:rsidRPr="00846419">
        <w:rPr>
          <w:rFonts w:ascii="Arial" w:hAnsi="Arial" w:cs="Arial"/>
          <w:sz w:val="22"/>
          <w:szCs w:val="22"/>
          <w:lang w:val="es-MX"/>
        </w:rPr>
        <w:t xml:space="preserve"> – Volcan Andaychagua</w:t>
      </w:r>
    </w:p>
    <w:p w14:paraId="59FE0668" w14:textId="51116322" w:rsidR="00846419" w:rsidRPr="00846419" w:rsidRDefault="00846419" w:rsidP="00846419">
      <w:pPr>
        <w:pStyle w:val="Descripcin"/>
        <w:keepNext/>
        <w:ind w:left="360"/>
        <w:jc w:val="both"/>
        <w:rPr>
          <w:rFonts w:ascii="Arial" w:hAnsi="Arial" w:cs="Arial"/>
          <w:i w:val="0"/>
          <w:iCs w:val="0"/>
          <w:color w:val="auto"/>
        </w:rPr>
      </w:pPr>
      <w:r w:rsidRPr="00846419">
        <w:rPr>
          <w:rFonts w:ascii="Arial" w:hAnsi="Arial" w:cs="Arial"/>
          <w:i w:val="0"/>
          <w:iCs w:val="0"/>
          <w:color w:val="auto"/>
        </w:rPr>
        <w:lastRenderedPageBreak/>
        <w:t xml:space="preserve">Figura </w:t>
      </w:r>
      <w:r w:rsidRPr="00846419">
        <w:rPr>
          <w:rFonts w:ascii="Arial" w:hAnsi="Arial" w:cs="Arial"/>
          <w:i w:val="0"/>
          <w:iCs w:val="0"/>
          <w:color w:val="auto"/>
        </w:rPr>
        <w:fldChar w:fldCharType="begin"/>
      </w:r>
      <w:r w:rsidRPr="00846419">
        <w:rPr>
          <w:rFonts w:ascii="Arial" w:hAnsi="Arial" w:cs="Arial"/>
          <w:i w:val="0"/>
          <w:iCs w:val="0"/>
          <w:color w:val="auto"/>
        </w:rPr>
        <w:instrText xml:space="preserve"> SEQ Figura \* ARABIC </w:instrText>
      </w:r>
      <w:r w:rsidRPr="00846419">
        <w:rPr>
          <w:rFonts w:ascii="Arial" w:hAnsi="Arial" w:cs="Arial"/>
          <w:i w:val="0"/>
          <w:iCs w:val="0"/>
          <w:color w:val="auto"/>
        </w:rPr>
        <w:fldChar w:fldCharType="separate"/>
      </w:r>
      <w:r w:rsidR="00393F69">
        <w:rPr>
          <w:rFonts w:ascii="Arial" w:hAnsi="Arial" w:cs="Arial"/>
          <w:i w:val="0"/>
          <w:iCs w:val="0"/>
          <w:noProof/>
          <w:color w:val="auto"/>
        </w:rPr>
        <w:t>2</w:t>
      </w:r>
      <w:r w:rsidRPr="00846419">
        <w:rPr>
          <w:rFonts w:ascii="Arial" w:hAnsi="Arial" w:cs="Arial"/>
          <w:i w:val="0"/>
          <w:iCs w:val="0"/>
          <w:color w:val="auto"/>
        </w:rPr>
        <w:fldChar w:fldCharType="end"/>
      </w:r>
      <w:r w:rsidRPr="00846419">
        <w:rPr>
          <w:rFonts w:ascii="Arial" w:hAnsi="Arial" w:cs="Arial"/>
          <w:i w:val="0"/>
          <w:iCs w:val="0"/>
          <w:color w:val="auto"/>
        </w:rPr>
        <w:t xml:space="preserve">  VOD vs Densidad Subteck Control</w:t>
      </w:r>
    </w:p>
    <w:p w14:paraId="78E44F21" w14:textId="1F1865DC" w:rsidR="00846419" w:rsidRDefault="00846419" w:rsidP="00846419">
      <w:pPr>
        <w:ind w:left="36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noProof/>
        </w:rPr>
        <w:drawing>
          <wp:inline distT="0" distB="0" distL="0" distR="0" wp14:anchorId="0608755A" wp14:editId="0925EBF5">
            <wp:extent cx="2700655" cy="1687830"/>
            <wp:effectExtent l="19050" t="19050" r="23495" b="26670"/>
            <wp:docPr id="1691006292" name="Imagen 1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06292" name="Imagen 1" descr="Diagrama, Escala de tiem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68783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DAAF0D" w14:textId="77777777" w:rsidR="00846419" w:rsidRDefault="00846419" w:rsidP="00846419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s-MX"/>
        </w:rPr>
        <w:t xml:space="preserve">Fuente: </w:t>
      </w:r>
      <w:r w:rsidRPr="00846419">
        <w:rPr>
          <w:rFonts w:ascii="Arial" w:hAnsi="Arial" w:cs="Arial"/>
          <w:sz w:val="22"/>
          <w:szCs w:val="22"/>
          <w:lang w:val="es-MX"/>
        </w:rPr>
        <w:t>Presentación emulsión bombeable Subteck TM – Volcan Andaychagua</w:t>
      </w:r>
    </w:p>
    <w:p w14:paraId="08D2B9D5" w14:textId="77777777" w:rsidR="006C3587" w:rsidRPr="006C3587" w:rsidRDefault="006C3587" w:rsidP="006C3587">
      <w:pPr>
        <w:pStyle w:val="Prrafodelista"/>
        <w:numPr>
          <w:ilvl w:val="0"/>
          <w:numId w:val="1"/>
        </w:numPr>
        <w:jc w:val="both"/>
        <w:rPr>
          <w:sz w:val="22"/>
          <w:szCs w:val="22"/>
          <w:lang w:val="es-MX"/>
        </w:rPr>
      </w:pPr>
      <w:r w:rsidRPr="006C3587">
        <w:rPr>
          <w:sz w:val="22"/>
          <w:szCs w:val="22"/>
        </w:rPr>
        <w:t>Análisis experimental de voladura para la obtención de Modelos de Vibraciones</w:t>
      </w:r>
    </w:p>
    <w:p w14:paraId="20890E1D" w14:textId="77777777" w:rsidR="006C3587" w:rsidRPr="006C3587" w:rsidRDefault="006C3587" w:rsidP="006C3587">
      <w:pPr>
        <w:pStyle w:val="Prrafodelista"/>
        <w:ind w:left="360"/>
        <w:jc w:val="both"/>
        <w:rPr>
          <w:sz w:val="22"/>
          <w:szCs w:val="22"/>
          <w:lang w:val="es-MX"/>
        </w:rPr>
      </w:pPr>
    </w:p>
    <w:p w14:paraId="5C04CE65" w14:textId="126CF483" w:rsidR="006C3587" w:rsidRPr="006C3587" w:rsidRDefault="006C3587" w:rsidP="006C3587">
      <w:pPr>
        <w:pStyle w:val="Descripcin"/>
        <w:keepNext/>
        <w:jc w:val="both"/>
        <w:rPr>
          <w:rFonts w:ascii="Arial" w:hAnsi="Arial" w:cs="Arial"/>
          <w:i w:val="0"/>
          <w:iCs w:val="0"/>
          <w:color w:val="auto"/>
        </w:rPr>
      </w:pPr>
      <w:r w:rsidRPr="006C3587">
        <w:rPr>
          <w:rFonts w:ascii="Arial" w:hAnsi="Arial" w:cs="Arial"/>
          <w:i w:val="0"/>
          <w:iCs w:val="0"/>
          <w:color w:val="auto"/>
        </w:rPr>
        <w:t xml:space="preserve">Figura </w:t>
      </w:r>
      <w:r w:rsidRPr="006C3587">
        <w:rPr>
          <w:rFonts w:ascii="Arial" w:hAnsi="Arial" w:cs="Arial"/>
          <w:i w:val="0"/>
          <w:iCs w:val="0"/>
          <w:color w:val="auto"/>
        </w:rPr>
        <w:fldChar w:fldCharType="begin"/>
      </w:r>
      <w:r w:rsidRPr="006C3587">
        <w:rPr>
          <w:rFonts w:ascii="Arial" w:hAnsi="Arial" w:cs="Arial"/>
          <w:i w:val="0"/>
          <w:iCs w:val="0"/>
          <w:color w:val="auto"/>
        </w:rPr>
        <w:instrText xml:space="preserve"> SEQ Figura \* ARABIC </w:instrText>
      </w:r>
      <w:r w:rsidRPr="006C3587">
        <w:rPr>
          <w:rFonts w:ascii="Arial" w:hAnsi="Arial" w:cs="Arial"/>
          <w:i w:val="0"/>
          <w:iCs w:val="0"/>
          <w:color w:val="auto"/>
        </w:rPr>
        <w:fldChar w:fldCharType="separate"/>
      </w:r>
      <w:r w:rsidR="00393F69">
        <w:rPr>
          <w:rFonts w:ascii="Arial" w:hAnsi="Arial" w:cs="Arial"/>
          <w:i w:val="0"/>
          <w:iCs w:val="0"/>
          <w:noProof/>
          <w:color w:val="auto"/>
        </w:rPr>
        <w:t>3</w:t>
      </w:r>
      <w:r w:rsidRPr="006C3587">
        <w:rPr>
          <w:rFonts w:ascii="Arial" w:hAnsi="Arial" w:cs="Arial"/>
          <w:i w:val="0"/>
          <w:iCs w:val="0"/>
          <w:color w:val="auto"/>
        </w:rPr>
        <w:fldChar w:fldCharType="end"/>
      </w:r>
      <w:r w:rsidRPr="006C3587">
        <w:rPr>
          <w:rFonts w:ascii="Arial" w:hAnsi="Arial" w:cs="Arial"/>
          <w:i w:val="0"/>
          <w:iCs w:val="0"/>
          <w:color w:val="auto"/>
        </w:rPr>
        <w:t xml:space="preserve"> Modelamiento de la curva de atenuación</w:t>
      </w:r>
    </w:p>
    <w:p w14:paraId="252D1370" w14:textId="172FD19C" w:rsidR="00B24835" w:rsidRPr="006C3587" w:rsidRDefault="00B24835" w:rsidP="006C3587">
      <w:pPr>
        <w:pStyle w:val="Prrafodelista"/>
        <w:ind w:left="360"/>
        <w:jc w:val="both"/>
        <w:rPr>
          <w:sz w:val="22"/>
          <w:szCs w:val="22"/>
          <w:lang w:val="es-MX"/>
        </w:rPr>
      </w:pPr>
      <w:r w:rsidRPr="00522A3B">
        <w:rPr>
          <w:noProof/>
          <w:lang w:val="es-MX"/>
        </w:rPr>
        <w:drawing>
          <wp:inline distT="0" distB="0" distL="0" distR="0" wp14:anchorId="1685B507" wp14:editId="1187B6E2">
            <wp:extent cx="2623624" cy="1649536"/>
            <wp:effectExtent l="0" t="0" r="5715" b="8255"/>
            <wp:docPr id="20870979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770" cy="1660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894ED7" w14:textId="15495371" w:rsidR="006C3587" w:rsidRPr="006C3587" w:rsidRDefault="006C3587" w:rsidP="006C3587">
      <w:pPr>
        <w:pStyle w:val="Descripcin"/>
        <w:keepNext/>
        <w:jc w:val="both"/>
        <w:rPr>
          <w:rFonts w:ascii="Arial" w:hAnsi="Arial" w:cs="Arial"/>
          <w:i w:val="0"/>
          <w:iCs w:val="0"/>
          <w:color w:val="auto"/>
        </w:rPr>
      </w:pPr>
      <w:r w:rsidRPr="006C3587">
        <w:rPr>
          <w:rFonts w:ascii="Arial" w:hAnsi="Arial" w:cs="Arial"/>
          <w:i w:val="0"/>
          <w:iCs w:val="0"/>
          <w:color w:val="auto"/>
        </w:rPr>
        <w:t xml:space="preserve">Figura </w:t>
      </w:r>
      <w:r w:rsidRPr="006C3587">
        <w:rPr>
          <w:rFonts w:ascii="Arial" w:hAnsi="Arial" w:cs="Arial"/>
          <w:i w:val="0"/>
          <w:iCs w:val="0"/>
          <w:color w:val="auto"/>
        </w:rPr>
        <w:fldChar w:fldCharType="begin"/>
      </w:r>
      <w:r w:rsidRPr="006C3587">
        <w:rPr>
          <w:rFonts w:ascii="Arial" w:hAnsi="Arial" w:cs="Arial"/>
          <w:i w:val="0"/>
          <w:iCs w:val="0"/>
          <w:color w:val="auto"/>
        </w:rPr>
        <w:instrText xml:space="preserve"> SEQ Figura \* ARABIC </w:instrText>
      </w:r>
      <w:r w:rsidRPr="006C3587">
        <w:rPr>
          <w:rFonts w:ascii="Arial" w:hAnsi="Arial" w:cs="Arial"/>
          <w:i w:val="0"/>
          <w:iCs w:val="0"/>
          <w:color w:val="auto"/>
        </w:rPr>
        <w:fldChar w:fldCharType="separate"/>
      </w:r>
      <w:r w:rsidR="00393F69">
        <w:rPr>
          <w:rFonts w:ascii="Arial" w:hAnsi="Arial" w:cs="Arial"/>
          <w:i w:val="0"/>
          <w:iCs w:val="0"/>
          <w:noProof/>
          <w:color w:val="auto"/>
        </w:rPr>
        <w:t>4</w:t>
      </w:r>
      <w:r w:rsidRPr="006C3587">
        <w:rPr>
          <w:rFonts w:ascii="Arial" w:hAnsi="Arial" w:cs="Arial"/>
          <w:i w:val="0"/>
          <w:iCs w:val="0"/>
          <w:color w:val="auto"/>
        </w:rPr>
        <w:fldChar w:fldCharType="end"/>
      </w:r>
      <w:r w:rsidRPr="006C3587">
        <w:rPr>
          <w:rFonts w:ascii="Arial" w:hAnsi="Arial" w:cs="Arial"/>
          <w:i w:val="0"/>
          <w:iCs w:val="0"/>
          <w:color w:val="auto"/>
        </w:rPr>
        <w:t xml:space="preserve"> Análisis de daño</w:t>
      </w:r>
      <w:r>
        <w:rPr>
          <w:rFonts w:ascii="Arial" w:hAnsi="Arial" w:cs="Arial"/>
          <w:i w:val="0"/>
          <w:iCs w:val="0"/>
          <w:color w:val="auto"/>
        </w:rPr>
        <w:t xml:space="preserve"> por vibración</w:t>
      </w:r>
    </w:p>
    <w:p w14:paraId="355EA10D" w14:textId="5860BF65" w:rsidR="00B24835" w:rsidRPr="00522A3B" w:rsidRDefault="00B24835" w:rsidP="006C3587">
      <w:pPr>
        <w:rPr>
          <w:sz w:val="22"/>
          <w:szCs w:val="22"/>
          <w:lang w:val="es-MX"/>
        </w:rPr>
      </w:pPr>
      <w:r w:rsidRPr="00522A3B">
        <w:rPr>
          <w:noProof/>
          <w:sz w:val="22"/>
          <w:szCs w:val="22"/>
        </w:rPr>
        <w:drawing>
          <wp:inline distT="0" distB="0" distL="0" distR="0" wp14:anchorId="7F9449FA" wp14:editId="43EF8F7E">
            <wp:extent cx="1419225" cy="5265331"/>
            <wp:effectExtent l="19050" t="19050" r="9525" b="12065"/>
            <wp:docPr id="14479715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3719" b="22863"/>
                    <a:stretch/>
                  </pic:blipFill>
                  <pic:spPr bwMode="auto">
                    <a:xfrm>
                      <a:off x="0" y="0"/>
                      <a:ext cx="1422897" cy="527895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F10CC" w14:textId="77777777" w:rsidR="006C3587" w:rsidRDefault="006C3587" w:rsidP="00B24835">
      <w:pPr>
        <w:rPr>
          <w:noProof/>
          <w:sz w:val="22"/>
          <w:szCs w:val="22"/>
          <w:lang w:val="es-MX"/>
        </w:rPr>
      </w:pPr>
    </w:p>
    <w:p w14:paraId="530BD6C4" w14:textId="2F1FDB5F" w:rsidR="00B24835" w:rsidRPr="00522A3B" w:rsidRDefault="00B24835" w:rsidP="00B24835">
      <w:pPr>
        <w:rPr>
          <w:sz w:val="22"/>
          <w:szCs w:val="22"/>
          <w:lang w:val="es-MX"/>
        </w:rPr>
      </w:pPr>
      <w:r w:rsidRPr="00522A3B">
        <w:rPr>
          <w:noProof/>
          <w:sz w:val="22"/>
          <w:szCs w:val="22"/>
          <w:lang w:val="es-MX"/>
        </w:rPr>
        <w:drawing>
          <wp:inline distT="0" distB="0" distL="0" distR="0" wp14:anchorId="575B2076" wp14:editId="15D44544">
            <wp:extent cx="2300068" cy="1590111"/>
            <wp:effectExtent l="19050" t="19050" r="24130" b="10160"/>
            <wp:docPr id="131040941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734" cy="159679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F7516A" w14:textId="30611FFA" w:rsidR="00B24835" w:rsidRPr="00522A3B" w:rsidRDefault="009A084A" w:rsidP="00B24835">
      <w:pPr>
        <w:rPr>
          <w:sz w:val="22"/>
          <w:szCs w:val="22"/>
          <w:lang w:val="es-MX"/>
        </w:rPr>
      </w:pPr>
      <w:r w:rsidRPr="00522A3B">
        <w:rPr>
          <w:sz w:val="22"/>
          <w:szCs w:val="22"/>
          <w:lang w:val="es-MX"/>
        </w:rPr>
        <w:t>Parámetros de carguío según diseño</w:t>
      </w:r>
    </w:p>
    <w:p w14:paraId="77CB6F51" w14:textId="47FE0741" w:rsidR="00B24835" w:rsidRPr="00522A3B" w:rsidRDefault="00B24835" w:rsidP="00B24835">
      <w:pPr>
        <w:rPr>
          <w:sz w:val="22"/>
          <w:szCs w:val="22"/>
          <w:lang w:val="es-MX"/>
        </w:rPr>
      </w:pPr>
      <w:r w:rsidRPr="00522A3B">
        <w:rPr>
          <w:noProof/>
          <w:sz w:val="22"/>
          <w:szCs w:val="22"/>
        </w:rPr>
        <w:drawing>
          <wp:inline distT="0" distB="0" distL="0" distR="0" wp14:anchorId="2E55716D" wp14:editId="1344AD12">
            <wp:extent cx="1645920" cy="357057"/>
            <wp:effectExtent l="19050" t="19050" r="11430" b="24130"/>
            <wp:docPr id="28271661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511"/>
                    <a:stretch/>
                  </pic:blipFill>
                  <pic:spPr bwMode="auto">
                    <a:xfrm>
                      <a:off x="0" y="0"/>
                      <a:ext cx="1673842" cy="36311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F8633" w14:textId="4687861D" w:rsidR="006C3587" w:rsidRPr="006C3587" w:rsidRDefault="006C3587" w:rsidP="006C3587">
      <w:pPr>
        <w:pStyle w:val="Descripcin"/>
        <w:keepNext/>
        <w:jc w:val="both"/>
        <w:rPr>
          <w:rFonts w:ascii="Arial" w:hAnsi="Arial" w:cs="Arial"/>
          <w:i w:val="0"/>
          <w:iCs w:val="0"/>
          <w:color w:val="auto"/>
        </w:rPr>
      </w:pPr>
      <w:r w:rsidRPr="006C3587">
        <w:rPr>
          <w:rFonts w:ascii="Arial" w:hAnsi="Arial" w:cs="Arial"/>
          <w:i w:val="0"/>
          <w:iCs w:val="0"/>
          <w:color w:val="auto"/>
        </w:rPr>
        <w:lastRenderedPageBreak/>
        <w:t xml:space="preserve">Figura </w:t>
      </w:r>
      <w:r w:rsidRPr="006C3587">
        <w:rPr>
          <w:rFonts w:ascii="Arial" w:hAnsi="Arial" w:cs="Arial"/>
          <w:i w:val="0"/>
          <w:iCs w:val="0"/>
          <w:color w:val="auto"/>
        </w:rPr>
        <w:fldChar w:fldCharType="begin"/>
      </w:r>
      <w:r w:rsidRPr="006C3587">
        <w:rPr>
          <w:rFonts w:ascii="Arial" w:hAnsi="Arial" w:cs="Arial"/>
          <w:i w:val="0"/>
          <w:iCs w:val="0"/>
          <w:color w:val="auto"/>
        </w:rPr>
        <w:instrText xml:space="preserve"> SEQ Figura \* ARABIC </w:instrText>
      </w:r>
      <w:r w:rsidRPr="006C3587">
        <w:rPr>
          <w:rFonts w:ascii="Arial" w:hAnsi="Arial" w:cs="Arial"/>
          <w:i w:val="0"/>
          <w:iCs w:val="0"/>
          <w:color w:val="auto"/>
        </w:rPr>
        <w:fldChar w:fldCharType="separate"/>
      </w:r>
      <w:r w:rsidR="00393F69">
        <w:rPr>
          <w:rFonts w:ascii="Arial" w:hAnsi="Arial" w:cs="Arial"/>
          <w:i w:val="0"/>
          <w:iCs w:val="0"/>
          <w:noProof/>
          <w:color w:val="auto"/>
        </w:rPr>
        <w:t>5</w:t>
      </w:r>
      <w:r w:rsidRPr="006C3587">
        <w:rPr>
          <w:rFonts w:ascii="Arial" w:hAnsi="Arial" w:cs="Arial"/>
          <w:i w:val="0"/>
          <w:iCs w:val="0"/>
          <w:color w:val="auto"/>
        </w:rPr>
        <w:fldChar w:fldCharType="end"/>
      </w:r>
      <w:r w:rsidRPr="006C3587">
        <w:rPr>
          <w:rFonts w:ascii="Arial" w:hAnsi="Arial" w:cs="Arial"/>
          <w:i w:val="0"/>
          <w:iCs w:val="0"/>
          <w:color w:val="auto"/>
        </w:rPr>
        <w:t xml:space="preserve"> Vista longitudinal del taladro</w:t>
      </w:r>
    </w:p>
    <w:p w14:paraId="2D09E4D4" w14:textId="0115DA2B" w:rsidR="00B24835" w:rsidRPr="00522A3B" w:rsidRDefault="00B24835" w:rsidP="00B24835">
      <w:pPr>
        <w:rPr>
          <w:sz w:val="22"/>
          <w:szCs w:val="22"/>
          <w:lang w:val="es-MX"/>
        </w:rPr>
      </w:pPr>
      <w:r w:rsidRPr="00522A3B">
        <w:rPr>
          <w:noProof/>
          <w:sz w:val="22"/>
          <w:szCs w:val="22"/>
        </w:rPr>
        <w:drawing>
          <wp:inline distT="0" distB="0" distL="0" distR="0" wp14:anchorId="652169E6" wp14:editId="78B45C92">
            <wp:extent cx="2062968" cy="2198529"/>
            <wp:effectExtent l="19050" t="19050" r="13970" b="11430"/>
            <wp:docPr id="41472764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692" cy="22067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27E226" w14:textId="25B38D41" w:rsidR="006C3587" w:rsidRPr="006C3587" w:rsidRDefault="006C3587" w:rsidP="006C3587">
      <w:pPr>
        <w:rPr>
          <w:rFonts w:ascii="Arial" w:hAnsi="Arial" w:cs="Arial"/>
          <w:sz w:val="18"/>
          <w:szCs w:val="18"/>
        </w:rPr>
      </w:pPr>
      <w:r w:rsidRPr="006C3587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E2A968" wp14:editId="0254DB5C">
                <wp:simplePos x="0" y="0"/>
                <wp:positionH relativeFrom="column">
                  <wp:posOffset>1479222</wp:posOffset>
                </wp:positionH>
                <wp:positionV relativeFrom="paragraph">
                  <wp:posOffset>1109648</wp:posOffset>
                </wp:positionV>
                <wp:extent cx="508884" cy="278296"/>
                <wp:effectExtent l="0" t="0" r="24765" b="26670"/>
                <wp:wrapNone/>
                <wp:docPr id="1181134451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84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6EF0F" w14:textId="730F8D8E" w:rsidR="00E95F28" w:rsidRPr="00E95F28" w:rsidRDefault="00E95F28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95F28">
                              <w:rPr>
                                <w:sz w:val="14"/>
                                <w:szCs w:val="14"/>
                                <w:lang w:val="es-MX"/>
                              </w:rPr>
                              <w:t>0.</w:t>
                            </w:r>
                            <w:r w:rsidR="006C3587">
                              <w:rPr>
                                <w:sz w:val="14"/>
                                <w:szCs w:val="14"/>
                                <w:lang w:val="es-MX"/>
                              </w:rPr>
                              <w:t>8</w:t>
                            </w:r>
                            <w:r w:rsidRPr="00E95F28">
                              <w:rPr>
                                <w:sz w:val="14"/>
                                <w:szCs w:val="14"/>
                                <w:lang w:val="es-MX"/>
                              </w:rPr>
                              <w:t>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E2A968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margin-left:116.45pt;margin-top:87.35pt;width:40.05pt;height:2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HuJOAIAAHsEAAAOAAAAZHJzL2Uyb0RvYy54bWysVE1v2zAMvQ/YfxB0X+xkSZo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8n6Ww2G1PC0TW6mY1upwEluVw21vmvAmoSjJxa7Eok&#10;ix0enO9CTyHhLQeqKtaVUnETlCBWypIDwx4qH1NE8DdRSpMmp9PPkzQCv/EF6PP9rWL8R5/eVRTi&#10;KY05X0oPlm+3bc/HFooj0mShU5AzfF0h7gNz/plZlAwyg2Pgn3CRCjAZ6C1KSrC//nYe4rGT6KWk&#10;QQnm1P3cMysoUd809vh2OB4HzcbNeHIzwo299myvPXpfrwAZGuLAGR7NEO/VyZQW6leclmV4FV1M&#10;c3w7p/5krnw3GDhtXCyXMQhVaph/0BvDA3ToSODzpX1l1vT99CiERziJlWXv2trFhpsalnsPsoo9&#10;DwR3rPa8o8KjavppDCN0vY9Rl3/G4jcAAAD//wMAUEsDBBQABgAIAAAAIQBYM18g3gAAAAsBAAAP&#10;AAAAZHJzL2Rvd25yZXYueG1sTI/LTsMwEEX3SPyDNUjsqPMAmqZxKkCFTVcU1LUbu7ZFPI5iNw1/&#10;z7CC5ege3Tm32cy+Z5MeowsoIF9kwDR2QTk0Aj4/Xu8qYDFJVLIPqAV86wib9vqqkbUKF3zX0z4Z&#10;RiUYaynApjTUnMfOai/jIgwaKTuF0ctE52i4GuWFyn3Piyx75F46pA9WDvrF6u5rf/YCts9mZbpK&#10;jnZbKeem+XDamTchbm/mpzWwpOf0B8OvPqlDS07HcEYVWS+gKIsVoRQs75fAiCjzktYdKcqrB+Bt&#10;w/9vaH8AAAD//wMAUEsBAi0AFAAGAAgAAAAhALaDOJL+AAAA4QEAABMAAAAAAAAAAAAAAAAAAAAA&#10;AFtDb250ZW50X1R5cGVzXS54bWxQSwECLQAUAAYACAAAACEAOP0h/9YAAACUAQAACwAAAAAAAAAA&#10;AAAAAAAvAQAAX3JlbHMvLnJlbHNQSwECLQAUAAYACAAAACEANFB7iTgCAAB7BAAADgAAAAAAAAAA&#10;AAAAAAAuAgAAZHJzL2Uyb0RvYy54bWxQSwECLQAUAAYACAAAACEAWDNfIN4AAAALAQAADwAAAAAA&#10;AAAAAAAAAACSBAAAZHJzL2Rvd25yZXYueG1sUEsFBgAAAAAEAAQA8wAAAJ0FAAAAAA==&#10;" fillcolor="white [3201]" strokeweight=".5pt">
                <v:textbox>
                  <w:txbxContent>
                    <w:p w14:paraId="22D6EF0F" w14:textId="730F8D8E" w:rsidR="00E95F28" w:rsidRPr="00E95F28" w:rsidRDefault="00E95F28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E95F28">
                        <w:rPr>
                          <w:sz w:val="14"/>
                          <w:szCs w:val="14"/>
                          <w:lang w:val="es-MX"/>
                        </w:rPr>
                        <w:t>0.</w:t>
                      </w:r>
                      <w:r w:rsidR="006C3587">
                        <w:rPr>
                          <w:sz w:val="14"/>
                          <w:szCs w:val="14"/>
                          <w:lang w:val="es-MX"/>
                        </w:rPr>
                        <w:t>8</w:t>
                      </w:r>
                      <w:r w:rsidRPr="00E95F28">
                        <w:rPr>
                          <w:sz w:val="14"/>
                          <w:szCs w:val="14"/>
                          <w:lang w:val="es-MX"/>
                        </w:rPr>
                        <w:t>0 cm</w:t>
                      </w:r>
                    </w:p>
                  </w:txbxContent>
                </v:textbox>
              </v:shape>
            </w:pict>
          </mc:Fallback>
        </mc:AlternateContent>
      </w:r>
      <w:r w:rsidRPr="006C3587">
        <w:rPr>
          <w:rFonts w:ascii="Arial" w:hAnsi="Arial" w:cs="Arial"/>
          <w:sz w:val="18"/>
          <w:szCs w:val="18"/>
        </w:rPr>
        <w:t xml:space="preserve">Figura </w:t>
      </w:r>
      <w:r w:rsidRPr="006C3587">
        <w:rPr>
          <w:rFonts w:ascii="Arial" w:hAnsi="Arial" w:cs="Arial"/>
          <w:sz w:val="18"/>
          <w:szCs w:val="18"/>
        </w:rPr>
        <w:fldChar w:fldCharType="begin"/>
      </w:r>
      <w:r w:rsidRPr="006C3587">
        <w:rPr>
          <w:rFonts w:ascii="Arial" w:hAnsi="Arial" w:cs="Arial"/>
          <w:sz w:val="18"/>
          <w:szCs w:val="18"/>
        </w:rPr>
        <w:instrText xml:space="preserve"> SEQ Figura \* ARABIC </w:instrText>
      </w:r>
      <w:r w:rsidRPr="006C3587">
        <w:rPr>
          <w:rFonts w:ascii="Arial" w:hAnsi="Arial" w:cs="Arial"/>
          <w:sz w:val="18"/>
          <w:szCs w:val="18"/>
        </w:rPr>
        <w:fldChar w:fldCharType="separate"/>
      </w:r>
      <w:r w:rsidR="00393F69">
        <w:rPr>
          <w:rFonts w:ascii="Arial" w:hAnsi="Arial" w:cs="Arial"/>
          <w:noProof/>
          <w:sz w:val="18"/>
          <w:szCs w:val="18"/>
        </w:rPr>
        <w:t>6</w:t>
      </w:r>
      <w:r w:rsidRPr="006C3587">
        <w:rPr>
          <w:rFonts w:ascii="Arial" w:hAnsi="Arial" w:cs="Arial"/>
          <w:sz w:val="18"/>
          <w:szCs w:val="18"/>
        </w:rPr>
        <w:fldChar w:fldCharType="end"/>
      </w:r>
      <w:r w:rsidRPr="006C3587">
        <w:rPr>
          <w:rFonts w:ascii="Arial" w:hAnsi="Arial" w:cs="Arial"/>
          <w:sz w:val="18"/>
          <w:szCs w:val="18"/>
        </w:rPr>
        <w:t xml:space="preserve"> Vista en planta del Taladro.</w:t>
      </w:r>
    </w:p>
    <w:p w14:paraId="4F3CA20A" w14:textId="6D4E196C" w:rsidR="009A084A" w:rsidRDefault="006C3587" w:rsidP="00B24835">
      <w:pPr>
        <w:rPr>
          <w:sz w:val="22"/>
          <w:szCs w:val="22"/>
          <w:lang w:val="es-MX"/>
        </w:rPr>
      </w:pPr>
      <w:r w:rsidRPr="006C3587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C22E5" wp14:editId="7DFB840F">
                <wp:simplePos x="0" y="0"/>
                <wp:positionH relativeFrom="column">
                  <wp:posOffset>1155810</wp:posOffset>
                </wp:positionH>
                <wp:positionV relativeFrom="paragraph">
                  <wp:posOffset>1056087</wp:posOffset>
                </wp:positionV>
                <wp:extent cx="268853" cy="216342"/>
                <wp:effectExtent l="19050" t="38100" r="55245" b="31750"/>
                <wp:wrapNone/>
                <wp:docPr id="156853374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853" cy="21634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EC25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91pt;margin-top:83.15pt;width:21.15pt;height:17.0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3gw5AEAABcEAAAOAAAAZHJzL2Uyb0RvYy54bWysU02P2yAQvVfqf0DcGzveJo2iOHvIdnup&#10;2lU/9k7wYCNhQAONnX/fASfefu2hVS/IGN6b994Mu9uxN+wEGLSzNV8uSs7AStdo29b865f7VxvO&#10;QhS2EcZZqPkZAr/dv3yxG/wWKtc50wAyIrFhO/iadzH6bVEE2UEvwsJ5sHSoHPYi0hbbokExEHtv&#10;iqos18XgsPHoJIRAf++mQ77P/EqBjB+VChCZqTlpi3nFvB7TWux3Ytui8J2WFxniH1T0QlsqOlPd&#10;iSjYN9S/UfVaogtOxYV0feGU0hKyB3KzLH9x87kTHrIXCif4Oabw/2jlh9PBPiDFMPiwDf4Bk4tR&#10;Yc+U0f6Repp9kVI25tjOc2wwRibpZ7XebFY3nEk6qpbrm9dVirWYaBKdxxDfgetZ+qh5iCh028WD&#10;s5Ya5HAqIU7vQ5yAV0ACG8sG4t2s3qyykuCMbu61MekwYHs8GGQnkfpbVuU6t5Rq/3QtCm3e2obF&#10;s6cZjKiFbQ1cVBpLYp/c5694NjAV/wSK6YZcTiLzYMJcUkgJNi5nJrqdYIrkzcBykp0m+jng5X6C&#10;Qh7avwHPiFzZ2TiDe20d/ql6HK+S1XT/msDkO0VwdM05z0WOhqYvd/TyUtJ4/7jP8Kf3vP8OAAD/&#10;/wMAUEsDBBQABgAIAAAAIQCT3TR+3wAAAAsBAAAPAAAAZHJzL2Rvd25yZXYueG1sTI9BS8NAEIXv&#10;gv9hGcGb3e0aYk2zKSIKQkUwBrxuk2kSmp2N2W0b/73jSW/fYx5v3ss3sxvECafQezKwXCgQSLVv&#10;emoNVB/PNysQIVpq7OAJDXxjgE1xeZHbrPFnesdTGVvBIRQya6CLccykDHWHzoaFH5H4tveTs5Hl&#10;1MpmsmcOd4PUSqXS2Z74Q2dHfOywPpRHZ+Bu++pGvX37TF6W90/l3lXtF1bGXF/ND2sQEef4Z4bf&#10;+lwdCu6080dqghhYrzRviQxpeguCHVonDDsGpRKQRS7/byh+AAAA//8DAFBLAQItABQABgAIAAAA&#10;IQC2gziS/gAAAOEBAAATAAAAAAAAAAAAAAAAAAAAAABbQ29udGVudF9UeXBlc10ueG1sUEsBAi0A&#10;FAAGAAgAAAAhADj9If/WAAAAlAEAAAsAAAAAAAAAAAAAAAAALwEAAF9yZWxzLy5yZWxzUEsBAi0A&#10;FAAGAAgAAAAhAH4veDDkAQAAFwQAAA4AAAAAAAAAAAAAAAAALgIAAGRycy9lMm9Eb2MueG1sUEsB&#10;Ai0AFAAGAAgAAAAhAJPdNH7fAAAACwEAAA8AAAAAAAAAAAAAAAAAPgQAAGRycy9kb3ducmV2Lnht&#10;bFBLBQYAAAAABAAEAPMAAABKBQAAAAA=&#10;" strokecolor="#002060" strokeweight="2.25pt">
                <v:stroke endarrow="block" joinstyle="miter"/>
              </v:shape>
            </w:pict>
          </mc:Fallback>
        </mc:AlternateContent>
      </w:r>
      <w:r w:rsidR="009A084A" w:rsidRPr="00522A3B">
        <w:rPr>
          <w:noProof/>
          <w:sz w:val="22"/>
          <w:szCs w:val="22"/>
        </w:rPr>
        <w:drawing>
          <wp:inline distT="0" distB="0" distL="0" distR="0" wp14:anchorId="4AECA074" wp14:editId="0F3B5529">
            <wp:extent cx="2124221" cy="2328002"/>
            <wp:effectExtent l="19050" t="19050" r="28575" b="15240"/>
            <wp:docPr id="20485645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675" cy="233288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FB3BF0" w14:textId="14F8A9F2" w:rsidR="006C3587" w:rsidRDefault="006C3587" w:rsidP="00B24835">
      <w:pPr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Se puede verificar que efectivamente el radio de influencia utilizando la emulsión bombeable Subteck llegamos a un radio de 0.80 m o diámetro de 1.60 m.</w:t>
      </w:r>
    </w:p>
    <w:p w14:paraId="556C963C" w14:textId="7E22676B" w:rsidR="00E95F28" w:rsidRDefault="00CA6BAE" w:rsidP="00E95F28">
      <w:pPr>
        <w:pStyle w:val="Prrafodelista"/>
        <w:numPr>
          <w:ilvl w:val="0"/>
          <w:numId w:val="1"/>
        </w:numPr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Resultados</w:t>
      </w:r>
    </w:p>
    <w:p w14:paraId="09D507B0" w14:textId="77777777" w:rsidR="00CA6BAE" w:rsidRPr="00522A3B" w:rsidRDefault="00CA6BAE" w:rsidP="00CA6BAE">
      <w:pPr>
        <w:pStyle w:val="Prrafodelista"/>
        <w:ind w:left="360"/>
        <w:rPr>
          <w:sz w:val="22"/>
          <w:szCs w:val="22"/>
          <w:lang w:val="es-MX"/>
        </w:rPr>
      </w:pPr>
    </w:p>
    <w:p w14:paraId="27281665" w14:textId="5DD3B8DC" w:rsidR="009D00FF" w:rsidRPr="00522A3B" w:rsidRDefault="005A6D47" w:rsidP="00CA6BAE">
      <w:pPr>
        <w:pStyle w:val="Prrafodelista"/>
        <w:ind w:left="0"/>
        <w:rPr>
          <w:sz w:val="22"/>
          <w:szCs w:val="22"/>
          <w:lang w:val="es-MX"/>
        </w:rPr>
      </w:pPr>
      <w:r w:rsidRPr="005A6D47">
        <w:drawing>
          <wp:inline distT="0" distB="0" distL="0" distR="0" wp14:anchorId="074E4784" wp14:editId="556CDE78">
            <wp:extent cx="2603500" cy="892524"/>
            <wp:effectExtent l="19050" t="19050" r="25400" b="22225"/>
            <wp:docPr id="4330873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426" cy="89318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9C7AF" w14:textId="77777777" w:rsidR="001F12C0" w:rsidRPr="00522A3B" w:rsidRDefault="001F12C0" w:rsidP="00E95F28">
      <w:pPr>
        <w:pStyle w:val="Prrafodelista"/>
        <w:ind w:left="360"/>
        <w:rPr>
          <w:sz w:val="22"/>
          <w:szCs w:val="22"/>
          <w:lang w:val="es-MX"/>
        </w:rPr>
      </w:pPr>
    </w:p>
    <w:p w14:paraId="5E9B73D2" w14:textId="57A24D6E" w:rsidR="00E95F28" w:rsidRPr="00522A3B" w:rsidRDefault="005A6D47" w:rsidP="00CA6BAE">
      <w:pPr>
        <w:pStyle w:val="Prrafodelista"/>
        <w:ind w:left="0"/>
        <w:rPr>
          <w:sz w:val="22"/>
          <w:szCs w:val="22"/>
          <w:lang w:val="es-MX"/>
        </w:rPr>
      </w:pPr>
      <w:r>
        <w:rPr>
          <w:noProof/>
          <w:sz w:val="22"/>
          <w:szCs w:val="22"/>
          <w:lang w:val="es-MX"/>
        </w:rPr>
        <w:drawing>
          <wp:inline distT="0" distB="0" distL="0" distR="0" wp14:anchorId="03F67E05" wp14:editId="3C3A1CB6">
            <wp:extent cx="2620406" cy="2027583"/>
            <wp:effectExtent l="0" t="0" r="8890" b="0"/>
            <wp:docPr id="19995958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869" cy="2032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B793B2" w14:textId="77777777" w:rsidR="00E95F28" w:rsidRDefault="00E95F28" w:rsidP="00E95F28">
      <w:pPr>
        <w:pStyle w:val="Prrafodelista"/>
        <w:ind w:left="360"/>
        <w:rPr>
          <w:sz w:val="22"/>
          <w:szCs w:val="22"/>
          <w:lang w:val="es-MX"/>
        </w:rPr>
      </w:pPr>
    </w:p>
    <w:p w14:paraId="0060368D" w14:textId="407C35FE" w:rsidR="005A6D47" w:rsidRDefault="005A6D47" w:rsidP="00B53955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Se tiene un ahorro potencial de </w:t>
      </w:r>
      <w:r w:rsidR="00937DB3">
        <w:rPr>
          <w:sz w:val="22"/>
          <w:szCs w:val="22"/>
          <w:lang w:val="es-MX"/>
        </w:rPr>
        <w:t>1.01 $/</w:t>
      </w:r>
      <w:proofErr w:type="spellStart"/>
      <w:r w:rsidR="00937DB3">
        <w:rPr>
          <w:sz w:val="22"/>
          <w:szCs w:val="22"/>
          <w:lang w:val="es-MX"/>
        </w:rPr>
        <w:t>Tn</w:t>
      </w:r>
      <w:proofErr w:type="spellEnd"/>
      <w:r w:rsidR="00937DB3">
        <w:rPr>
          <w:sz w:val="22"/>
          <w:szCs w:val="22"/>
          <w:lang w:val="es-MX"/>
        </w:rPr>
        <w:t xml:space="preserve"> producida en sub level stoping</w:t>
      </w:r>
      <w:r w:rsidR="00B53955">
        <w:rPr>
          <w:sz w:val="22"/>
          <w:szCs w:val="22"/>
          <w:lang w:val="es-MX"/>
        </w:rPr>
        <w:t>.</w:t>
      </w:r>
    </w:p>
    <w:p w14:paraId="6C1DBBC1" w14:textId="305AA4CA" w:rsidR="00B53955" w:rsidRPr="00B53955" w:rsidRDefault="00B53955" w:rsidP="00B53955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Se tiene el incremento de $/m de 4.8 a 6.3 </w:t>
      </w:r>
      <w:proofErr w:type="spellStart"/>
      <w:r>
        <w:rPr>
          <w:sz w:val="22"/>
          <w:szCs w:val="22"/>
          <w:lang w:val="es-MX"/>
        </w:rPr>
        <w:t>tn</w:t>
      </w:r>
      <w:proofErr w:type="spellEnd"/>
      <w:r>
        <w:rPr>
          <w:sz w:val="22"/>
          <w:szCs w:val="22"/>
          <w:lang w:val="es-MX"/>
        </w:rPr>
        <w:t>/m.</w:t>
      </w:r>
    </w:p>
    <w:p w14:paraId="0476959E" w14:textId="77777777" w:rsidR="00B53955" w:rsidRPr="00522A3B" w:rsidRDefault="00B53955" w:rsidP="00B53955">
      <w:pPr>
        <w:pStyle w:val="Prrafodelista"/>
        <w:ind w:left="0"/>
        <w:rPr>
          <w:sz w:val="22"/>
          <w:szCs w:val="22"/>
          <w:lang w:val="es-MX"/>
        </w:rPr>
      </w:pPr>
    </w:p>
    <w:p w14:paraId="0ABB8B26" w14:textId="1D08D72E" w:rsidR="00937DB3" w:rsidRDefault="00937DB3" w:rsidP="00937DB3">
      <w:pPr>
        <w:pStyle w:val="Prrafodelista"/>
        <w:numPr>
          <w:ilvl w:val="0"/>
          <w:numId w:val="1"/>
        </w:numPr>
        <w:rPr>
          <w:sz w:val="22"/>
          <w:szCs w:val="22"/>
          <w:lang w:val="es-MX"/>
        </w:rPr>
      </w:pPr>
      <w:r w:rsidRPr="00937DB3">
        <w:rPr>
          <w:sz w:val="22"/>
          <w:szCs w:val="22"/>
          <w:lang w:val="es-MX"/>
        </w:rPr>
        <w:t>Referencias</w:t>
      </w:r>
    </w:p>
    <w:p w14:paraId="006521B5" w14:textId="77777777" w:rsidR="00937DB3" w:rsidRDefault="00937DB3" w:rsidP="00937DB3">
      <w:pPr>
        <w:pStyle w:val="Prrafodelista"/>
        <w:ind w:left="360"/>
        <w:rPr>
          <w:sz w:val="22"/>
          <w:szCs w:val="22"/>
          <w:lang w:val="es-MX"/>
        </w:rPr>
      </w:pPr>
    </w:p>
    <w:p w14:paraId="5C7A5A7F" w14:textId="3FBC17A0" w:rsidR="00937DB3" w:rsidRDefault="00937DB3" w:rsidP="00937DB3">
      <w:pPr>
        <w:pStyle w:val="Prrafodelista"/>
        <w:ind w:left="0"/>
        <w:jc w:val="both"/>
        <w:rPr>
          <w:sz w:val="22"/>
          <w:szCs w:val="22"/>
          <w:lang w:val="es-MX"/>
        </w:rPr>
      </w:pPr>
      <w:r w:rsidRPr="00937DB3">
        <w:rPr>
          <w:sz w:val="22"/>
          <w:szCs w:val="22"/>
          <w:lang w:val="es-MX"/>
        </w:rPr>
        <w:t xml:space="preserve">Holmberg y Persson (1980). Diseño de </w:t>
      </w:r>
      <w:r>
        <w:rPr>
          <w:sz w:val="22"/>
          <w:szCs w:val="22"/>
          <w:lang w:val="es-MX"/>
        </w:rPr>
        <w:t xml:space="preserve">    </w:t>
      </w:r>
      <w:r w:rsidRPr="00937DB3">
        <w:rPr>
          <w:sz w:val="22"/>
          <w:szCs w:val="22"/>
          <w:lang w:val="es-MX"/>
        </w:rPr>
        <w:t>túneles para prevenir el daño a la roca.</w:t>
      </w:r>
    </w:p>
    <w:p w14:paraId="78317A70" w14:textId="77777777" w:rsidR="00937DB3" w:rsidRDefault="00937DB3" w:rsidP="00937DB3">
      <w:pPr>
        <w:pStyle w:val="Prrafodelista"/>
        <w:ind w:left="0"/>
        <w:jc w:val="both"/>
        <w:rPr>
          <w:sz w:val="22"/>
          <w:szCs w:val="22"/>
          <w:lang w:val="es-MX"/>
        </w:rPr>
      </w:pPr>
    </w:p>
    <w:p w14:paraId="4A8D662B" w14:textId="133838DB" w:rsidR="00937DB3" w:rsidRDefault="00937DB3" w:rsidP="00937DB3">
      <w:pPr>
        <w:pStyle w:val="Prrafodelista"/>
        <w:ind w:left="0"/>
        <w:jc w:val="both"/>
        <w:rPr>
          <w:sz w:val="22"/>
          <w:szCs w:val="22"/>
        </w:rPr>
      </w:pPr>
      <w:r w:rsidRPr="00937DB3">
        <w:rPr>
          <w:sz w:val="22"/>
          <w:szCs w:val="22"/>
        </w:rPr>
        <w:t>McKenzie, C. 2006. Manual de Monitoreo de Vibraciones Generadas por Tronaduras, Análisis y Modelamiento. CINTEX.</w:t>
      </w:r>
    </w:p>
    <w:p w14:paraId="793E9DA1" w14:textId="77777777" w:rsidR="00937DB3" w:rsidRDefault="00937DB3" w:rsidP="00937DB3">
      <w:pPr>
        <w:pStyle w:val="Prrafodelista"/>
        <w:ind w:left="0"/>
        <w:jc w:val="both"/>
        <w:rPr>
          <w:sz w:val="22"/>
          <w:szCs w:val="22"/>
        </w:rPr>
      </w:pPr>
    </w:p>
    <w:p w14:paraId="0A2B54FB" w14:textId="448E99B2" w:rsidR="00937DB3" w:rsidRPr="00937DB3" w:rsidRDefault="00937DB3" w:rsidP="00937DB3">
      <w:pPr>
        <w:pStyle w:val="Prrafodelista"/>
        <w:ind w:left="0"/>
        <w:jc w:val="both"/>
        <w:rPr>
          <w:sz w:val="22"/>
          <w:szCs w:val="22"/>
          <w:lang w:val="es-MX"/>
        </w:rPr>
      </w:pPr>
      <w:r w:rsidRPr="00937DB3">
        <w:rPr>
          <w:sz w:val="22"/>
          <w:szCs w:val="22"/>
        </w:rPr>
        <w:t>EXSA S.A. (2003). Manual Práctico de Voladuras. Lima, Perú.</w:t>
      </w:r>
    </w:p>
    <w:sectPr w:rsidR="00937DB3" w:rsidRPr="00937DB3" w:rsidSect="00B24835">
      <w:pgSz w:w="11906" w:h="16838"/>
      <w:pgMar w:top="1417" w:right="99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2F4"/>
    <w:multiLevelType w:val="hybridMultilevel"/>
    <w:tmpl w:val="B9627A0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EB4CD7"/>
    <w:multiLevelType w:val="hybridMultilevel"/>
    <w:tmpl w:val="21589EE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DA1F20"/>
    <w:multiLevelType w:val="hybridMultilevel"/>
    <w:tmpl w:val="A1D888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D039BE"/>
    <w:multiLevelType w:val="hybridMultilevel"/>
    <w:tmpl w:val="DD3CC00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200148">
    <w:abstractNumId w:val="0"/>
  </w:num>
  <w:num w:numId="2" w16cid:durableId="272369985">
    <w:abstractNumId w:val="1"/>
  </w:num>
  <w:num w:numId="3" w16cid:durableId="1870100761">
    <w:abstractNumId w:val="2"/>
  </w:num>
  <w:num w:numId="4" w16cid:durableId="1874344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4C"/>
    <w:rsid w:val="0000034A"/>
    <w:rsid w:val="000B237A"/>
    <w:rsid w:val="0010391D"/>
    <w:rsid w:val="001D79F3"/>
    <w:rsid w:val="001E0D1A"/>
    <w:rsid w:val="001F12C0"/>
    <w:rsid w:val="00214B12"/>
    <w:rsid w:val="00240B03"/>
    <w:rsid w:val="00255E39"/>
    <w:rsid w:val="00293ABC"/>
    <w:rsid w:val="00393F69"/>
    <w:rsid w:val="003B713D"/>
    <w:rsid w:val="003F216A"/>
    <w:rsid w:val="00401C3C"/>
    <w:rsid w:val="00452D7C"/>
    <w:rsid w:val="00480779"/>
    <w:rsid w:val="004812C8"/>
    <w:rsid w:val="00511897"/>
    <w:rsid w:val="00522A3B"/>
    <w:rsid w:val="00550283"/>
    <w:rsid w:val="005A6D47"/>
    <w:rsid w:val="005F0C76"/>
    <w:rsid w:val="00690340"/>
    <w:rsid w:val="006C3587"/>
    <w:rsid w:val="006E22C4"/>
    <w:rsid w:val="007755D2"/>
    <w:rsid w:val="007B315E"/>
    <w:rsid w:val="007E2573"/>
    <w:rsid w:val="0081491E"/>
    <w:rsid w:val="00846419"/>
    <w:rsid w:val="008C2029"/>
    <w:rsid w:val="008C2A78"/>
    <w:rsid w:val="00937DB3"/>
    <w:rsid w:val="00941049"/>
    <w:rsid w:val="009A084A"/>
    <w:rsid w:val="009A51BD"/>
    <w:rsid w:val="009B454D"/>
    <w:rsid w:val="009C1C38"/>
    <w:rsid w:val="009C3EEA"/>
    <w:rsid w:val="009D00FF"/>
    <w:rsid w:val="009D30D1"/>
    <w:rsid w:val="009E532B"/>
    <w:rsid w:val="00A4028F"/>
    <w:rsid w:val="00B24835"/>
    <w:rsid w:val="00B53955"/>
    <w:rsid w:val="00C267B9"/>
    <w:rsid w:val="00CA6210"/>
    <w:rsid w:val="00CA6BAE"/>
    <w:rsid w:val="00CC0A4C"/>
    <w:rsid w:val="00CD2DB6"/>
    <w:rsid w:val="00E86CE5"/>
    <w:rsid w:val="00E95F28"/>
    <w:rsid w:val="00F5078D"/>
    <w:rsid w:val="00F62B44"/>
    <w:rsid w:val="00FB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E134A4"/>
  <w15:chartTrackingRefBased/>
  <w15:docId w15:val="{DC4FFD6E-FF3C-4CC0-8F6E-61513E05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A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A4C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8C2A7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3</Pages>
  <Words>487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Sapallanay Rashuaman, Percy Romario</dc:creator>
  <cp:keywords/>
  <dc:description/>
  <cp:lastModifiedBy>Sapallanay Rashuaman, Percy Romario</cp:lastModifiedBy>
  <cp:revision>7</cp:revision>
  <cp:lastPrinted>2025-05-12T19:06:00Z</cp:lastPrinted>
  <dcterms:created xsi:type="dcterms:W3CDTF">2025-05-02T21:30:00Z</dcterms:created>
  <dcterms:modified xsi:type="dcterms:W3CDTF">2025-05-12T19:09:00Z</dcterms:modified>
</cp:coreProperties>
</file>