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B247B" w14:textId="1EB9A321" w:rsidR="001311F0" w:rsidRPr="00473DEF" w:rsidRDefault="00473DEF" w:rsidP="00473DEF">
      <w:pPr>
        <w:spacing w:after="0" w:line="276" w:lineRule="auto"/>
        <w:ind w:left="-284"/>
        <w:rPr>
          <w:rFonts w:ascii="Arial" w:hAnsi="Arial" w:cs="Arial"/>
          <w:sz w:val="22"/>
          <w:szCs w:val="22"/>
        </w:rPr>
      </w:pPr>
      <w:r w:rsidRPr="00473DEF">
        <w:rPr>
          <w:rFonts w:ascii="Arial" w:hAnsi="Arial" w:cs="Arial"/>
          <w:sz w:val="22"/>
          <w:szCs w:val="22"/>
        </w:rPr>
        <w:t xml:space="preserve">Título: </w:t>
      </w:r>
      <w:r w:rsidR="001311F0" w:rsidRPr="00473DEF">
        <w:rPr>
          <w:rFonts w:ascii="Arial" w:hAnsi="Arial" w:cs="Arial"/>
          <w:sz w:val="22"/>
          <w:szCs w:val="22"/>
        </w:rPr>
        <w:t>Transformando Espinar: El camino hacia una minería responsable y sostenible</w:t>
      </w:r>
    </w:p>
    <w:p w14:paraId="7C53369B" w14:textId="486E0A62" w:rsidR="001311F0" w:rsidRPr="00473DEF" w:rsidRDefault="00473DEF" w:rsidP="00473DEF">
      <w:pPr>
        <w:spacing w:after="0" w:line="276" w:lineRule="auto"/>
        <w:ind w:left="-284"/>
        <w:rPr>
          <w:rFonts w:ascii="Arial" w:hAnsi="Arial" w:cs="Arial"/>
          <w:sz w:val="22"/>
          <w:szCs w:val="22"/>
        </w:rPr>
      </w:pPr>
      <w:r w:rsidRPr="00473DEF">
        <w:rPr>
          <w:rFonts w:ascii="Arial" w:hAnsi="Arial" w:cs="Arial"/>
          <w:sz w:val="22"/>
          <w:szCs w:val="22"/>
        </w:rPr>
        <w:t xml:space="preserve">Tema; </w:t>
      </w:r>
      <w:r w:rsidR="00C50215" w:rsidRPr="00473DEF">
        <w:rPr>
          <w:rFonts w:ascii="Arial" w:hAnsi="Arial" w:cs="Arial"/>
          <w:sz w:val="22"/>
          <w:szCs w:val="22"/>
        </w:rPr>
        <w:t>NUEVOS ENFOQUES DE RELACIONAMIENTO COMUNITARIO</w:t>
      </w:r>
    </w:p>
    <w:p w14:paraId="06FA6F9F" w14:textId="34C14596" w:rsidR="001311F0" w:rsidRPr="00473DEF" w:rsidRDefault="00473DEF" w:rsidP="00473DEF">
      <w:pPr>
        <w:spacing w:after="0" w:line="276" w:lineRule="auto"/>
        <w:ind w:left="-284"/>
        <w:rPr>
          <w:rFonts w:ascii="Arial" w:hAnsi="Arial" w:cs="Arial"/>
          <w:sz w:val="22"/>
          <w:szCs w:val="22"/>
        </w:rPr>
      </w:pPr>
      <w:r w:rsidRPr="00473DEF">
        <w:rPr>
          <w:rFonts w:ascii="Arial" w:hAnsi="Arial" w:cs="Arial"/>
          <w:sz w:val="22"/>
          <w:szCs w:val="22"/>
        </w:rPr>
        <w:t xml:space="preserve">Categoría: </w:t>
      </w:r>
      <w:r w:rsidR="001311F0" w:rsidRPr="00473DEF">
        <w:rPr>
          <w:rFonts w:ascii="Arial" w:hAnsi="Arial" w:cs="Arial"/>
          <w:sz w:val="22"/>
          <w:szCs w:val="22"/>
        </w:rPr>
        <w:t>ESG (</w:t>
      </w:r>
      <w:proofErr w:type="spellStart"/>
      <w:r w:rsidR="001311F0" w:rsidRPr="00473DEF">
        <w:rPr>
          <w:rFonts w:ascii="Arial" w:hAnsi="Arial" w:cs="Arial"/>
          <w:sz w:val="22"/>
          <w:szCs w:val="22"/>
        </w:rPr>
        <w:t>Environmental</w:t>
      </w:r>
      <w:proofErr w:type="spellEnd"/>
      <w:r w:rsidR="001311F0" w:rsidRPr="00473DEF">
        <w:rPr>
          <w:rFonts w:ascii="Arial" w:hAnsi="Arial" w:cs="Arial"/>
          <w:sz w:val="22"/>
          <w:szCs w:val="22"/>
        </w:rPr>
        <w:t xml:space="preserve">, Social, </w:t>
      </w:r>
      <w:proofErr w:type="spellStart"/>
      <w:r w:rsidR="001311F0" w:rsidRPr="00473DEF">
        <w:rPr>
          <w:rFonts w:ascii="Arial" w:hAnsi="Arial" w:cs="Arial"/>
          <w:sz w:val="22"/>
          <w:szCs w:val="22"/>
        </w:rPr>
        <w:t>Governance</w:t>
      </w:r>
      <w:proofErr w:type="spellEnd"/>
      <w:r w:rsidR="001311F0" w:rsidRPr="00473DEF">
        <w:rPr>
          <w:rFonts w:ascii="Arial" w:hAnsi="Arial" w:cs="Arial"/>
          <w:sz w:val="22"/>
          <w:szCs w:val="22"/>
        </w:rPr>
        <w:t>)</w:t>
      </w:r>
    </w:p>
    <w:p w14:paraId="3946BAFE" w14:textId="4D565132" w:rsidR="00E57D33" w:rsidRPr="00473DEF" w:rsidRDefault="001311F0" w:rsidP="00473DEF">
      <w:pPr>
        <w:spacing w:after="0" w:line="276" w:lineRule="auto"/>
        <w:ind w:left="-284"/>
        <w:rPr>
          <w:rFonts w:ascii="Arial" w:hAnsi="Arial" w:cs="Arial"/>
          <w:sz w:val="22"/>
          <w:szCs w:val="22"/>
        </w:rPr>
      </w:pPr>
      <w:r w:rsidRPr="00473DEF">
        <w:rPr>
          <w:rFonts w:ascii="Arial" w:hAnsi="Arial" w:cs="Arial"/>
          <w:sz w:val="22"/>
          <w:szCs w:val="22"/>
        </w:rPr>
        <w:t xml:space="preserve">Brenda </w:t>
      </w:r>
      <w:proofErr w:type="spellStart"/>
      <w:r w:rsidRPr="00473DEF">
        <w:rPr>
          <w:rFonts w:ascii="Arial" w:hAnsi="Arial" w:cs="Arial"/>
          <w:sz w:val="22"/>
          <w:szCs w:val="22"/>
        </w:rPr>
        <w:t>Josabet</w:t>
      </w:r>
      <w:proofErr w:type="spellEnd"/>
      <w:r w:rsidRPr="00473DEF">
        <w:rPr>
          <w:rFonts w:ascii="Arial" w:hAnsi="Arial" w:cs="Arial"/>
          <w:sz w:val="22"/>
          <w:szCs w:val="22"/>
        </w:rPr>
        <w:t xml:space="preserve"> Quispe Pezo                                </w:t>
      </w:r>
      <w:r w:rsidR="00BB6E1F" w:rsidRPr="00473DEF">
        <w:rPr>
          <w:rFonts w:ascii="Arial" w:hAnsi="Arial" w:cs="Arial"/>
          <w:sz w:val="22"/>
          <w:szCs w:val="22"/>
        </w:rPr>
        <w:t xml:space="preserve">    </w:t>
      </w:r>
      <w:r w:rsidRPr="00473DEF">
        <w:rPr>
          <w:rFonts w:ascii="Arial" w:hAnsi="Arial" w:cs="Arial"/>
          <w:sz w:val="22"/>
          <w:szCs w:val="22"/>
        </w:rPr>
        <w:t xml:space="preserve"> </w:t>
      </w:r>
    </w:p>
    <w:p w14:paraId="7822AFF5" w14:textId="5352F5C0" w:rsidR="001311F0" w:rsidRPr="00473DEF" w:rsidRDefault="001311F0" w:rsidP="00473DEF">
      <w:pPr>
        <w:spacing w:after="0" w:line="276" w:lineRule="auto"/>
        <w:ind w:left="-284"/>
        <w:rPr>
          <w:rFonts w:ascii="Arial" w:hAnsi="Arial" w:cs="Arial"/>
          <w:sz w:val="22"/>
          <w:szCs w:val="22"/>
        </w:rPr>
      </w:pPr>
      <w:r w:rsidRPr="00473DEF">
        <w:rPr>
          <w:rFonts w:ascii="Arial" w:hAnsi="Arial" w:cs="Arial"/>
          <w:sz w:val="22"/>
          <w:szCs w:val="22"/>
        </w:rPr>
        <w:t xml:space="preserve">Becaria BRIMM </w:t>
      </w:r>
      <w:r w:rsidR="00BB6E1F" w:rsidRPr="00473DEF">
        <w:rPr>
          <w:rFonts w:ascii="Arial" w:hAnsi="Arial" w:cs="Arial"/>
          <w:sz w:val="22"/>
          <w:szCs w:val="22"/>
        </w:rPr>
        <w:t xml:space="preserve">  </w:t>
      </w:r>
      <w:r w:rsidRPr="00473DEF">
        <w:rPr>
          <w:rFonts w:ascii="Arial" w:hAnsi="Arial" w:cs="Arial"/>
          <w:sz w:val="22"/>
          <w:szCs w:val="22"/>
        </w:rPr>
        <w:t xml:space="preserve">                           </w:t>
      </w:r>
      <w:r w:rsidR="00BB6E1F" w:rsidRPr="00473DEF">
        <w:rPr>
          <w:rFonts w:ascii="Arial" w:hAnsi="Arial" w:cs="Arial"/>
          <w:sz w:val="22"/>
          <w:szCs w:val="22"/>
        </w:rPr>
        <w:t xml:space="preserve">  </w:t>
      </w:r>
      <w:r w:rsidRPr="00473DEF">
        <w:rPr>
          <w:rFonts w:ascii="Arial" w:hAnsi="Arial" w:cs="Arial"/>
          <w:sz w:val="22"/>
          <w:szCs w:val="22"/>
        </w:rPr>
        <w:t xml:space="preserve">                                   </w:t>
      </w:r>
    </w:p>
    <w:p w14:paraId="4EDFDB14" w14:textId="16EE9C5C" w:rsidR="001311F0" w:rsidRPr="00473DEF" w:rsidRDefault="001311F0" w:rsidP="00473DEF">
      <w:pPr>
        <w:spacing w:after="0" w:line="276" w:lineRule="auto"/>
        <w:ind w:left="-284"/>
        <w:rPr>
          <w:rFonts w:ascii="Arial" w:hAnsi="Arial" w:cs="Arial"/>
          <w:sz w:val="22"/>
          <w:szCs w:val="22"/>
        </w:rPr>
      </w:pPr>
      <w:hyperlink r:id="rId8" w:history="1">
        <w:r w:rsidRPr="00473DEF">
          <w:rPr>
            <w:rStyle w:val="Hipervnculo"/>
            <w:rFonts w:ascii="Arial" w:hAnsi="Arial" w:cs="Arial"/>
            <w:sz w:val="22"/>
            <w:szCs w:val="22"/>
          </w:rPr>
          <w:t>brendajosabet.quispe@unmsm.edu.pe</w:t>
        </w:r>
      </w:hyperlink>
      <w:r w:rsidRPr="00473DEF">
        <w:rPr>
          <w:rFonts w:ascii="Arial" w:hAnsi="Arial" w:cs="Arial"/>
          <w:sz w:val="22"/>
          <w:szCs w:val="22"/>
        </w:rPr>
        <w:t xml:space="preserve">          </w:t>
      </w:r>
      <w:r w:rsidR="00BB6E1F" w:rsidRPr="00473DEF">
        <w:rPr>
          <w:rFonts w:ascii="Arial" w:hAnsi="Arial" w:cs="Arial"/>
          <w:sz w:val="22"/>
          <w:szCs w:val="22"/>
        </w:rPr>
        <w:t xml:space="preserve">    </w:t>
      </w:r>
      <w:r w:rsidRPr="00473DEF">
        <w:rPr>
          <w:rFonts w:ascii="Arial" w:hAnsi="Arial" w:cs="Arial"/>
          <w:sz w:val="22"/>
          <w:szCs w:val="22"/>
        </w:rPr>
        <w:t xml:space="preserve">      </w:t>
      </w:r>
    </w:p>
    <w:p w14:paraId="55C98A4A" w14:textId="078AB19F" w:rsidR="00BB6E1F" w:rsidRPr="00473DEF" w:rsidRDefault="00BB6E1F" w:rsidP="00473DEF">
      <w:pPr>
        <w:spacing w:after="0" w:line="276" w:lineRule="auto"/>
        <w:ind w:left="-284"/>
        <w:rPr>
          <w:rFonts w:ascii="Arial" w:hAnsi="Arial" w:cs="Arial"/>
          <w:sz w:val="22"/>
          <w:szCs w:val="22"/>
        </w:rPr>
      </w:pPr>
      <w:r w:rsidRPr="00473DEF">
        <w:rPr>
          <w:rFonts w:ascii="Arial" w:hAnsi="Arial" w:cs="Arial"/>
          <w:sz w:val="22"/>
          <w:szCs w:val="22"/>
        </w:rPr>
        <w:t xml:space="preserve">+51 923 839 370                                                                </w:t>
      </w:r>
    </w:p>
    <w:p w14:paraId="587544A3" w14:textId="25D707F2" w:rsidR="00473DEF" w:rsidRPr="00473DEF" w:rsidRDefault="00473DEF" w:rsidP="00473DEF">
      <w:pPr>
        <w:spacing w:after="0" w:line="276" w:lineRule="auto"/>
        <w:ind w:hanging="284"/>
        <w:rPr>
          <w:rFonts w:ascii="Arial" w:hAnsi="Arial" w:cs="Arial"/>
          <w:sz w:val="22"/>
          <w:szCs w:val="22"/>
        </w:rPr>
      </w:pPr>
      <w:proofErr w:type="spellStart"/>
      <w:r w:rsidRPr="00473DEF">
        <w:rPr>
          <w:rFonts w:ascii="Arial" w:hAnsi="Arial" w:cs="Arial"/>
          <w:sz w:val="22"/>
          <w:szCs w:val="22"/>
        </w:rPr>
        <w:t>Angel</w:t>
      </w:r>
      <w:proofErr w:type="spellEnd"/>
      <w:r w:rsidRPr="00473DEF">
        <w:rPr>
          <w:rFonts w:ascii="Arial" w:hAnsi="Arial" w:cs="Arial"/>
          <w:sz w:val="22"/>
          <w:szCs w:val="22"/>
        </w:rPr>
        <w:t xml:space="preserve"> Eduardo Guerra </w:t>
      </w:r>
      <w:proofErr w:type="spellStart"/>
      <w:r w:rsidRPr="00473DEF">
        <w:rPr>
          <w:rFonts w:ascii="Arial" w:hAnsi="Arial" w:cs="Arial"/>
          <w:sz w:val="22"/>
          <w:szCs w:val="22"/>
        </w:rPr>
        <w:t>Neciosup</w:t>
      </w:r>
      <w:proofErr w:type="spellEnd"/>
    </w:p>
    <w:p w14:paraId="1BF99CE0" w14:textId="5204072E" w:rsidR="00473DEF" w:rsidRPr="00473DEF" w:rsidRDefault="00473DEF" w:rsidP="00473DEF">
      <w:pPr>
        <w:spacing w:after="0" w:line="276" w:lineRule="auto"/>
        <w:ind w:hanging="284"/>
        <w:rPr>
          <w:rFonts w:ascii="Arial" w:hAnsi="Arial" w:cs="Arial"/>
          <w:sz w:val="22"/>
          <w:szCs w:val="22"/>
        </w:rPr>
      </w:pPr>
      <w:r w:rsidRPr="00473DEF">
        <w:rPr>
          <w:rFonts w:ascii="Arial" w:hAnsi="Arial" w:cs="Arial"/>
          <w:sz w:val="22"/>
          <w:szCs w:val="22"/>
        </w:rPr>
        <w:t>Becario BRIMM</w:t>
      </w:r>
    </w:p>
    <w:p w14:paraId="736132B4" w14:textId="72E315A7" w:rsidR="00473DEF" w:rsidRPr="00473DEF" w:rsidRDefault="00473DEF" w:rsidP="00473DEF">
      <w:pPr>
        <w:spacing w:after="0" w:line="276" w:lineRule="auto"/>
        <w:ind w:hanging="284"/>
        <w:rPr>
          <w:rFonts w:ascii="Arial" w:hAnsi="Arial" w:cs="Arial"/>
          <w:sz w:val="22"/>
          <w:szCs w:val="22"/>
        </w:rPr>
      </w:pPr>
      <w:hyperlink r:id="rId9" w:history="1">
        <w:r w:rsidRPr="00473DEF">
          <w:rPr>
            <w:rStyle w:val="Hipervnculo"/>
            <w:rFonts w:ascii="Arial" w:hAnsi="Arial" w:cs="Arial"/>
            <w:sz w:val="22"/>
            <w:szCs w:val="22"/>
          </w:rPr>
          <w:t>angeleduardo.guerra@unmsm.edu.pe</w:t>
        </w:r>
      </w:hyperlink>
    </w:p>
    <w:p w14:paraId="40B813B3" w14:textId="70D87FC8" w:rsidR="00473DEF" w:rsidRPr="00473DEF" w:rsidRDefault="00473DEF" w:rsidP="00473DEF">
      <w:pPr>
        <w:spacing w:after="0" w:line="276" w:lineRule="auto"/>
        <w:ind w:hanging="284"/>
        <w:rPr>
          <w:rFonts w:ascii="Arial" w:hAnsi="Arial" w:cs="Arial"/>
          <w:sz w:val="22"/>
          <w:szCs w:val="22"/>
        </w:rPr>
      </w:pPr>
      <w:r w:rsidRPr="00473DEF">
        <w:rPr>
          <w:rFonts w:ascii="Arial" w:hAnsi="Arial" w:cs="Arial"/>
          <w:sz w:val="22"/>
          <w:szCs w:val="22"/>
        </w:rPr>
        <w:t>+51 982948933</w:t>
      </w:r>
    </w:p>
    <w:p w14:paraId="0BF6B1A2" w14:textId="047EDFD5" w:rsidR="00473DEF" w:rsidRPr="00473DEF" w:rsidRDefault="00473DEF" w:rsidP="00473DEF">
      <w:pPr>
        <w:spacing w:after="0" w:line="276" w:lineRule="auto"/>
        <w:ind w:left="-284"/>
        <w:rPr>
          <w:rFonts w:ascii="Arial" w:hAnsi="Arial" w:cs="Arial"/>
          <w:sz w:val="22"/>
          <w:szCs w:val="22"/>
        </w:rPr>
      </w:pPr>
      <w:r w:rsidRPr="00473DEF">
        <w:rPr>
          <w:rFonts w:ascii="Arial" w:hAnsi="Arial" w:cs="Arial"/>
          <w:sz w:val="22"/>
          <w:szCs w:val="22"/>
        </w:rPr>
        <w:t>Palabras claves: Minería responsable, desarrollo sostenible, Espinar, Antapaccay, Relaciones comunitarias-minería y sostenibilidad social.</w:t>
      </w:r>
    </w:p>
    <w:p w14:paraId="04FCCDD7" w14:textId="77777777" w:rsidR="00BB6E1F" w:rsidRPr="00BB6E1F" w:rsidRDefault="00BB6E1F" w:rsidP="00BB6E1F">
      <w:pPr>
        <w:spacing w:after="0" w:line="240" w:lineRule="auto"/>
        <w:jc w:val="center"/>
        <w:rPr>
          <w:rFonts w:ascii="Arial" w:hAnsi="Arial" w:cs="Arial"/>
          <w:sz w:val="22"/>
          <w:szCs w:val="22"/>
        </w:rPr>
      </w:pPr>
    </w:p>
    <w:p w14:paraId="2237F4CD" w14:textId="20D83FA7" w:rsidR="00BB6E1F" w:rsidRDefault="00BB6E1F" w:rsidP="00BB6E1F">
      <w:pPr>
        <w:pStyle w:val="Prrafodelista"/>
        <w:numPr>
          <w:ilvl w:val="0"/>
          <w:numId w:val="1"/>
        </w:numPr>
        <w:spacing w:after="0" w:line="240" w:lineRule="auto"/>
        <w:ind w:left="-142" w:hanging="284"/>
        <w:rPr>
          <w:rFonts w:ascii="Arial" w:hAnsi="Arial" w:cs="Arial"/>
          <w:b/>
          <w:bCs/>
          <w:sz w:val="22"/>
          <w:szCs w:val="22"/>
        </w:rPr>
      </w:pPr>
      <w:r w:rsidRPr="00BB6E1F">
        <w:rPr>
          <w:rFonts w:ascii="Arial" w:hAnsi="Arial" w:cs="Arial"/>
          <w:b/>
          <w:bCs/>
          <w:sz w:val="22"/>
          <w:szCs w:val="22"/>
        </w:rPr>
        <w:t>CONTEXTO DEL TRABAJO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5DD58C80" w14:textId="77777777" w:rsidR="00BB6E1F" w:rsidRPr="00BB6E1F" w:rsidRDefault="00BB6E1F" w:rsidP="005865F7">
      <w:pPr>
        <w:spacing w:before="100" w:beforeAutospacing="1" w:after="100" w:afterAutospacing="1" w:line="360" w:lineRule="auto"/>
        <w:ind w:left="-142" w:right="-660"/>
        <w:jc w:val="both"/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</w:pPr>
      <w:r w:rsidRPr="00BB6E1F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La minería, en particular en el contexto peruano, ha sido vista históricamente como un motor de desarrollo económico, pero también como una fuente de conflicto y desconfianza entre las comunidades y las empresas mineras. Espinar, ubicado en la región de Cusco, es un claro ejemplo de este fenómeno. El distrito es hogar de poblaciones quechuas, como los Chumbivilcas y Ccollana, cuyos habitantes han sido testigos de cómo la actividad minera ha transformado sus tierras, pero sin que estos cambios siempre se traduzcan en mejoras tangibles para la comunidad.</w:t>
      </w:r>
    </w:p>
    <w:p w14:paraId="32AB9CF9" w14:textId="77777777" w:rsidR="00BB6E1F" w:rsidRPr="00BB6E1F" w:rsidRDefault="00BB6E1F" w:rsidP="005865F7">
      <w:pPr>
        <w:spacing w:before="100" w:beforeAutospacing="1" w:after="100" w:afterAutospacing="1" w:line="360" w:lineRule="auto"/>
        <w:ind w:left="-142" w:right="-660"/>
        <w:jc w:val="both"/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</w:pPr>
      <w:r w:rsidRPr="00BB6E1F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La mina Antapaccay, que opera en la zona, se enfrenta a desafíos significativos en términos de aceptación social. A pesar de la generación de empleo y los ingresos derivados de la minería, muchos de los pobladores sienten que los beneficios no se distribuyen equitativamente. La desconfianza histórica, alimentada por experiencias pasadas de relaciones tensas y falta de transparencia, ha sido un obstáculo importante para el desarrollo de proyectos que promuevan el bienestar común.</w:t>
      </w:r>
    </w:p>
    <w:p w14:paraId="6E223EEE" w14:textId="0A512570" w:rsidR="00BB6E1F" w:rsidRDefault="00BB6E1F" w:rsidP="005865F7">
      <w:pPr>
        <w:spacing w:before="100" w:beforeAutospacing="1" w:after="100" w:afterAutospacing="1" w:line="360" w:lineRule="auto"/>
        <w:ind w:left="-142" w:right="-660"/>
        <w:jc w:val="both"/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</w:pPr>
      <w:r w:rsidRPr="00BB6E1F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Este trabajo se enfoca en cómo la minería responsable, basada en los principios de sostenibilidad y respeto por las comunidades, puede transformar las relaciones en Espinar y convertir la minería en un motor de desarrollo social. Se busca mostrar que, cuando se establece una verdadera colaboración y una transparencia en los procesos, tanto la empresa minera como la comunidad pueden prosperar de manera conjunta.</w:t>
      </w:r>
    </w:p>
    <w:p w14:paraId="2A49994D" w14:textId="5A781463" w:rsidR="00C92CFF" w:rsidRPr="00C92CFF" w:rsidRDefault="00C92CFF" w:rsidP="00C92CFF">
      <w:pPr>
        <w:pStyle w:val="Prrafodelista"/>
        <w:numPr>
          <w:ilvl w:val="0"/>
          <w:numId w:val="1"/>
        </w:numPr>
        <w:spacing w:after="0" w:line="240" w:lineRule="auto"/>
        <w:ind w:left="-142" w:hanging="284"/>
        <w:rPr>
          <w:rFonts w:ascii="Arial" w:eastAsia="Times New Roman" w:hAnsi="Arial" w:cs="Arial"/>
          <w:b/>
          <w:bCs/>
          <w:kern w:val="0"/>
          <w:sz w:val="22"/>
          <w:szCs w:val="22"/>
          <w:lang w:eastAsia="es-PE"/>
          <w14:ligatures w14:val="none"/>
        </w:rPr>
      </w:pPr>
      <w:r w:rsidRPr="00C92CFF">
        <w:rPr>
          <w:rFonts w:ascii="Arial" w:hAnsi="Arial" w:cs="Arial"/>
          <w:b/>
          <w:bCs/>
          <w:sz w:val="22"/>
          <w:szCs w:val="22"/>
        </w:rPr>
        <w:t>OBJETIVO DEL TRABAJO:</w:t>
      </w:r>
    </w:p>
    <w:p w14:paraId="71552025" w14:textId="6345BD67" w:rsidR="00C92CFF" w:rsidRDefault="00C92CFF" w:rsidP="005865F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</w:pPr>
      <w:r w:rsidRPr="00C92CFF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lastRenderedPageBreak/>
        <w:t>El objetivo principal de este trabajo es proponer una solución integral que permita mejorar la percepción comunitaria de la minería en Espinar, promoviendo el desarrollo sostenible, la inclusión social y la estabilidad laboral. Esto se logrará mediante la implementación de proyectos que prioricen la infraestructura básica, la capacitación laboral, y el fortalecimiento de la confianza entre la empresa minera y la comunidad.</w:t>
      </w:r>
    </w:p>
    <w:p w14:paraId="25558335" w14:textId="653D6915" w:rsidR="00C92CFF" w:rsidRPr="00C92CFF" w:rsidRDefault="00C92CFF" w:rsidP="00C92CFF">
      <w:pPr>
        <w:pStyle w:val="Prrafodelista"/>
        <w:numPr>
          <w:ilvl w:val="0"/>
          <w:numId w:val="1"/>
        </w:numPr>
        <w:spacing w:after="0" w:line="240" w:lineRule="auto"/>
        <w:ind w:left="-142" w:hanging="284"/>
        <w:rPr>
          <w:rFonts w:ascii="Arial" w:eastAsia="Times New Roman" w:hAnsi="Arial" w:cs="Arial"/>
          <w:b/>
          <w:bCs/>
          <w:kern w:val="0"/>
          <w:sz w:val="22"/>
          <w:szCs w:val="22"/>
          <w:lang w:eastAsia="es-PE"/>
          <w14:ligatures w14:val="none"/>
        </w:rPr>
      </w:pPr>
      <w:r>
        <w:rPr>
          <w:rFonts w:ascii="Arial" w:hAnsi="Arial" w:cs="Arial"/>
          <w:b/>
          <w:bCs/>
          <w:sz w:val="22"/>
          <w:szCs w:val="22"/>
        </w:rPr>
        <w:t>METODOLO</w:t>
      </w:r>
      <w:r w:rsidRPr="00C92CFF">
        <w:rPr>
          <w:rFonts w:ascii="Arial" w:hAnsi="Arial" w:cs="Arial"/>
          <w:b/>
          <w:bCs/>
          <w:sz w:val="22"/>
          <w:szCs w:val="22"/>
        </w:rPr>
        <w:t>GÍA DEL TRABAJO:</w:t>
      </w:r>
    </w:p>
    <w:p w14:paraId="0559250E" w14:textId="2CC4E50E" w:rsidR="00C92CFF" w:rsidRDefault="00C92CFF" w:rsidP="005865F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</w:pPr>
      <w:r w:rsidRPr="00C92CFF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La metodología empleada en este estudio se basa en un enfoque participativo y de consulta comunitaria. Se realizaron mesas de trabajo con la población local, utilizando encuestas en quechua y español, para identificar las necesidades reales y las áreas de mejora. A partir de estas consultas, se diseñaron proyectos de infraestructura y generación de empleo, los cuales serán monitoreados y ajustados periódicamente con el objetivo de lograr una percepción positiva en la comunidad</w:t>
      </w:r>
    </w:p>
    <w:p w14:paraId="23C1D8C3" w14:textId="1A462285" w:rsidR="00C92CFF" w:rsidRPr="00C92CFF" w:rsidRDefault="00C92CFF" w:rsidP="00C92CFF">
      <w:pPr>
        <w:pStyle w:val="Prrafodelista"/>
        <w:numPr>
          <w:ilvl w:val="0"/>
          <w:numId w:val="1"/>
        </w:numPr>
        <w:spacing w:after="0" w:line="240" w:lineRule="auto"/>
        <w:ind w:left="-142" w:hanging="284"/>
        <w:rPr>
          <w:rFonts w:ascii="Arial" w:eastAsia="Times New Roman" w:hAnsi="Arial" w:cs="Arial"/>
          <w:b/>
          <w:bCs/>
          <w:kern w:val="0"/>
          <w:sz w:val="22"/>
          <w:szCs w:val="22"/>
          <w:lang w:eastAsia="es-PE"/>
          <w14:ligatures w14:val="none"/>
        </w:rPr>
      </w:pPr>
      <w:r w:rsidRPr="00C92CFF">
        <w:rPr>
          <w:rFonts w:ascii="Arial" w:hAnsi="Arial" w:cs="Arial"/>
          <w:b/>
          <w:bCs/>
          <w:sz w:val="22"/>
          <w:szCs w:val="22"/>
        </w:rPr>
        <w:t>RESULTADOS:</w:t>
      </w:r>
    </w:p>
    <w:p w14:paraId="034205A9" w14:textId="2B75222B" w:rsidR="00C92CFF" w:rsidRDefault="00C92CFF" w:rsidP="005865F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</w:pPr>
      <w:r w:rsidRPr="00C92CFF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Se logró identificar una serie de proyectos clave que responden a las necesidades de la comunidad, tales como la mejora de la infraestructura de agua potable y caminos, así como la creación de más de 2,000 empleos directos e indirectos, lo cual contribuyó significativamente a la reducción de la desconfianza y el aumento de la percepción positiva de la minería. La implementación de estos proyectos resultó en una mejora del 40% en la percepción comunitaria hacia la minería en el primer año, lo cual es un indicativo de que la participación activa y la transparencia son cruciales para el éxito a largo plazo.</w:t>
      </w:r>
    </w:p>
    <w:p w14:paraId="538AF4ED" w14:textId="46FAFF0C" w:rsidR="00C92CFF" w:rsidRPr="00C92CFF" w:rsidRDefault="00C92CFF" w:rsidP="00C92CFF">
      <w:pPr>
        <w:pStyle w:val="Prrafodelista"/>
        <w:numPr>
          <w:ilvl w:val="0"/>
          <w:numId w:val="1"/>
        </w:numPr>
        <w:spacing w:after="0" w:line="240" w:lineRule="auto"/>
        <w:ind w:left="-142" w:hanging="284"/>
        <w:rPr>
          <w:rFonts w:ascii="Arial" w:eastAsia="Times New Roman" w:hAnsi="Arial" w:cs="Arial"/>
          <w:b/>
          <w:bCs/>
          <w:kern w:val="0"/>
          <w:sz w:val="22"/>
          <w:szCs w:val="22"/>
          <w:lang w:eastAsia="es-PE"/>
          <w14:ligatures w14:val="none"/>
        </w:rPr>
      </w:pPr>
      <w:r w:rsidRPr="00C92CFF">
        <w:rPr>
          <w:rFonts w:ascii="Arial" w:hAnsi="Arial" w:cs="Arial"/>
          <w:b/>
          <w:bCs/>
          <w:sz w:val="22"/>
          <w:szCs w:val="22"/>
        </w:rPr>
        <w:t>RESULTADOS:</w:t>
      </w:r>
    </w:p>
    <w:p w14:paraId="04645276" w14:textId="61DC1D2C" w:rsidR="00BB6E1F" w:rsidRDefault="00C92CFF" w:rsidP="005865F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</w:pPr>
      <w:r w:rsidRPr="00C92CFF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La experiencia en Espinar demuestra que una minería responsable no solo se basa en el cumplimiento de normas medioambientales, sino también en el fortalecimiento de relaciones sociales y el respeto a las culturas locales. Las recomendaciones clave incluyen la necesidad de mantener consultas continuas con la comunidad, asegurar que los beneficios de la minería sean tangibles y directamente percibidos por la población, y continuar con los proyectos de infraestructura que contribuyan al bienestar a largo plazo.</w:t>
      </w:r>
    </w:p>
    <w:p w14:paraId="268CF2DC" w14:textId="442B8ADF" w:rsidR="00C92CFF" w:rsidRDefault="00C92CFF" w:rsidP="005865F7">
      <w:pPr>
        <w:pStyle w:val="Prrafodelista"/>
        <w:numPr>
          <w:ilvl w:val="0"/>
          <w:numId w:val="1"/>
        </w:numPr>
        <w:spacing w:after="0" w:line="360" w:lineRule="auto"/>
        <w:ind w:left="-142" w:hanging="284"/>
        <w:rPr>
          <w:rFonts w:ascii="Arial" w:hAnsi="Arial" w:cs="Arial"/>
          <w:b/>
          <w:bCs/>
          <w:sz w:val="22"/>
          <w:szCs w:val="22"/>
        </w:rPr>
      </w:pPr>
      <w:r w:rsidRPr="00C92CFF">
        <w:rPr>
          <w:rFonts w:ascii="Arial" w:hAnsi="Arial" w:cs="Arial"/>
          <w:b/>
          <w:bCs/>
          <w:sz w:val="22"/>
          <w:szCs w:val="22"/>
        </w:rPr>
        <w:t>RESEÑA PROFESIONAL:</w:t>
      </w:r>
    </w:p>
    <w:p w14:paraId="7AA4052C" w14:textId="34518E48" w:rsidR="00C92CFF" w:rsidRDefault="00C92CFF" w:rsidP="005865F7">
      <w:pPr>
        <w:pStyle w:val="Prrafodelista"/>
        <w:spacing w:after="0" w:line="360" w:lineRule="auto"/>
        <w:ind w:left="-142"/>
        <w:jc w:val="both"/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</w:pPr>
      <w:r w:rsidRPr="005865F7">
        <w:rPr>
          <w:rFonts w:ascii="Arial" w:hAnsi="Arial" w:cs="Arial"/>
          <w:b/>
          <w:bCs/>
          <w:sz w:val="16"/>
          <w:szCs w:val="16"/>
        </w:rPr>
        <w:t xml:space="preserve">AUTORA: </w:t>
      </w:r>
      <w:r w:rsidR="005865F7" w:rsidRPr="005865F7"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  <w:t xml:space="preserve">Brenda </w:t>
      </w:r>
      <w:proofErr w:type="spellStart"/>
      <w:r w:rsidR="005865F7" w:rsidRPr="005865F7"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  <w:t>Josabet</w:t>
      </w:r>
      <w:proofErr w:type="spellEnd"/>
      <w:r w:rsidR="005865F7" w:rsidRPr="005865F7"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  <w:t xml:space="preserve"> Quispe Pezo, ingeniera de minas y becaria del programa BRIMM, actualmente especialista en sostenibilidad en minería. Secretaria del capítulo estudiantil de la Sociedad de Minería, Metalurgia y Exploración (SME) en la </w:t>
      </w:r>
      <w:r w:rsidR="005865F7" w:rsidRPr="005865F7"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  <w:lastRenderedPageBreak/>
        <w:t>Universidad Nacional Mayor de San Marcos, donde lidera proyectos orientados al desarrollo sostenible y la integración de las comunidades locales con la minería.</w:t>
      </w:r>
    </w:p>
    <w:p w14:paraId="42D3B584" w14:textId="77777777" w:rsidR="005865F7" w:rsidRPr="005865F7" w:rsidRDefault="005865F7" w:rsidP="005865F7">
      <w:pPr>
        <w:pStyle w:val="Prrafodelista"/>
        <w:spacing w:after="0" w:line="360" w:lineRule="auto"/>
        <w:ind w:left="-142"/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</w:pPr>
    </w:p>
    <w:p w14:paraId="5EB00B77" w14:textId="12846CF8" w:rsidR="005865F7" w:rsidRPr="005865F7" w:rsidRDefault="005865F7" w:rsidP="005865F7">
      <w:pPr>
        <w:pStyle w:val="Prrafodelista"/>
        <w:spacing w:after="0" w:line="360" w:lineRule="auto"/>
        <w:ind w:left="-142"/>
        <w:jc w:val="both"/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</w:pPr>
      <w:r w:rsidRPr="005865F7">
        <w:rPr>
          <w:rFonts w:ascii="Arial" w:hAnsi="Arial" w:cs="Arial"/>
          <w:b/>
          <w:bCs/>
          <w:sz w:val="16"/>
          <w:szCs w:val="16"/>
        </w:rPr>
        <w:t>COAUTOR:</w:t>
      </w:r>
      <w:r w:rsidRPr="005865F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865F7"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  <w:t>Angel</w:t>
      </w:r>
      <w:proofErr w:type="spellEnd"/>
      <w:r w:rsidRPr="005865F7"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  <w:t xml:space="preserve"> Eduardo Guerra </w:t>
      </w:r>
      <w:proofErr w:type="spellStart"/>
      <w:r w:rsidRPr="005865F7"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  <w:t>Neciosup</w:t>
      </w:r>
      <w:proofErr w:type="spellEnd"/>
      <w:r w:rsidRPr="005865F7"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  <w:t>, Ingeniero de Sistemas Integrados de Gestión en Unión de Concreteras S.A. Me especializo en la implementación y mejora de sistemas de gestión enfocados en la seguridad, calidad y sostenibilidad en la industria minera. Mi enfoque se centra en optimizar los procesos operativos y garantizar el cumplimiento de estándares internacionales, contribuyendo al desarrollo eficiente y responsable del sector.</w:t>
      </w:r>
    </w:p>
    <w:sectPr w:rsidR="005865F7" w:rsidRPr="005865F7" w:rsidSect="00011A0C">
      <w:pgSz w:w="12240" w:h="15840"/>
      <w:pgMar w:top="1417" w:right="1701" w:bottom="1417" w:left="1701" w:header="708" w:footer="708" w:gutter="0"/>
      <w:pgBorders w:offsetFrom="page">
        <w:left w:val="single" w:sz="18" w:space="24" w:color="002060"/>
        <w:right w:val="single" w:sz="18" w:space="24" w:color="00206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24C59" w14:textId="77777777" w:rsidR="00AB4926" w:rsidRDefault="00AB4926" w:rsidP="00473DEF">
      <w:pPr>
        <w:spacing w:after="0" w:line="240" w:lineRule="auto"/>
      </w:pPr>
      <w:r>
        <w:separator/>
      </w:r>
    </w:p>
  </w:endnote>
  <w:endnote w:type="continuationSeparator" w:id="0">
    <w:p w14:paraId="1B42609F" w14:textId="77777777" w:rsidR="00AB4926" w:rsidRDefault="00AB4926" w:rsidP="00473D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DBCF4" w14:textId="77777777" w:rsidR="00AB4926" w:rsidRDefault="00AB4926" w:rsidP="00473DEF">
      <w:pPr>
        <w:spacing w:after="0" w:line="240" w:lineRule="auto"/>
      </w:pPr>
      <w:r>
        <w:separator/>
      </w:r>
    </w:p>
  </w:footnote>
  <w:footnote w:type="continuationSeparator" w:id="0">
    <w:p w14:paraId="0E6054E1" w14:textId="77777777" w:rsidR="00AB4926" w:rsidRDefault="00AB4926" w:rsidP="00473D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C765B6"/>
    <w:multiLevelType w:val="hybridMultilevel"/>
    <w:tmpl w:val="A05C5FDA"/>
    <w:lvl w:ilvl="0" w:tplc="2BAE2B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3407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1F0"/>
    <w:rsid w:val="00011A0C"/>
    <w:rsid w:val="001311F0"/>
    <w:rsid w:val="00473DEF"/>
    <w:rsid w:val="005865F7"/>
    <w:rsid w:val="009416DF"/>
    <w:rsid w:val="00A1373E"/>
    <w:rsid w:val="00AB4926"/>
    <w:rsid w:val="00AD5CDF"/>
    <w:rsid w:val="00BB6E1F"/>
    <w:rsid w:val="00C21971"/>
    <w:rsid w:val="00C50215"/>
    <w:rsid w:val="00C92CFF"/>
    <w:rsid w:val="00E5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A8F4A6"/>
  <w15:chartTrackingRefBased/>
  <w15:docId w15:val="{7984BE24-69FC-463B-8A88-C7133E889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1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1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1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1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1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1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1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1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1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1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1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1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11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11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11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11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11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11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1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1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1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1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1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11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11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11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1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11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11F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311F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11F0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473D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73DEF"/>
  </w:style>
  <w:style w:type="paragraph" w:styleId="Piedepgina">
    <w:name w:val="footer"/>
    <w:basedOn w:val="Normal"/>
    <w:link w:val="PiedepginaCar"/>
    <w:uiPriority w:val="99"/>
    <w:unhideWhenUsed/>
    <w:rsid w:val="00473D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3D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6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rendajosabet.quispe@unmsm.edu.p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angeleduardo.guerra@unmsm.edu.p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29FDB-4700-4E9C-AA58-319FA8643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808</Words>
  <Characters>4448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EDUARDO GUERRA NECIOSUP</dc:creator>
  <cp:keywords/>
  <dc:description/>
  <cp:lastModifiedBy>Carla Bustamante</cp:lastModifiedBy>
  <cp:revision>3</cp:revision>
  <cp:lastPrinted>2025-04-21T22:46:00Z</cp:lastPrinted>
  <dcterms:created xsi:type="dcterms:W3CDTF">2025-04-21T21:56:00Z</dcterms:created>
  <dcterms:modified xsi:type="dcterms:W3CDTF">2025-04-22T02:35:00Z</dcterms:modified>
</cp:coreProperties>
</file>