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2D7B" w14:textId="75864D60" w:rsidR="00B26F7D" w:rsidRDefault="00B26F7D" w:rsidP="00DC0941">
      <w:pPr>
        <w:spacing w:line="360" w:lineRule="auto"/>
        <w:jc w:val="both"/>
        <w:rPr>
          <w:rFonts w:ascii="Arial" w:hAnsi="Arial" w:cs="Arial"/>
          <w:b/>
          <w:bCs/>
        </w:rPr>
      </w:pPr>
      <w:r w:rsidRPr="00B26F7D">
        <w:rPr>
          <w:rFonts w:ascii="Arial" w:hAnsi="Arial" w:cs="Arial"/>
          <w:b/>
          <w:bCs/>
        </w:rPr>
        <w:t>Resumen Técnico</w:t>
      </w:r>
    </w:p>
    <w:p w14:paraId="61DB6139" w14:textId="354AE2FA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Título:</w:t>
      </w:r>
      <w:r w:rsidR="00500550">
        <w:rPr>
          <w:rFonts w:ascii="Arial" w:hAnsi="Arial" w:cs="Arial"/>
          <w:b/>
          <w:bCs/>
        </w:rPr>
        <w:t xml:space="preserve"> </w:t>
      </w:r>
      <w:r w:rsidR="004578C5" w:rsidRPr="004578C5">
        <w:rPr>
          <w:rFonts w:ascii="Arial" w:hAnsi="Arial" w:cs="Arial"/>
        </w:rPr>
        <w:t>Indicadores agregados de intensidad, inestabilidad y capacidad de gestión de los conflictos sociales</w:t>
      </w:r>
      <w:r w:rsidR="004578C5">
        <w:rPr>
          <w:rFonts w:ascii="Arial" w:hAnsi="Arial" w:cs="Arial"/>
        </w:rPr>
        <w:t>.</w:t>
      </w:r>
    </w:p>
    <w:p w14:paraId="7D661E33" w14:textId="10084CA4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Tema</w:t>
      </w:r>
      <w:r w:rsidR="004E5C78">
        <w:rPr>
          <w:rFonts w:ascii="Arial" w:hAnsi="Arial" w:cs="Arial"/>
          <w:b/>
          <w:bCs/>
        </w:rPr>
        <w:t>:</w:t>
      </w:r>
      <w:r w:rsidR="00BE3893">
        <w:rPr>
          <w:rFonts w:ascii="Arial" w:hAnsi="Arial" w:cs="Arial"/>
          <w:b/>
          <w:bCs/>
        </w:rPr>
        <w:t xml:space="preserve"> </w:t>
      </w:r>
      <w:r w:rsidR="00BE3893" w:rsidRPr="005F5EF3">
        <w:rPr>
          <w:rFonts w:ascii="Arial" w:hAnsi="Arial" w:cs="Arial"/>
        </w:rPr>
        <w:t>Gestión social y sostenibilidad en minería</w:t>
      </w:r>
    </w:p>
    <w:p w14:paraId="6B7A4A70" w14:textId="0240583C" w:rsidR="00DC0941" w:rsidRDefault="00DC0941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Categoría:</w:t>
      </w:r>
      <w:r w:rsidR="002744FA">
        <w:rPr>
          <w:rFonts w:ascii="Arial" w:hAnsi="Arial" w:cs="Arial"/>
          <w:b/>
          <w:bCs/>
        </w:rPr>
        <w:t xml:space="preserve"> </w:t>
      </w:r>
      <w:r w:rsidR="002744FA" w:rsidRPr="005F5EF3">
        <w:rPr>
          <w:rFonts w:ascii="Arial" w:hAnsi="Arial" w:cs="Arial"/>
        </w:rPr>
        <w:t>ESG (Environmental, Social, Governance)</w:t>
      </w:r>
    </w:p>
    <w:p w14:paraId="0B20D9B9" w14:textId="6DA94FD6" w:rsidR="004578C5" w:rsidRDefault="002744FA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Datos de</w:t>
      </w:r>
      <w:r w:rsidR="004578C5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l</w:t>
      </w:r>
      <w:r w:rsidR="004578C5">
        <w:rPr>
          <w:rFonts w:ascii="Arial" w:hAnsi="Arial" w:cs="Arial"/>
          <w:b/>
          <w:bCs/>
        </w:rPr>
        <w:t>os</w:t>
      </w:r>
      <w:r>
        <w:rPr>
          <w:rFonts w:ascii="Arial" w:hAnsi="Arial" w:cs="Arial"/>
          <w:b/>
          <w:bCs/>
        </w:rPr>
        <w:t xml:space="preserve"> autor</w:t>
      </w:r>
      <w:r w:rsidR="004578C5">
        <w:rPr>
          <w:rFonts w:ascii="Arial" w:hAnsi="Arial" w:cs="Arial"/>
          <w:b/>
          <w:bCs/>
        </w:rPr>
        <w:t>es</w:t>
      </w:r>
      <w:r>
        <w:rPr>
          <w:rFonts w:ascii="Arial" w:hAnsi="Arial" w:cs="Arial"/>
          <w:b/>
          <w:bCs/>
        </w:rPr>
        <w:t>:</w:t>
      </w:r>
      <w:r w:rsidR="00270E22">
        <w:rPr>
          <w:rFonts w:ascii="Arial" w:hAnsi="Arial" w:cs="Arial"/>
          <w:b/>
          <w:bCs/>
        </w:rPr>
        <w:t xml:space="preserve"> </w:t>
      </w:r>
    </w:p>
    <w:p w14:paraId="19AFDD9B" w14:textId="3731C35F" w:rsidR="002744FA" w:rsidRPr="004578C5" w:rsidRDefault="00270E22" w:rsidP="004578C5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 xml:space="preserve">Rómulo Isaac Villegas Inocente – Centro Wiñaq – Especialista Social </w:t>
      </w:r>
      <w:r w:rsidR="009509B6" w:rsidRPr="004578C5">
        <w:rPr>
          <w:rFonts w:ascii="Arial" w:hAnsi="Arial" w:cs="Arial"/>
        </w:rPr>
        <w:t>–</w:t>
      </w:r>
      <w:r w:rsidRPr="004578C5">
        <w:rPr>
          <w:rFonts w:ascii="Arial" w:hAnsi="Arial" w:cs="Arial"/>
        </w:rPr>
        <w:t xml:space="preserve"> </w:t>
      </w:r>
      <w:r w:rsidR="009509B6" w:rsidRPr="004578C5">
        <w:rPr>
          <w:rFonts w:ascii="Arial" w:hAnsi="Arial" w:cs="Arial"/>
        </w:rPr>
        <w:t xml:space="preserve">U.V.M 14 – E Lima – Perú – </w:t>
      </w:r>
      <w:hyperlink r:id="rId5" w:history="1">
        <w:r w:rsidR="005F5EF3" w:rsidRPr="004578C5">
          <w:rPr>
            <w:rStyle w:val="Hipervnculo"/>
            <w:rFonts w:ascii="Arial" w:hAnsi="Arial" w:cs="Arial"/>
          </w:rPr>
          <w:t>rvillegas@pucp.edu.pe</w:t>
        </w:r>
      </w:hyperlink>
      <w:r w:rsidR="005F5EF3" w:rsidRPr="004578C5">
        <w:rPr>
          <w:rFonts w:ascii="Arial" w:hAnsi="Arial" w:cs="Arial"/>
        </w:rPr>
        <w:t xml:space="preserve"> </w:t>
      </w:r>
      <w:r w:rsidR="004578C5" w:rsidRPr="004578C5">
        <w:rPr>
          <w:rFonts w:ascii="Arial" w:hAnsi="Arial" w:cs="Arial"/>
        </w:rPr>
        <w:t>–</w:t>
      </w:r>
      <w:r w:rsidR="005F5EF3" w:rsidRPr="004578C5">
        <w:rPr>
          <w:rFonts w:ascii="Arial" w:hAnsi="Arial" w:cs="Arial"/>
        </w:rPr>
        <w:t xml:space="preserve"> 951332868</w:t>
      </w:r>
    </w:p>
    <w:p w14:paraId="6D252828" w14:textId="313DAADE" w:rsidR="004578C5" w:rsidRPr="004578C5" w:rsidRDefault="004578C5" w:rsidP="004578C5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 xml:space="preserve">Rafael Eduardo Tang Lu - Centro Wiñaq - Politólogo- </w:t>
      </w:r>
      <w:proofErr w:type="spellStart"/>
      <w:r w:rsidRPr="004578C5">
        <w:rPr>
          <w:rFonts w:ascii="Arial" w:hAnsi="Arial" w:cs="Arial"/>
        </w:rPr>
        <w:t>Pacaritambo</w:t>
      </w:r>
      <w:proofErr w:type="spellEnd"/>
      <w:r w:rsidRPr="004578C5">
        <w:rPr>
          <w:rFonts w:ascii="Arial" w:hAnsi="Arial" w:cs="Arial"/>
        </w:rPr>
        <w:t xml:space="preserve"> 391 </w:t>
      </w:r>
      <w:proofErr w:type="spellStart"/>
      <w:r w:rsidRPr="004578C5">
        <w:rPr>
          <w:rFonts w:ascii="Arial" w:hAnsi="Arial" w:cs="Arial"/>
        </w:rPr>
        <w:t>dpto</w:t>
      </w:r>
      <w:proofErr w:type="spellEnd"/>
      <w:r w:rsidRPr="004578C5">
        <w:rPr>
          <w:rFonts w:ascii="Arial" w:hAnsi="Arial" w:cs="Arial"/>
        </w:rPr>
        <w:t xml:space="preserve"> 301, San Borja, Lima, - rafaeltanglu@gmail.com - 998996373</w:t>
      </w:r>
    </w:p>
    <w:p w14:paraId="2432B2FC" w14:textId="02B1A91A" w:rsidR="002744FA" w:rsidRDefault="007F2C34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Palabras clave:</w:t>
      </w:r>
      <w:r w:rsidR="00254A5A" w:rsidRPr="00254A5A">
        <w:t xml:space="preserve"> </w:t>
      </w:r>
      <w:r w:rsidR="00254A5A" w:rsidRPr="005F5EF3">
        <w:rPr>
          <w:rFonts w:ascii="Arial" w:hAnsi="Arial" w:cs="Arial"/>
        </w:rPr>
        <w:t>conflicto social, minería, duración del conflicto, riesgo social, indicadores territoriales, gobernanza</w:t>
      </w:r>
    </w:p>
    <w:p w14:paraId="6FC7F3E3" w14:textId="48B4BE0A" w:rsidR="007F2C34" w:rsidRPr="00B26F7D" w:rsidRDefault="007F2C34" w:rsidP="00DC0941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Reseña profesional:</w:t>
      </w:r>
      <w:r w:rsidR="0085014D">
        <w:rPr>
          <w:rFonts w:ascii="Arial" w:hAnsi="Arial" w:cs="Arial"/>
          <w:b/>
          <w:bCs/>
        </w:rPr>
        <w:t xml:space="preserve"> </w:t>
      </w:r>
      <w:r w:rsidR="0085014D" w:rsidRPr="0085014D">
        <w:rPr>
          <w:rFonts w:ascii="Arial" w:hAnsi="Arial" w:cs="Arial"/>
        </w:rPr>
        <w:t>Rómulo Villegas es sociólogo y magíster en Gerencia Social con trayectoria en análisis social aplicado al sector minero. Como investigador senior del Centro Wiñaq, ha liderado proyectos que integran análisis estadístico y político para abordar la conflictividad social en zonas de influencia minera. Su experiencia combina trabajo de campo, diseño metodológico e investigación aplicada con enfoque en innovación, legitimidad y desarrollo territorial. Ha sido docente en la PUCP y UPCH, y ha participado como ponente en congresos nacionales e internacionales sobre minería y sostenibilidad.</w:t>
      </w:r>
    </w:p>
    <w:p w14:paraId="76698F3D" w14:textId="19CA34A8" w:rsidR="00B26F7D" w:rsidRPr="00B26F7D" w:rsidRDefault="00B26F7D" w:rsidP="00DC0941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Contexto:</w:t>
      </w:r>
      <w:r w:rsidRPr="00B26F7D">
        <w:rPr>
          <w:rFonts w:ascii="Arial" w:hAnsi="Arial" w:cs="Arial"/>
        </w:rPr>
        <w:br/>
      </w:r>
      <w:r w:rsidR="004578C5" w:rsidRPr="004578C5">
        <w:rPr>
          <w:rFonts w:ascii="Arial" w:hAnsi="Arial" w:cs="Arial"/>
        </w:rPr>
        <w:t xml:space="preserve">Durante las últimas dos décadas, los conflictos sociales vinculados a operaciones extractivas han sido un componente estructural del entorno en el que operan las empresas en el Perú. A partir del registro sistemático de la Defensoría del Pueblo desde 2004, </w:t>
      </w:r>
      <w:r w:rsidR="004578C5">
        <w:rPr>
          <w:rFonts w:ascii="Arial" w:hAnsi="Arial" w:cs="Arial"/>
        </w:rPr>
        <w:t xml:space="preserve">se busca </w:t>
      </w:r>
      <w:r w:rsidR="004578C5" w:rsidRPr="004578C5">
        <w:rPr>
          <w:rFonts w:ascii="Arial" w:hAnsi="Arial" w:cs="Arial"/>
        </w:rPr>
        <w:t xml:space="preserve">entender cómo evolucionan los conflictos en el tiempo y qué tan capaces han sido el Estado y otros actores de responder. El trabajo realizado incorpora indicadores simples pero robustos de </w:t>
      </w:r>
      <w:r w:rsidR="004578C5" w:rsidRPr="004578C5">
        <w:rPr>
          <w:rFonts w:ascii="Arial" w:hAnsi="Arial" w:cs="Arial"/>
          <w:b/>
          <w:bCs/>
        </w:rPr>
        <w:t>intensidad</w:t>
      </w:r>
      <w:r w:rsidR="004578C5" w:rsidRPr="004578C5">
        <w:rPr>
          <w:rFonts w:ascii="Arial" w:hAnsi="Arial" w:cs="Arial"/>
        </w:rPr>
        <w:t xml:space="preserve">, </w:t>
      </w:r>
      <w:r w:rsidR="004578C5" w:rsidRPr="004578C5">
        <w:rPr>
          <w:rFonts w:ascii="Arial" w:hAnsi="Arial" w:cs="Arial"/>
          <w:b/>
          <w:bCs/>
        </w:rPr>
        <w:t>inestabilidad</w:t>
      </w:r>
      <w:r w:rsidR="004578C5" w:rsidRPr="004578C5">
        <w:rPr>
          <w:rFonts w:ascii="Arial" w:hAnsi="Arial" w:cs="Arial"/>
        </w:rPr>
        <w:t xml:space="preserve"> y </w:t>
      </w:r>
      <w:r w:rsidR="004578C5" w:rsidRPr="004578C5">
        <w:rPr>
          <w:rFonts w:ascii="Arial" w:hAnsi="Arial" w:cs="Arial"/>
          <w:b/>
          <w:bCs/>
        </w:rPr>
        <w:t>capacidad de resolución</w:t>
      </w:r>
      <w:r w:rsidR="004578C5" w:rsidRPr="004578C5">
        <w:rPr>
          <w:rFonts w:ascii="Arial" w:hAnsi="Arial" w:cs="Arial"/>
        </w:rPr>
        <w:t>, aplicados sobre más de 1,200 casos. Este enfoque permite identificar zonas de riesgo crónico, prever escenarios de reactivación y anticipar costos sociales que afectan directamente la continuidad operativa y la sostenibilidad de las inversiones.</w:t>
      </w:r>
    </w:p>
    <w:p w14:paraId="492612AC" w14:textId="77777777" w:rsidR="00376D8E" w:rsidRPr="00376D8E" w:rsidRDefault="00376D8E" w:rsidP="00376D8E">
      <w:pPr>
        <w:spacing w:line="360" w:lineRule="auto"/>
        <w:jc w:val="both"/>
        <w:rPr>
          <w:rFonts w:ascii="Arial" w:hAnsi="Arial" w:cs="Arial"/>
          <w:b/>
          <w:bCs/>
        </w:rPr>
      </w:pPr>
      <w:r w:rsidRPr="00376D8E">
        <w:rPr>
          <w:rFonts w:ascii="Arial" w:hAnsi="Arial" w:cs="Arial"/>
          <w:b/>
          <w:bCs/>
        </w:rPr>
        <w:t>Objetivo General:</w:t>
      </w:r>
    </w:p>
    <w:p w14:paraId="7A83EBC0" w14:textId="46AFB953" w:rsidR="00376D8E" w:rsidRPr="00376D8E" w:rsidRDefault="00376D8E" w:rsidP="00376D8E">
      <w:pPr>
        <w:spacing w:line="360" w:lineRule="auto"/>
        <w:jc w:val="both"/>
        <w:rPr>
          <w:rFonts w:ascii="Arial" w:hAnsi="Arial" w:cs="Arial"/>
        </w:rPr>
      </w:pPr>
      <w:r w:rsidRPr="00376D8E">
        <w:rPr>
          <w:rFonts w:ascii="Arial" w:hAnsi="Arial" w:cs="Arial"/>
        </w:rPr>
        <w:lastRenderedPageBreak/>
        <w:t xml:space="preserve">Analizar la evolución territorial y temática de los conflictos sociales en el Perú durante los últimos 20 años, con el fin de identificar patrones críticos y generar alertas útiles para la gestión </w:t>
      </w:r>
      <w:r w:rsidR="005C557C">
        <w:rPr>
          <w:rFonts w:ascii="Arial" w:hAnsi="Arial" w:cs="Arial"/>
        </w:rPr>
        <w:t xml:space="preserve">y </w:t>
      </w:r>
      <w:r w:rsidRPr="00376D8E">
        <w:rPr>
          <w:rFonts w:ascii="Arial" w:hAnsi="Arial" w:cs="Arial"/>
        </w:rPr>
        <w:t>la planificación estratégica.</w:t>
      </w:r>
    </w:p>
    <w:p w14:paraId="31F8240E" w14:textId="77777777" w:rsidR="00376D8E" w:rsidRPr="00376D8E" w:rsidRDefault="00376D8E" w:rsidP="00376D8E">
      <w:pPr>
        <w:spacing w:line="360" w:lineRule="auto"/>
        <w:jc w:val="both"/>
        <w:rPr>
          <w:rFonts w:ascii="Arial" w:hAnsi="Arial" w:cs="Arial"/>
          <w:b/>
          <w:bCs/>
        </w:rPr>
      </w:pPr>
      <w:r w:rsidRPr="00376D8E">
        <w:rPr>
          <w:rFonts w:ascii="Arial" w:hAnsi="Arial" w:cs="Arial"/>
          <w:b/>
          <w:bCs/>
        </w:rPr>
        <w:t>Objetivos Específicos:</w:t>
      </w:r>
    </w:p>
    <w:p w14:paraId="178BF7F1" w14:textId="77777777" w:rsidR="00376D8E" w:rsidRPr="00376D8E" w:rsidRDefault="00376D8E" w:rsidP="00376D8E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76D8E">
        <w:rPr>
          <w:rFonts w:ascii="Arial" w:hAnsi="Arial" w:cs="Arial"/>
          <w:b/>
          <w:bCs/>
        </w:rPr>
        <w:t>Delimitar zonas críticas de conflictividad social</w:t>
      </w:r>
      <w:r w:rsidRPr="00376D8E">
        <w:rPr>
          <w:rFonts w:ascii="Arial" w:hAnsi="Arial" w:cs="Arial"/>
        </w:rPr>
        <w:t>, evaluando la frecuencia, intensidad y duración de los conflictos por región.</w:t>
      </w:r>
    </w:p>
    <w:p w14:paraId="6FB39DA2" w14:textId="77777777" w:rsidR="00376D8E" w:rsidRPr="00376D8E" w:rsidRDefault="00376D8E" w:rsidP="00376D8E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76D8E">
        <w:rPr>
          <w:rFonts w:ascii="Arial" w:hAnsi="Arial" w:cs="Arial"/>
          <w:b/>
          <w:bCs/>
        </w:rPr>
        <w:t>Examinar la respuesta estatal frente a los conflictos</w:t>
      </w:r>
      <w:r w:rsidRPr="00376D8E">
        <w:rPr>
          <w:rFonts w:ascii="Arial" w:hAnsi="Arial" w:cs="Arial"/>
        </w:rPr>
        <w:t>, diferenciando territorios con resolución efectiva frente a aquellos con inacción sostenida.</w:t>
      </w:r>
    </w:p>
    <w:p w14:paraId="58B33BD2" w14:textId="77777777" w:rsidR="00376D8E" w:rsidRPr="00376D8E" w:rsidRDefault="00376D8E" w:rsidP="00376D8E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76D8E">
        <w:rPr>
          <w:rFonts w:ascii="Arial" w:hAnsi="Arial" w:cs="Arial"/>
          <w:b/>
          <w:bCs/>
        </w:rPr>
        <w:t>Analizar la dinámica temporal y temática de los conflictos</w:t>
      </w:r>
      <w:r w:rsidRPr="00376D8E">
        <w:rPr>
          <w:rFonts w:ascii="Arial" w:hAnsi="Arial" w:cs="Arial"/>
        </w:rPr>
        <w:t>, identificando tendencias de crecimiento, transformación o debilitamiento por tipo de conflicto y región.</w:t>
      </w:r>
    </w:p>
    <w:p w14:paraId="1916B140" w14:textId="6F0ADDC0" w:rsidR="00CC67D4" w:rsidRPr="00CC67D4" w:rsidRDefault="00B26F7D" w:rsidP="00CC67D4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Metodología:</w:t>
      </w:r>
      <w:r w:rsidRPr="00B26F7D">
        <w:rPr>
          <w:rFonts w:ascii="Arial" w:hAnsi="Arial" w:cs="Arial"/>
        </w:rPr>
        <w:br/>
      </w:r>
      <w:r w:rsidR="00CC67D4" w:rsidRPr="00CC67D4">
        <w:rPr>
          <w:rFonts w:ascii="Arial" w:hAnsi="Arial" w:cs="Arial"/>
        </w:rPr>
        <w:t>Se analizó una base de 1217 conflictos sociales registrados entre 2004 y 2024, clasificados por tipo, duración, estado (activo, latente, resuelto, retirado), región y actividad económica asociada. A partir de esta estructura, se construyeron tres indicadores clave:</w:t>
      </w:r>
    </w:p>
    <w:p w14:paraId="169AB22E" w14:textId="77777777" w:rsidR="00CC67D4" w:rsidRPr="00CC67D4" w:rsidRDefault="00CC67D4" w:rsidP="00CC67D4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C67D4">
        <w:rPr>
          <w:rFonts w:ascii="Arial" w:hAnsi="Arial" w:cs="Arial"/>
          <w:b/>
          <w:bCs/>
        </w:rPr>
        <w:t>Índice de actividad</w:t>
      </w:r>
      <w:r w:rsidRPr="00CC67D4">
        <w:rPr>
          <w:rFonts w:ascii="Arial" w:hAnsi="Arial" w:cs="Arial"/>
        </w:rPr>
        <w:t xml:space="preserve"> (activos / total): mide la presión operativa vigente del conflicto.</w:t>
      </w:r>
    </w:p>
    <w:p w14:paraId="47B23E97" w14:textId="77777777" w:rsidR="00CC67D4" w:rsidRPr="00CC67D4" w:rsidRDefault="00CC67D4" w:rsidP="00CC67D4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C67D4">
        <w:rPr>
          <w:rFonts w:ascii="Arial" w:hAnsi="Arial" w:cs="Arial"/>
          <w:b/>
          <w:bCs/>
        </w:rPr>
        <w:t>Índice de latencia</w:t>
      </w:r>
      <w:r w:rsidRPr="00CC67D4">
        <w:rPr>
          <w:rFonts w:ascii="Arial" w:hAnsi="Arial" w:cs="Arial"/>
        </w:rPr>
        <w:t xml:space="preserve"> (latentes / total): alerta sobre conflictos que pueden reactivarse.</w:t>
      </w:r>
    </w:p>
    <w:p w14:paraId="1C180352" w14:textId="77777777" w:rsidR="00CC67D4" w:rsidRPr="00CC67D4" w:rsidRDefault="00CC67D4" w:rsidP="00CC67D4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CC67D4">
        <w:rPr>
          <w:rFonts w:ascii="Arial" w:hAnsi="Arial" w:cs="Arial"/>
          <w:b/>
          <w:bCs/>
        </w:rPr>
        <w:t>Índice de capacidad de gestión</w:t>
      </w:r>
      <w:r w:rsidRPr="00CC67D4">
        <w:rPr>
          <w:rFonts w:ascii="Arial" w:hAnsi="Arial" w:cs="Arial"/>
        </w:rPr>
        <w:t xml:space="preserve"> (resueltos / total): evalúa la eficacia institucional para resolver conflictos.</w:t>
      </w:r>
    </w:p>
    <w:p w14:paraId="7F7C1740" w14:textId="0C13897E" w:rsidR="00B26F7D" w:rsidRPr="00B26F7D" w:rsidRDefault="00B26F7D" w:rsidP="00CC67D4">
      <w:pPr>
        <w:spacing w:line="360" w:lineRule="auto"/>
        <w:jc w:val="both"/>
        <w:rPr>
          <w:rFonts w:ascii="Arial" w:hAnsi="Arial" w:cs="Arial"/>
        </w:rPr>
      </w:pPr>
      <w:r w:rsidRPr="00B26F7D">
        <w:rPr>
          <w:rFonts w:ascii="Arial" w:hAnsi="Arial" w:cs="Arial"/>
          <w:b/>
          <w:bCs/>
        </w:rPr>
        <w:t>Resultados</w:t>
      </w:r>
      <w:r w:rsidR="00376D8E">
        <w:rPr>
          <w:rFonts w:ascii="Arial" w:hAnsi="Arial" w:cs="Arial"/>
          <w:b/>
          <w:bCs/>
        </w:rPr>
        <w:t xml:space="preserve"> principales:</w:t>
      </w:r>
    </w:p>
    <w:p w14:paraId="647BBEC0" w14:textId="0709AC9D" w:rsidR="002E15BE" w:rsidRPr="004578C5" w:rsidRDefault="002E15BE" w:rsidP="004578C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>Los conflictos por asuntos de gobierno regional son los más activos del país, con un promedio de 0.58. Les siguen los conflictos comunales (0.53) y socioambientales (0.53), confirmando que la conflictividad más persistente está fuertemente territorializada.</w:t>
      </w:r>
    </w:p>
    <w:p w14:paraId="62CF0F8E" w14:textId="543859AF" w:rsidR="002E15BE" w:rsidRPr="004578C5" w:rsidRDefault="002E15BE" w:rsidP="004578C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 xml:space="preserve">Macrorregión sur: concentra los conflictos más activos, con </w:t>
      </w:r>
      <w:r w:rsidRPr="00A64CEB">
        <w:rPr>
          <w:rFonts w:ascii="Arial" w:hAnsi="Arial" w:cs="Arial"/>
          <w:b/>
          <w:bCs/>
        </w:rPr>
        <w:t>Cusco (0.58)</w:t>
      </w:r>
      <w:r w:rsidRPr="004578C5">
        <w:rPr>
          <w:rFonts w:ascii="Arial" w:hAnsi="Arial" w:cs="Arial"/>
        </w:rPr>
        <w:t xml:space="preserve">, </w:t>
      </w:r>
      <w:r w:rsidRPr="00A64CEB">
        <w:rPr>
          <w:rFonts w:ascii="Arial" w:hAnsi="Arial" w:cs="Arial"/>
          <w:b/>
          <w:bCs/>
        </w:rPr>
        <w:t>Puno (0.51)</w:t>
      </w:r>
      <w:r w:rsidRPr="004578C5">
        <w:rPr>
          <w:rFonts w:ascii="Arial" w:hAnsi="Arial" w:cs="Arial"/>
        </w:rPr>
        <w:t xml:space="preserve"> por encima del promedio nacional (0.45). Estas regiones presentan alta presión operativa sostenida, especialmente en contextos mineros y territoriales.</w:t>
      </w:r>
    </w:p>
    <w:p w14:paraId="3C94A775" w14:textId="6B8E7004" w:rsidR="002E15BE" w:rsidRPr="004578C5" w:rsidRDefault="002E15BE" w:rsidP="004578C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 xml:space="preserve">Macrorregión norte: muestra mayores niveles de inestabilidad estructural. </w:t>
      </w:r>
      <w:r w:rsidRPr="00A64CEB">
        <w:rPr>
          <w:rFonts w:ascii="Arial" w:hAnsi="Arial" w:cs="Arial"/>
          <w:b/>
          <w:bCs/>
        </w:rPr>
        <w:t>Cajamarca</w:t>
      </w:r>
      <w:r w:rsidRPr="004578C5">
        <w:rPr>
          <w:rFonts w:ascii="Arial" w:hAnsi="Arial" w:cs="Arial"/>
        </w:rPr>
        <w:t xml:space="preserve"> registra una inestabilidad de </w:t>
      </w:r>
      <w:r w:rsidRPr="00A64CEB">
        <w:rPr>
          <w:rFonts w:ascii="Arial" w:hAnsi="Arial" w:cs="Arial"/>
          <w:b/>
          <w:bCs/>
        </w:rPr>
        <w:t>0.40</w:t>
      </w:r>
      <w:r w:rsidRPr="004578C5">
        <w:rPr>
          <w:rFonts w:ascii="Arial" w:hAnsi="Arial" w:cs="Arial"/>
        </w:rPr>
        <w:t xml:space="preserve"> y una de las capacidades de </w:t>
      </w:r>
      <w:proofErr w:type="gramStart"/>
      <w:r w:rsidRPr="004578C5">
        <w:rPr>
          <w:rFonts w:ascii="Arial" w:hAnsi="Arial" w:cs="Arial"/>
        </w:rPr>
        <w:lastRenderedPageBreak/>
        <w:t>gestión más bajas</w:t>
      </w:r>
      <w:proofErr w:type="gramEnd"/>
      <w:r w:rsidRPr="004578C5">
        <w:rPr>
          <w:rFonts w:ascii="Arial" w:hAnsi="Arial" w:cs="Arial"/>
        </w:rPr>
        <w:t xml:space="preserve"> del país (IGR: </w:t>
      </w:r>
      <w:r w:rsidRPr="00A64CEB">
        <w:rPr>
          <w:rFonts w:ascii="Arial" w:hAnsi="Arial" w:cs="Arial"/>
          <w:b/>
          <w:bCs/>
        </w:rPr>
        <w:t>0.14</w:t>
      </w:r>
      <w:r w:rsidRPr="004578C5">
        <w:rPr>
          <w:rFonts w:ascii="Arial" w:hAnsi="Arial" w:cs="Arial"/>
        </w:rPr>
        <w:t>), lo que la convierte en una de las zonas con mayor riesgo crónico de conflictividad prolongada.</w:t>
      </w:r>
    </w:p>
    <w:p w14:paraId="034F24FB" w14:textId="651F5252" w:rsidR="00690F40" w:rsidRPr="004578C5" w:rsidRDefault="002E15BE" w:rsidP="004578C5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4578C5">
        <w:rPr>
          <w:rFonts w:ascii="Arial" w:hAnsi="Arial" w:cs="Arial"/>
        </w:rPr>
        <w:t>Los conflictos vinculados a la minería mantienen una intensidad alta (0.47) y una capacidad de gestión moderadamente baja (0.20), lo que indica que, aunque hay presencia estatal, aún persiste un desfase entre presión social y capacidad de respuesta efectiva.</w:t>
      </w:r>
    </w:p>
    <w:p w14:paraId="0C52F21F" w14:textId="77777777" w:rsidR="002E15BE" w:rsidRDefault="002E15BE"/>
    <w:sectPr w:rsidR="002E1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45EB"/>
    <w:multiLevelType w:val="multilevel"/>
    <w:tmpl w:val="0C9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86D4D"/>
    <w:multiLevelType w:val="hybridMultilevel"/>
    <w:tmpl w:val="07BCF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731B8"/>
    <w:multiLevelType w:val="multilevel"/>
    <w:tmpl w:val="529A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412C3"/>
    <w:multiLevelType w:val="multilevel"/>
    <w:tmpl w:val="080A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055D7"/>
    <w:multiLevelType w:val="hybridMultilevel"/>
    <w:tmpl w:val="AC3C0C7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744C4A"/>
    <w:multiLevelType w:val="hybridMultilevel"/>
    <w:tmpl w:val="0B0AE8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5367A"/>
    <w:multiLevelType w:val="multilevel"/>
    <w:tmpl w:val="55C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E5B1C"/>
    <w:multiLevelType w:val="multilevel"/>
    <w:tmpl w:val="1D1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55721">
    <w:abstractNumId w:val="7"/>
  </w:num>
  <w:num w:numId="2" w16cid:durableId="620920641">
    <w:abstractNumId w:val="6"/>
  </w:num>
  <w:num w:numId="3" w16cid:durableId="1800955736">
    <w:abstractNumId w:val="2"/>
  </w:num>
  <w:num w:numId="4" w16cid:durableId="642125686">
    <w:abstractNumId w:val="4"/>
  </w:num>
  <w:num w:numId="5" w16cid:durableId="1790972425">
    <w:abstractNumId w:val="0"/>
  </w:num>
  <w:num w:numId="6" w16cid:durableId="1833525711">
    <w:abstractNumId w:val="1"/>
  </w:num>
  <w:num w:numId="7" w16cid:durableId="1483111581">
    <w:abstractNumId w:val="5"/>
  </w:num>
  <w:num w:numId="8" w16cid:durableId="1213347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B6"/>
    <w:rsid w:val="001661A6"/>
    <w:rsid w:val="00254A5A"/>
    <w:rsid w:val="00270E22"/>
    <w:rsid w:val="002744FA"/>
    <w:rsid w:val="002C4BD7"/>
    <w:rsid w:val="002E15BE"/>
    <w:rsid w:val="00315B74"/>
    <w:rsid w:val="003614FA"/>
    <w:rsid w:val="00376D8E"/>
    <w:rsid w:val="004578C5"/>
    <w:rsid w:val="004A57B6"/>
    <w:rsid w:val="004E5C78"/>
    <w:rsid w:val="00500550"/>
    <w:rsid w:val="00534945"/>
    <w:rsid w:val="005869AC"/>
    <w:rsid w:val="005C557C"/>
    <w:rsid w:val="005F5EF3"/>
    <w:rsid w:val="00690F40"/>
    <w:rsid w:val="007F2C34"/>
    <w:rsid w:val="0085014D"/>
    <w:rsid w:val="008A1A16"/>
    <w:rsid w:val="009509B6"/>
    <w:rsid w:val="00957CC4"/>
    <w:rsid w:val="00A26059"/>
    <w:rsid w:val="00A64CEB"/>
    <w:rsid w:val="00A81F58"/>
    <w:rsid w:val="00AE0E0D"/>
    <w:rsid w:val="00B26F7D"/>
    <w:rsid w:val="00BE3893"/>
    <w:rsid w:val="00C15BEF"/>
    <w:rsid w:val="00C26045"/>
    <w:rsid w:val="00CC67D4"/>
    <w:rsid w:val="00DB77DA"/>
    <w:rsid w:val="00DC0941"/>
    <w:rsid w:val="00E6175D"/>
    <w:rsid w:val="00F63C6D"/>
    <w:rsid w:val="00F8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95A0FB"/>
  <w15:chartTrackingRefBased/>
  <w15:docId w15:val="{30657B68-3479-4C24-B1ED-25F4922D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next w:val="Normal"/>
    <w:link w:val="CitadestacadaCar"/>
    <w:autoRedefine/>
    <w:uiPriority w:val="30"/>
    <w:qFormat/>
    <w:rsid w:val="00AE0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0"/>
      <w:ind w:left="864" w:right="864"/>
      <w:jc w:val="center"/>
    </w:pPr>
    <w:rPr>
      <w:rFonts w:ascii="Calibri" w:hAnsi="Calibri"/>
      <w:i/>
      <w:iCs/>
      <w:color w:val="E97132" w:themeColor="accent2"/>
      <w:sz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E0D"/>
    <w:rPr>
      <w:rFonts w:ascii="Calibri" w:hAnsi="Calibri"/>
      <w:i/>
      <w:iCs/>
      <w:color w:val="E97132" w:themeColor="accent2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4A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7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5E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EF3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E15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villegas@pucp.edu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Rómulo Villegas</dc:creator>
  <cp:keywords/>
  <dc:description/>
  <cp:lastModifiedBy>Rómulo Villegas</cp:lastModifiedBy>
  <cp:revision>2</cp:revision>
  <dcterms:created xsi:type="dcterms:W3CDTF">2025-05-12T01:12:00Z</dcterms:created>
  <dcterms:modified xsi:type="dcterms:W3CDTF">2025-05-12T01:12:00Z</dcterms:modified>
</cp:coreProperties>
</file>