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E3C2" w14:textId="100AD368" w:rsidR="007373B8" w:rsidRPr="003D454A" w:rsidRDefault="000659DD" w:rsidP="00D91BF7">
      <w:pPr>
        <w:spacing w:before="120"/>
        <w:jc w:val="center"/>
        <w:rPr>
          <w:rFonts w:ascii="Arial" w:hAnsi="Arial" w:cs="Arial"/>
          <w:color w:val="000000" w:themeColor="text1"/>
          <w:sz w:val="22"/>
          <w:szCs w:val="22"/>
          <w:lang w:val="es-PE"/>
        </w:rPr>
      </w:pPr>
      <w:r w:rsidRPr="003D454A">
        <w:rPr>
          <w:rFonts w:ascii="Arial" w:hAnsi="Arial" w:cs="Arial"/>
          <w:color w:val="000000" w:themeColor="text1"/>
          <w:sz w:val="22"/>
          <w:szCs w:val="22"/>
          <w:lang w:val="es-PE"/>
        </w:rPr>
        <w:t>Integración del Commingling en la Planificación Estratégica del Desmonte en la Mina Antamina</w:t>
      </w:r>
    </w:p>
    <w:p w14:paraId="18655DEC" w14:textId="11EE924A" w:rsidR="007373B8" w:rsidRPr="003D454A" w:rsidRDefault="00A201D7" w:rsidP="00A201D7">
      <w:pPr>
        <w:jc w:val="center"/>
        <w:rPr>
          <w:rFonts w:ascii="Arial" w:hAnsi="Arial" w:cs="Arial"/>
          <w:color w:val="000000" w:themeColor="text1"/>
          <w:sz w:val="22"/>
          <w:szCs w:val="22"/>
          <w:lang w:val="es-PE"/>
        </w:rPr>
      </w:pPr>
      <w:r w:rsidRPr="003D454A">
        <w:rPr>
          <w:rFonts w:ascii="Arial" w:hAnsi="Arial" w:cs="Arial"/>
          <w:color w:val="000000" w:themeColor="text1"/>
          <w:sz w:val="22"/>
          <w:szCs w:val="22"/>
          <w:lang w:val="es-PE"/>
        </w:rPr>
        <w:t>(</w:t>
      </w:r>
      <w:r w:rsidR="00A80068" w:rsidRPr="003D454A">
        <w:rPr>
          <w:rFonts w:ascii="Arial" w:hAnsi="Arial" w:cs="Arial"/>
          <w:color w:val="000000" w:themeColor="text1"/>
          <w:sz w:val="22"/>
          <w:szCs w:val="22"/>
          <w:lang w:val="es-PE"/>
        </w:rPr>
        <w:t>Operaciones Mineras y Gestión Activos – Planeamiento de Minado</w:t>
      </w:r>
      <w:r w:rsidRPr="003D454A">
        <w:rPr>
          <w:rFonts w:ascii="Arial" w:hAnsi="Arial" w:cs="Arial"/>
          <w:color w:val="000000" w:themeColor="text1"/>
          <w:sz w:val="22"/>
          <w:szCs w:val="22"/>
          <w:lang w:val="es-PE"/>
        </w:rPr>
        <w:t>)</w:t>
      </w:r>
    </w:p>
    <w:p w14:paraId="03D0F56A" w14:textId="77777777" w:rsidR="00A05DB9" w:rsidRPr="00252921" w:rsidRDefault="00A05DB9" w:rsidP="007373B8">
      <w:pPr>
        <w:rPr>
          <w:rFonts w:ascii="Arial" w:hAnsi="Arial" w:cs="Arial"/>
          <w:color w:val="000000" w:themeColor="text1"/>
          <w:sz w:val="22"/>
          <w:szCs w:val="22"/>
        </w:rPr>
      </w:pPr>
    </w:p>
    <w:p w14:paraId="02638C59" w14:textId="3E4A1B4D" w:rsidR="0087565A" w:rsidRPr="00252921" w:rsidRDefault="00BD64D4" w:rsidP="0087565A">
      <w:pPr>
        <w:jc w:val="center"/>
        <w:rPr>
          <w:rFonts w:ascii="Arial" w:hAnsi="Arial" w:cs="Arial"/>
          <w:b/>
          <w:color w:val="000000" w:themeColor="text1"/>
          <w:sz w:val="22"/>
          <w:szCs w:val="22"/>
          <w:lang w:val="es-PE"/>
        </w:rPr>
      </w:pPr>
      <w:r w:rsidRPr="00252921">
        <w:rPr>
          <w:rFonts w:ascii="Arial" w:hAnsi="Arial" w:cs="Arial"/>
          <w:b/>
          <w:color w:val="000000" w:themeColor="text1"/>
          <w:sz w:val="22"/>
          <w:szCs w:val="22"/>
          <w:lang w:val="es-PE"/>
        </w:rPr>
        <w:t>Christa Quiroz</w:t>
      </w:r>
      <w:r w:rsidR="0087565A" w:rsidRPr="00252921">
        <w:rPr>
          <w:rFonts w:ascii="Arial" w:hAnsi="Arial" w:cs="Arial"/>
          <w:b/>
          <w:color w:val="000000" w:themeColor="text1"/>
          <w:sz w:val="22"/>
          <w:szCs w:val="22"/>
          <w:vertAlign w:val="superscript"/>
          <w:lang w:val="es-PE"/>
        </w:rPr>
        <w:t>1</w:t>
      </w:r>
      <w:r w:rsidR="0087565A" w:rsidRPr="00252921">
        <w:rPr>
          <w:rFonts w:ascii="Arial" w:hAnsi="Arial" w:cs="Arial"/>
          <w:b/>
          <w:color w:val="000000" w:themeColor="text1"/>
          <w:sz w:val="22"/>
          <w:szCs w:val="22"/>
          <w:lang w:val="es-PE"/>
        </w:rPr>
        <w:t xml:space="preserve">, </w:t>
      </w:r>
      <w:r w:rsidRPr="00252921">
        <w:rPr>
          <w:rFonts w:ascii="Arial" w:hAnsi="Arial" w:cs="Arial"/>
          <w:b/>
          <w:color w:val="000000" w:themeColor="text1"/>
          <w:sz w:val="22"/>
          <w:szCs w:val="22"/>
          <w:lang w:val="es-PE"/>
        </w:rPr>
        <w:t>Fernando Angeles</w:t>
      </w:r>
      <w:r w:rsidR="0087565A" w:rsidRPr="00252921">
        <w:rPr>
          <w:rFonts w:ascii="Arial" w:hAnsi="Arial" w:cs="Arial"/>
          <w:b/>
          <w:color w:val="000000" w:themeColor="text1"/>
          <w:sz w:val="22"/>
          <w:szCs w:val="22"/>
          <w:vertAlign w:val="superscript"/>
          <w:lang w:val="es-PE"/>
        </w:rPr>
        <w:t>2</w:t>
      </w:r>
      <w:r w:rsidR="002D1C36" w:rsidRPr="00252921">
        <w:rPr>
          <w:rFonts w:ascii="Arial" w:hAnsi="Arial" w:cs="Arial"/>
          <w:b/>
          <w:color w:val="000000" w:themeColor="text1"/>
          <w:sz w:val="22"/>
          <w:szCs w:val="22"/>
          <w:lang w:val="es-PE"/>
        </w:rPr>
        <w:t xml:space="preserve"> y</w:t>
      </w:r>
      <w:r w:rsidR="0087565A" w:rsidRPr="00252921">
        <w:rPr>
          <w:rFonts w:ascii="Arial" w:hAnsi="Arial" w:cs="Arial"/>
          <w:b/>
          <w:color w:val="000000" w:themeColor="text1"/>
          <w:sz w:val="22"/>
          <w:szCs w:val="22"/>
          <w:lang w:val="es-PE"/>
        </w:rPr>
        <w:t xml:space="preserve"> </w:t>
      </w:r>
      <w:r w:rsidRPr="00252921">
        <w:rPr>
          <w:rFonts w:ascii="Arial" w:hAnsi="Arial" w:cs="Arial"/>
          <w:b/>
          <w:color w:val="000000" w:themeColor="text1"/>
          <w:sz w:val="22"/>
          <w:szCs w:val="22"/>
          <w:lang w:val="es-PE"/>
        </w:rPr>
        <w:t>Olimpia Cabrera</w:t>
      </w:r>
      <w:r w:rsidR="0087565A" w:rsidRPr="00252921">
        <w:rPr>
          <w:rFonts w:ascii="Arial" w:hAnsi="Arial" w:cs="Arial"/>
          <w:b/>
          <w:color w:val="000000" w:themeColor="text1"/>
          <w:sz w:val="22"/>
          <w:szCs w:val="22"/>
          <w:vertAlign w:val="superscript"/>
          <w:lang w:val="es-PE"/>
        </w:rPr>
        <w:t>3</w:t>
      </w:r>
    </w:p>
    <w:p w14:paraId="400BE595" w14:textId="77777777" w:rsidR="0087565A" w:rsidRPr="00252921" w:rsidRDefault="0087565A" w:rsidP="0087565A">
      <w:pPr>
        <w:jc w:val="center"/>
        <w:rPr>
          <w:rFonts w:ascii="Arial" w:hAnsi="Arial" w:cs="Arial"/>
          <w:color w:val="000000" w:themeColor="text1"/>
          <w:sz w:val="22"/>
          <w:szCs w:val="22"/>
          <w:lang w:val="es-PE"/>
        </w:rPr>
      </w:pPr>
    </w:p>
    <w:p w14:paraId="23736843" w14:textId="77777777" w:rsidR="007373B8" w:rsidRPr="00252921" w:rsidRDefault="007373B8" w:rsidP="007373B8">
      <w:pPr>
        <w:rPr>
          <w:rFonts w:ascii="Arial" w:hAnsi="Arial" w:cs="Arial"/>
          <w:color w:val="000000" w:themeColor="text1"/>
          <w:sz w:val="22"/>
          <w:szCs w:val="22"/>
          <w:lang w:val="es-PE"/>
        </w:rPr>
      </w:pPr>
    </w:p>
    <w:p w14:paraId="1D73A8BC" w14:textId="0A621DD3" w:rsidR="007373B8" w:rsidRPr="00250308" w:rsidRDefault="001F7167" w:rsidP="00250308">
      <w:pPr>
        <w:ind w:left="142" w:hanging="142"/>
        <w:rPr>
          <w:rFonts w:ascii="Arial" w:hAnsi="Arial" w:cs="Arial"/>
          <w:color w:val="000000" w:themeColor="text1"/>
          <w:sz w:val="22"/>
          <w:szCs w:val="22"/>
          <w:lang w:val="es-PE"/>
        </w:rPr>
      </w:pPr>
      <w:r w:rsidRPr="00252921">
        <w:rPr>
          <w:rFonts w:ascii="Arial" w:hAnsi="Arial" w:cs="Arial"/>
          <w:color w:val="000000" w:themeColor="text1"/>
          <w:sz w:val="22"/>
          <w:szCs w:val="22"/>
          <w:vertAlign w:val="superscript"/>
          <w:lang w:val="es-PE"/>
        </w:rPr>
        <w:t>1</w:t>
      </w:r>
      <w:r w:rsidR="007373B8" w:rsidRPr="00252921">
        <w:rPr>
          <w:rFonts w:ascii="Arial" w:hAnsi="Arial" w:cs="Arial"/>
          <w:color w:val="000000" w:themeColor="text1"/>
          <w:sz w:val="22"/>
          <w:szCs w:val="22"/>
          <w:lang w:val="es-PE"/>
        </w:rPr>
        <w:t xml:space="preserve"> </w:t>
      </w:r>
      <w:r w:rsidR="002D1C36" w:rsidRPr="00252921">
        <w:rPr>
          <w:rFonts w:ascii="Arial" w:hAnsi="Arial" w:cs="Arial"/>
          <w:color w:val="000000" w:themeColor="text1"/>
          <w:sz w:val="22"/>
          <w:szCs w:val="22"/>
          <w:lang w:val="es-PE"/>
        </w:rPr>
        <w:t xml:space="preserve">Autor: </w:t>
      </w:r>
      <w:r w:rsidR="00BD64D4" w:rsidRPr="00252921">
        <w:rPr>
          <w:rFonts w:ascii="Arial" w:hAnsi="Arial" w:cs="Arial"/>
          <w:color w:val="000000" w:themeColor="text1"/>
          <w:sz w:val="22"/>
          <w:szCs w:val="22"/>
          <w:lang w:val="es-PE"/>
        </w:rPr>
        <w:t xml:space="preserve">Antamina, </w:t>
      </w:r>
      <w:r w:rsidR="00CF6952" w:rsidRPr="00252921">
        <w:rPr>
          <w:rFonts w:ascii="Arial" w:hAnsi="Arial" w:cs="Arial"/>
          <w:color w:val="000000" w:themeColor="text1"/>
          <w:sz w:val="22"/>
          <w:szCs w:val="22"/>
          <w:lang w:val="es-PE"/>
        </w:rPr>
        <w:t>Av. El Derby 55, Santiago de Surco, Lima, Pe</w:t>
      </w:r>
      <w:r w:rsidR="00CF6952" w:rsidRPr="00250308">
        <w:rPr>
          <w:rFonts w:ascii="Arial" w:hAnsi="Arial" w:cs="Arial"/>
          <w:color w:val="000000" w:themeColor="text1"/>
          <w:sz w:val="22"/>
          <w:szCs w:val="22"/>
          <w:lang w:val="es-PE"/>
        </w:rPr>
        <w:t xml:space="preserve">rú </w:t>
      </w:r>
      <w:r w:rsidR="003C6D44" w:rsidRPr="00250308">
        <w:rPr>
          <w:rFonts w:ascii="Arial" w:hAnsi="Arial" w:cs="Arial"/>
          <w:color w:val="000000" w:themeColor="text1"/>
          <w:sz w:val="22"/>
          <w:szCs w:val="22"/>
          <w:lang w:val="es-PE"/>
        </w:rPr>
        <w:t>(</w:t>
      </w:r>
      <w:hyperlink r:id="rId10" w:history="1">
        <w:r w:rsidR="00CF6952" w:rsidRPr="00250308">
          <w:rPr>
            <w:rStyle w:val="Hyperlink"/>
            <w:rFonts w:ascii="Arial" w:hAnsi="Arial" w:cs="Arial"/>
            <w:color w:val="000000" w:themeColor="text1"/>
            <w:sz w:val="22"/>
            <w:szCs w:val="22"/>
            <w:u w:val="none"/>
            <w:lang w:val="es-PE"/>
          </w:rPr>
          <w:t>cquirozc@antamina.com</w:t>
        </w:r>
      </w:hyperlink>
      <w:r w:rsidR="00CF6952" w:rsidRPr="00250308">
        <w:rPr>
          <w:rFonts w:ascii="Arial" w:hAnsi="Arial" w:cs="Arial"/>
          <w:color w:val="000000" w:themeColor="text1"/>
          <w:sz w:val="22"/>
          <w:szCs w:val="22"/>
          <w:lang w:val="es-PE"/>
        </w:rPr>
        <w:t>, 977126297</w:t>
      </w:r>
      <w:r w:rsidR="003C6D44" w:rsidRPr="00250308">
        <w:rPr>
          <w:rFonts w:ascii="Arial" w:hAnsi="Arial" w:cs="Arial"/>
          <w:color w:val="000000" w:themeColor="text1"/>
          <w:sz w:val="22"/>
          <w:szCs w:val="22"/>
          <w:lang w:val="es-PE"/>
        </w:rPr>
        <w:t>)</w:t>
      </w:r>
    </w:p>
    <w:p w14:paraId="366AB2E7" w14:textId="14599E42" w:rsidR="00CF6952" w:rsidRPr="00250308" w:rsidRDefault="001F7167" w:rsidP="00250308">
      <w:pPr>
        <w:ind w:left="142" w:hanging="142"/>
        <w:rPr>
          <w:rFonts w:ascii="Arial" w:hAnsi="Arial" w:cs="Arial"/>
          <w:color w:val="000000" w:themeColor="text1"/>
          <w:sz w:val="22"/>
          <w:szCs w:val="22"/>
          <w:lang w:val="es-PE"/>
        </w:rPr>
      </w:pPr>
      <w:r w:rsidRPr="00250308">
        <w:rPr>
          <w:rFonts w:ascii="Arial" w:hAnsi="Arial" w:cs="Arial"/>
          <w:color w:val="000000" w:themeColor="text1"/>
          <w:sz w:val="22"/>
          <w:szCs w:val="22"/>
          <w:vertAlign w:val="superscript"/>
          <w:lang w:val="es-PE"/>
        </w:rPr>
        <w:t>2</w:t>
      </w:r>
      <w:r w:rsidR="007373B8" w:rsidRPr="00250308">
        <w:rPr>
          <w:rFonts w:ascii="Arial" w:hAnsi="Arial" w:cs="Arial"/>
          <w:color w:val="000000" w:themeColor="text1"/>
          <w:sz w:val="22"/>
          <w:szCs w:val="22"/>
          <w:lang w:val="es-PE"/>
        </w:rPr>
        <w:t xml:space="preserve"> </w:t>
      </w:r>
      <w:r w:rsidR="002D1C36" w:rsidRPr="00250308">
        <w:rPr>
          <w:rFonts w:ascii="Arial" w:hAnsi="Arial" w:cs="Arial"/>
          <w:color w:val="000000" w:themeColor="text1"/>
          <w:sz w:val="22"/>
          <w:szCs w:val="22"/>
          <w:lang w:val="es-PE"/>
        </w:rPr>
        <w:t xml:space="preserve">Coautor 1: </w:t>
      </w:r>
      <w:r w:rsidR="00CF6952" w:rsidRPr="00250308">
        <w:rPr>
          <w:rFonts w:ascii="Arial" w:hAnsi="Arial" w:cs="Arial"/>
          <w:color w:val="000000" w:themeColor="text1"/>
          <w:sz w:val="22"/>
          <w:szCs w:val="22"/>
          <w:lang w:val="es-PE"/>
        </w:rPr>
        <w:t>Antamina, Av. El Derby 55, Santiago de Surco, Lima, Perú (</w:t>
      </w:r>
      <w:hyperlink r:id="rId11" w:history="1">
        <w:r w:rsidR="00D90E95" w:rsidRPr="00250308">
          <w:rPr>
            <w:rStyle w:val="Hyperlink"/>
            <w:rFonts w:ascii="Arial" w:hAnsi="Arial" w:cs="Arial"/>
            <w:color w:val="000000" w:themeColor="text1"/>
            <w:sz w:val="22"/>
            <w:szCs w:val="22"/>
            <w:u w:val="none"/>
            <w:lang w:val="es-PE"/>
          </w:rPr>
          <w:t>ocabrera@antamina.com</w:t>
        </w:r>
      </w:hyperlink>
      <w:r w:rsidR="00D90E95" w:rsidRPr="00250308">
        <w:rPr>
          <w:rFonts w:ascii="Arial" w:hAnsi="Arial" w:cs="Arial"/>
          <w:color w:val="000000" w:themeColor="text1"/>
          <w:sz w:val="22"/>
          <w:szCs w:val="22"/>
          <w:lang w:val="es-PE"/>
        </w:rPr>
        <w:t xml:space="preserve">, </w:t>
      </w:r>
      <w:r w:rsidR="00AD3647" w:rsidRPr="00250308">
        <w:rPr>
          <w:rFonts w:ascii="Arial" w:hAnsi="Arial" w:cs="Arial"/>
          <w:color w:val="000000" w:themeColor="text1"/>
          <w:sz w:val="22"/>
          <w:szCs w:val="22"/>
          <w:lang w:val="es-PE"/>
        </w:rPr>
        <w:t>954783644)</w:t>
      </w:r>
    </w:p>
    <w:p w14:paraId="27C01C5D" w14:textId="5C7FE10C" w:rsidR="00CF6952" w:rsidRPr="00250308" w:rsidRDefault="006D0F12" w:rsidP="00250308">
      <w:pPr>
        <w:ind w:left="142" w:hanging="142"/>
        <w:rPr>
          <w:rFonts w:ascii="Arial" w:hAnsi="Arial" w:cs="Arial"/>
          <w:color w:val="000000" w:themeColor="text1"/>
          <w:sz w:val="22"/>
          <w:szCs w:val="22"/>
          <w:lang w:val="es-PE"/>
        </w:rPr>
      </w:pPr>
      <w:r w:rsidRPr="00250308">
        <w:rPr>
          <w:rFonts w:ascii="Arial" w:hAnsi="Arial" w:cs="Arial"/>
          <w:color w:val="000000" w:themeColor="text1"/>
          <w:sz w:val="22"/>
          <w:szCs w:val="22"/>
          <w:vertAlign w:val="superscript"/>
          <w:lang w:val="es-PE"/>
        </w:rPr>
        <w:t>3</w:t>
      </w:r>
      <w:r w:rsidRPr="00250308">
        <w:rPr>
          <w:rFonts w:ascii="Arial" w:hAnsi="Arial" w:cs="Arial"/>
          <w:color w:val="000000" w:themeColor="text1"/>
          <w:sz w:val="22"/>
          <w:szCs w:val="22"/>
          <w:lang w:val="es-PE"/>
        </w:rPr>
        <w:t xml:space="preserve"> </w:t>
      </w:r>
      <w:r w:rsidR="002D1C36" w:rsidRPr="00250308">
        <w:rPr>
          <w:rFonts w:ascii="Arial" w:hAnsi="Arial" w:cs="Arial"/>
          <w:color w:val="000000" w:themeColor="text1"/>
          <w:sz w:val="22"/>
          <w:szCs w:val="22"/>
          <w:lang w:val="es-PE"/>
        </w:rPr>
        <w:t xml:space="preserve">Coautor 2: </w:t>
      </w:r>
      <w:r w:rsidR="00CF6952" w:rsidRPr="00250308">
        <w:rPr>
          <w:rFonts w:ascii="Arial" w:hAnsi="Arial" w:cs="Arial"/>
          <w:color w:val="000000" w:themeColor="text1"/>
          <w:sz w:val="22"/>
          <w:szCs w:val="22"/>
          <w:lang w:val="es-PE"/>
        </w:rPr>
        <w:t>Antamina, Av. El Derby 55, Santiago de Surco, Lima, Perú</w:t>
      </w:r>
      <w:r w:rsidR="008419E9" w:rsidRPr="00250308">
        <w:rPr>
          <w:rFonts w:ascii="Arial" w:hAnsi="Arial" w:cs="Arial"/>
          <w:color w:val="000000" w:themeColor="text1"/>
          <w:sz w:val="22"/>
          <w:szCs w:val="22"/>
          <w:lang w:val="es-PE"/>
        </w:rPr>
        <w:t xml:space="preserve"> (</w:t>
      </w:r>
      <w:hyperlink r:id="rId12" w:history="1">
        <w:r w:rsidR="008419E9" w:rsidRPr="00250308">
          <w:rPr>
            <w:rStyle w:val="Hyperlink"/>
            <w:rFonts w:ascii="Arial" w:hAnsi="Arial" w:cs="Arial"/>
            <w:color w:val="000000" w:themeColor="text1"/>
            <w:sz w:val="22"/>
            <w:szCs w:val="22"/>
            <w:u w:val="none"/>
            <w:lang w:val="es-PE"/>
          </w:rPr>
          <w:t>fangeles@antamina.com</w:t>
        </w:r>
      </w:hyperlink>
      <w:r w:rsidR="008419E9" w:rsidRPr="00250308">
        <w:rPr>
          <w:rFonts w:ascii="Arial" w:hAnsi="Arial" w:cs="Arial"/>
          <w:color w:val="000000" w:themeColor="text1"/>
          <w:sz w:val="22"/>
          <w:szCs w:val="22"/>
          <w:lang w:val="es-PE"/>
        </w:rPr>
        <w:t>, 999478936)</w:t>
      </w:r>
    </w:p>
    <w:p w14:paraId="42271F3F" w14:textId="559D7B31" w:rsidR="00C90525" w:rsidRPr="00252921" w:rsidRDefault="00C90525" w:rsidP="00CF6952">
      <w:pPr>
        <w:ind w:left="142" w:hanging="142"/>
        <w:jc w:val="both"/>
        <w:rPr>
          <w:rFonts w:ascii="Arial" w:hAnsi="Arial" w:cs="Arial"/>
          <w:color w:val="000000" w:themeColor="text1"/>
          <w:sz w:val="22"/>
          <w:szCs w:val="22"/>
        </w:rPr>
      </w:pPr>
      <w:r w:rsidRPr="00252921">
        <w:rPr>
          <w:rFonts w:ascii="Arial" w:hAnsi="Arial" w:cs="Arial"/>
          <w:color w:val="000000" w:themeColor="text1"/>
          <w:sz w:val="22"/>
          <w:szCs w:val="22"/>
        </w:rPr>
        <w:t>___________________________________________________________________________________</w:t>
      </w:r>
    </w:p>
    <w:p w14:paraId="71E68F26" w14:textId="77777777" w:rsidR="00A63A13" w:rsidRPr="00252921" w:rsidRDefault="00A63A13" w:rsidP="00D5647F">
      <w:pPr>
        <w:jc w:val="both"/>
        <w:rPr>
          <w:rFonts w:ascii="Arial" w:hAnsi="Arial" w:cs="Arial"/>
          <w:b/>
          <w:color w:val="000000" w:themeColor="text1"/>
          <w:sz w:val="22"/>
          <w:szCs w:val="22"/>
          <w:lang w:val="es-PE"/>
        </w:rPr>
      </w:pPr>
    </w:p>
    <w:p w14:paraId="350E87C9" w14:textId="77777777" w:rsidR="000A599E" w:rsidRPr="00252921" w:rsidRDefault="000A599E" w:rsidP="00650F70">
      <w:pPr>
        <w:jc w:val="both"/>
        <w:rPr>
          <w:rFonts w:ascii="Arial" w:hAnsi="Arial" w:cs="Arial"/>
          <w:b/>
          <w:color w:val="000000" w:themeColor="text1"/>
          <w:sz w:val="22"/>
          <w:szCs w:val="22"/>
          <w:lang w:val="es-PE"/>
        </w:rPr>
        <w:sectPr w:rsidR="000A599E" w:rsidRPr="00252921">
          <w:headerReference w:type="even" r:id="rId13"/>
          <w:headerReference w:type="default" r:id="rId14"/>
          <w:footerReference w:type="even" r:id="rId15"/>
          <w:headerReference w:type="first" r:id="rId16"/>
          <w:type w:val="continuous"/>
          <w:pgSz w:w="11900" w:h="16840"/>
          <w:pgMar w:top="1134" w:right="680" w:bottom="964" w:left="851" w:header="680" w:footer="567" w:gutter="0"/>
          <w:cols w:space="720"/>
          <w:docGrid w:linePitch="360"/>
        </w:sectPr>
      </w:pPr>
    </w:p>
    <w:p w14:paraId="097C01EA" w14:textId="77777777" w:rsidR="00460D0B" w:rsidRPr="005329E0" w:rsidRDefault="00D574EF" w:rsidP="00952338">
      <w:pPr>
        <w:spacing w:line="276" w:lineRule="auto"/>
        <w:jc w:val="both"/>
        <w:rPr>
          <w:rFonts w:ascii="Arial" w:hAnsi="Arial" w:cs="Arial"/>
          <w:b/>
          <w:color w:val="000000" w:themeColor="text1"/>
          <w:sz w:val="22"/>
          <w:szCs w:val="22"/>
          <w:lang w:val="es-PE"/>
        </w:rPr>
      </w:pPr>
      <w:r w:rsidRPr="005329E0">
        <w:rPr>
          <w:rFonts w:ascii="Arial" w:hAnsi="Arial" w:cs="Arial"/>
          <w:b/>
          <w:color w:val="000000" w:themeColor="text1"/>
          <w:sz w:val="22"/>
          <w:szCs w:val="22"/>
          <w:lang w:val="es-PE"/>
        </w:rPr>
        <w:t>RESUMEN</w:t>
      </w:r>
    </w:p>
    <w:p w14:paraId="486B4274" w14:textId="77777777" w:rsidR="00EC052D" w:rsidRPr="005329E0" w:rsidRDefault="00EC052D" w:rsidP="00952338">
      <w:pPr>
        <w:spacing w:line="276" w:lineRule="auto"/>
        <w:jc w:val="both"/>
        <w:rPr>
          <w:rFonts w:ascii="Arial" w:hAnsi="Arial" w:cs="Arial"/>
          <w:color w:val="000000" w:themeColor="text1"/>
          <w:sz w:val="22"/>
          <w:szCs w:val="22"/>
          <w:lang w:val="es-PE"/>
        </w:rPr>
      </w:pPr>
      <w:r w:rsidRPr="005329E0">
        <w:rPr>
          <w:rFonts w:ascii="Arial" w:hAnsi="Arial" w:cs="Arial"/>
          <w:color w:val="000000" w:themeColor="text1"/>
          <w:sz w:val="22"/>
          <w:szCs w:val="22"/>
          <w:lang w:val="es-PE"/>
        </w:rPr>
        <w:t>Antamina es una gran mina polimetálica a tajo abierto en Perú que opera con una capacidad de procesamiento de 145 ktpd. Está en operación desde 2001, y la vida útil actual de la mina se extiende hasta 2036. La explotación minera se realiza a una tasa de 290 Mtpa utilizando equipos convencionales de camiones y palas. Este artículo técnico presenta una evaluación integral del commingling como tecnología transformadora en la planificación minera, posicionando la gestión de desmonte y relaves como un factor clave en el proceso de toma de decisiones.</w:t>
      </w:r>
    </w:p>
    <w:p w14:paraId="55E133CE" w14:textId="77777777" w:rsidR="00EC052D" w:rsidRPr="005329E0" w:rsidRDefault="00EC052D" w:rsidP="00952338">
      <w:pPr>
        <w:spacing w:line="276" w:lineRule="auto"/>
        <w:jc w:val="both"/>
        <w:rPr>
          <w:rFonts w:ascii="Arial" w:hAnsi="Arial" w:cs="Arial"/>
          <w:color w:val="000000" w:themeColor="text1"/>
          <w:sz w:val="22"/>
          <w:szCs w:val="22"/>
          <w:lang w:val="es-PE"/>
        </w:rPr>
      </w:pPr>
      <w:r w:rsidRPr="005329E0">
        <w:rPr>
          <w:rFonts w:ascii="Arial" w:hAnsi="Arial" w:cs="Arial"/>
          <w:color w:val="000000" w:themeColor="text1"/>
          <w:sz w:val="22"/>
          <w:szCs w:val="22"/>
          <w:lang w:val="es-PE"/>
        </w:rPr>
        <w:t>El objetivo principal de este estudio es demostrar los beneficios de esta tecnología en el proceso de planificación minera, situando la gestión de desmonte y relaves como uno de los principales impulsores del proceso de toma de decisiones. La metodología empleada es el Análisis Comparativo de Casos, que incluye una revisión del proceso de diseño y secuenciamiento de infraestructura minera, como los depósitos de desmonte, junto con una discusión de los parámetros clave utilizados. Los resultados demuestran que la implementación de esta tecnología proporciona beneficios económicos, como una reducción aproximada del 30 % en los costos de capital para depósitos de desmonte, mayor eficiencia en el uso del terreno y optimización en el desarrollo de infraestructura. Además, el enfoque utilizado mejora la alineación con los estándares GISTM.</w:t>
      </w:r>
    </w:p>
    <w:p w14:paraId="41C1F1EF" w14:textId="77777777" w:rsidR="00EC052D" w:rsidRPr="005329E0" w:rsidRDefault="00EC052D" w:rsidP="00952338">
      <w:pPr>
        <w:spacing w:line="276" w:lineRule="auto"/>
        <w:jc w:val="both"/>
        <w:rPr>
          <w:rFonts w:ascii="Arial" w:hAnsi="Arial" w:cs="Arial"/>
          <w:color w:val="000000" w:themeColor="text1"/>
          <w:sz w:val="22"/>
          <w:szCs w:val="22"/>
          <w:lang w:val="es-PE"/>
        </w:rPr>
      </w:pPr>
    </w:p>
    <w:p w14:paraId="510A3F73" w14:textId="77777777" w:rsidR="00BC4D43" w:rsidRPr="005329E0" w:rsidRDefault="00BC4D43" w:rsidP="00952338">
      <w:pPr>
        <w:spacing w:line="276" w:lineRule="auto"/>
        <w:jc w:val="both"/>
        <w:rPr>
          <w:rFonts w:ascii="Arial" w:hAnsi="Arial" w:cs="Arial"/>
          <w:b/>
          <w:color w:val="000000" w:themeColor="text1"/>
          <w:sz w:val="22"/>
          <w:szCs w:val="22"/>
          <w:lang w:val="es-PE"/>
        </w:rPr>
      </w:pPr>
    </w:p>
    <w:p w14:paraId="113109B4" w14:textId="5DD54601" w:rsidR="00441B34" w:rsidRPr="005329E0" w:rsidRDefault="002C3EBB" w:rsidP="00952338">
      <w:pPr>
        <w:pStyle w:val="ListParagraph"/>
        <w:numPr>
          <w:ilvl w:val="0"/>
          <w:numId w:val="11"/>
        </w:numPr>
        <w:spacing w:line="276" w:lineRule="auto"/>
        <w:ind w:left="270" w:hanging="270"/>
        <w:jc w:val="both"/>
        <w:rPr>
          <w:rFonts w:ascii="Arial" w:hAnsi="Arial" w:cs="Arial"/>
          <w:b/>
          <w:color w:val="000000" w:themeColor="text1"/>
          <w:sz w:val="22"/>
          <w:szCs w:val="22"/>
          <w:lang w:val="es-PE"/>
        </w:rPr>
      </w:pPr>
      <w:r w:rsidRPr="005329E0">
        <w:rPr>
          <w:rFonts w:ascii="Arial" w:hAnsi="Arial" w:cs="Arial"/>
          <w:b/>
          <w:color w:val="000000" w:themeColor="text1"/>
          <w:sz w:val="22"/>
          <w:szCs w:val="22"/>
          <w:lang w:val="es-PE"/>
        </w:rPr>
        <w:t>I</w:t>
      </w:r>
      <w:r w:rsidR="00314F9E" w:rsidRPr="005329E0">
        <w:rPr>
          <w:rFonts w:ascii="Arial" w:hAnsi="Arial" w:cs="Arial"/>
          <w:b/>
          <w:color w:val="000000" w:themeColor="text1"/>
          <w:sz w:val="22"/>
          <w:szCs w:val="22"/>
          <w:lang w:val="es-PE"/>
        </w:rPr>
        <w:t xml:space="preserve">ntroducción </w:t>
      </w:r>
    </w:p>
    <w:p w14:paraId="214DF996" w14:textId="77777777" w:rsidR="00D5647F" w:rsidRPr="005329E0" w:rsidRDefault="00D5647F" w:rsidP="00952338">
      <w:pPr>
        <w:spacing w:line="276" w:lineRule="auto"/>
        <w:jc w:val="both"/>
        <w:rPr>
          <w:rFonts w:ascii="Arial" w:hAnsi="Arial" w:cs="Arial"/>
          <w:color w:val="000000" w:themeColor="text1"/>
          <w:sz w:val="22"/>
          <w:szCs w:val="22"/>
          <w:lang w:val="es-PE"/>
        </w:rPr>
      </w:pPr>
    </w:p>
    <w:p w14:paraId="6029D4A5" w14:textId="77777777" w:rsidR="00DF024C" w:rsidRPr="005329E0" w:rsidRDefault="00DF024C" w:rsidP="00952338">
      <w:pPr>
        <w:spacing w:line="276" w:lineRule="auto"/>
        <w:jc w:val="both"/>
        <w:rPr>
          <w:rFonts w:ascii="Arial" w:hAnsi="Arial" w:cs="Arial"/>
          <w:color w:val="000000" w:themeColor="text1"/>
          <w:sz w:val="22"/>
          <w:szCs w:val="22"/>
          <w:lang w:val="es-PE"/>
        </w:rPr>
      </w:pPr>
      <w:r w:rsidRPr="005329E0">
        <w:rPr>
          <w:rFonts w:ascii="Arial" w:hAnsi="Arial" w:cs="Arial"/>
          <w:color w:val="000000" w:themeColor="text1"/>
          <w:sz w:val="22"/>
          <w:szCs w:val="22"/>
          <w:lang w:val="es-PE"/>
        </w:rPr>
        <w:t xml:space="preserve">La industria minera enfrenta crecientes desafíos relacionados con la gestión sostenible del desmonte y los relaves, especialmente tras eventos catastróficos como los ocurridos en Brumadinho y </w:t>
      </w:r>
      <w:r w:rsidRPr="005329E0">
        <w:rPr>
          <w:rFonts w:ascii="Arial" w:hAnsi="Arial" w:cs="Arial"/>
          <w:color w:val="000000" w:themeColor="text1"/>
          <w:sz w:val="22"/>
          <w:szCs w:val="22"/>
          <w:lang w:val="es-PE"/>
        </w:rPr>
        <w:t>Samarco. En este contexto, la mina Antamina, en operación desde 2001 como una de las mayores operaciones polimetálicas del mundo, ha desarrollado un enfoque pionero que integra el commingling como elemento central de su planificación estratégica.</w:t>
      </w:r>
    </w:p>
    <w:p w14:paraId="3FCF9FCC" w14:textId="77777777" w:rsidR="00DF024C" w:rsidRPr="005329E0" w:rsidRDefault="00DF024C" w:rsidP="00952338">
      <w:pPr>
        <w:spacing w:line="276" w:lineRule="auto"/>
        <w:jc w:val="both"/>
        <w:rPr>
          <w:rFonts w:ascii="Arial" w:hAnsi="Arial" w:cs="Arial"/>
          <w:color w:val="000000" w:themeColor="text1"/>
          <w:sz w:val="22"/>
          <w:szCs w:val="22"/>
          <w:lang w:val="es-PE"/>
        </w:rPr>
      </w:pPr>
      <w:r w:rsidRPr="005329E0">
        <w:rPr>
          <w:rFonts w:ascii="Arial" w:hAnsi="Arial" w:cs="Arial"/>
          <w:color w:val="000000" w:themeColor="text1"/>
          <w:sz w:val="22"/>
          <w:szCs w:val="22"/>
          <w:lang w:val="es-PE"/>
        </w:rPr>
        <w:t>El commingling, definido como la mezcla homogénea de relaves desaguados con desmonte para formar un material geotécnicamente estable, representa una evolución natural de las prácticas tradicionales de codisposición. Sin embargo, lo que distingue el caso Antamina es la integración de esta tecnología desde las fases iniciales de la planificación minera, haciendo de la gestión del desmonte el principal impulsor de las decisiones operativas y estratégicas.</w:t>
      </w:r>
    </w:p>
    <w:p w14:paraId="56A91693" w14:textId="77777777" w:rsidR="00441B34" w:rsidRPr="005329E0" w:rsidRDefault="00441B34" w:rsidP="00952338">
      <w:pPr>
        <w:spacing w:line="276" w:lineRule="auto"/>
        <w:jc w:val="both"/>
        <w:rPr>
          <w:rFonts w:ascii="Arial" w:hAnsi="Arial" w:cs="Arial"/>
          <w:color w:val="000000" w:themeColor="text1"/>
          <w:sz w:val="22"/>
          <w:szCs w:val="22"/>
          <w:lang w:val="es-PE"/>
        </w:rPr>
      </w:pPr>
    </w:p>
    <w:p w14:paraId="2FD3ED7B" w14:textId="4054D1EF" w:rsidR="00441B34" w:rsidRPr="005329E0" w:rsidRDefault="00EC5D28" w:rsidP="00952338">
      <w:pPr>
        <w:pStyle w:val="ListParagraph"/>
        <w:numPr>
          <w:ilvl w:val="0"/>
          <w:numId w:val="11"/>
        </w:numPr>
        <w:spacing w:line="276" w:lineRule="auto"/>
        <w:ind w:left="270" w:hanging="270"/>
        <w:jc w:val="both"/>
        <w:rPr>
          <w:rFonts w:ascii="Arial" w:hAnsi="Arial" w:cs="Arial"/>
          <w:b/>
          <w:color w:val="000000" w:themeColor="text1"/>
          <w:sz w:val="22"/>
          <w:szCs w:val="22"/>
          <w:lang w:val="es-PE"/>
        </w:rPr>
      </w:pPr>
      <w:r w:rsidRPr="005329E0">
        <w:rPr>
          <w:rFonts w:ascii="Arial" w:hAnsi="Arial" w:cs="Arial"/>
          <w:b/>
          <w:color w:val="000000" w:themeColor="text1"/>
          <w:sz w:val="22"/>
          <w:szCs w:val="22"/>
          <w:lang w:val="es-PE"/>
        </w:rPr>
        <w:t>Objetivos</w:t>
      </w:r>
      <w:r w:rsidR="005A352B" w:rsidRPr="005329E0">
        <w:rPr>
          <w:rFonts w:ascii="Arial" w:hAnsi="Arial" w:cs="Arial"/>
          <w:b/>
          <w:color w:val="000000" w:themeColor="text1"/>
          <w:sz w:val="22"/>
          <w:szCs w:val="22"/>
          <w:lang w:val="es-PE"/>
        </w:rPr>
        <w:t xml:space="preserve"> </w:t>
      </w:r>
    </w:p>
    <w:p w14:paraId="614A3A76" w14:textId="77777777" w:rsidR="00C85D14" w:rsidRPr="00C85D14" w:rsidRDefault="00C85D14" w:rsidP="00C85D14">
      <w:pPr>
        <w:pStyle w:val="ListParagraph"/>
        <w:numPr>
          <w:ilvl w:val="0"/>
          <w:numId w:val="13"/>
        </w:numPr>
        <w:spacing w:line="276" w:lineRule="auto"/>
        <w:jc w:val="both"/>
        <w:rPr>
          <w:rFonts w:ascii="Arial" w:hAnsi="Arial" w:cs="Arial"/>
          <w:color w:val="000000" w:themeColor="text1"/>
          <w:sz w:val="22"/>
          <w:szCs w:val="22"/>
        </w:rPr>
      </w:pPr>
      <w:r w:rsidRPr="00C85D14">
        <w:rPr>
          <w:rFonts w:ascii="Arial" w:hAnsi="Arial" w:cs="Arial"/>
          <w:color w:val="000000" w:themeColor="text1"/>
          <w:sz w:val="22"/>
          <w:szCs w:val="22"/>
        </w:rPr>
        <w:t>Demostrar los beneficios de la integración del commingling en la planificación minera, posicionando la gestión de desmonte y relaves como eje estratégico para la toma de decisiones en operaciones de tajo abierto.</w:t>
      </w:r>
    </w:p>
    <w:p w14:paraId="74691956" w14:textId="77777777" w:rsidR="00C85D14" w:rsidRPr="00C85D14" w:rsidRDefault="00C85D14" w:rsidP="00C85D14">
      <w:pPr>
        <w:pStyle w:val="ListParagraph"/>
        <w:numPr>
          <w:ilvl w:val="0"/>
          <w:numId w:val="13"/>
        </w:numPr>
        <w:spacing w:line="276" w:lineRule="auto"/>
        <w:jc w:val="both"/>
        <w:rPr>
          <w:rFonts w:ascii="Arial" w:hAnsi="Arial" w:cs="Arial"/>
          <w:color w:val="000000" w:themeColor="text1"/>
          <w:sz w:val="22"/>
          <w:szCs w:val="22"/>
        </w:rPr>
      </w:pPr>
      <w:r w:rsidRPr="00C85D14">
        <w:rPr>
          <w:rFonts w:ascii="Arial" w:hAnsi="Arial" w:cs="Arial"/>
          <w:color w:val="000000" w:themeColor="text1"/>
          <w:sz w:val="22"/>
          <w:szCs w:val="22"/>
        </w:rPr>
        <w:t>Optimizar la eficiencia operativa y la sostenibilidad ambiental mediante la adopción del commingling en la gestión de desmonte y relaves.</w:t>
      </w:r>
    </w:p>
    <w:p w14:paraId="28BCDA97" w14:textId="77777777" w:rsidR="00C85D14" w:rsidRPr="00C85D14" w:rsidRDefault="00C85D14" w:rsidP="00C85D14">
      <w:pPr>
        <w:pStyle w:val="ListParagraph"/>
        <w:numPr>
          <w:ilvl w:val="0"/>
          <w:numId w:val="13"/>
        </w:numPr>
        <w:spacing w:line="276" w:lineRule="auto"/>
        <w:jc w:val="both"/>
        <w:rPr>
          <w:rFonts w:ascii="Arial" w:hAnsi="Arial" w:cs="Arial"/>
          <w:color w:val="000000" w:themeColor="text1"/>
          <w:sz w:val="22"/>
          <w:szCs w:val="22"/>
        </w:rPr>
      </w:pPr>
      <w:r w:rsidRPr="00C85D14">
        <w:rPr>
          <w:rFonts w:ascii="Arial" w:hAnsi="Arial" w:cs="Arial"/>
          <w:color w:val="000000" w:themeColor="text1"/>
          <w:sz w:val="22"/>
          <w:szCs w:val="22"/>
        </w:rPr>
        <w:t>Alinear la gestión de desmonte y relaves con los estándares internacionales de sostenibilidad y seguridad, como el GISTM, mediante la aplicación de commingling.</w:t>
      </w:r>
    </w:p>
    <w:p w14:paraId="2E2E8104" w14:textId="0A22EF17" w:rsidR="00B72B8F" w:rsidRDefault="00C85D14" w:rsidP="00B72B8F">
      <w:pPr>
        <w:pStyle w:val="ListParagraph"/>
        <w:numPr>
          <w:ilvl w:val="0"/>
          <w:numId w:val="13"/>
        </w:numPr>
        <w:spacing w:line="276" w:lineRule="auto"/>
        <w:jc w:val="both"/>
        <w:rPr>
          <w:rFonts w:ascii="Arial" w:hAnsi="Arial" w:cs="Arial"/>
          <w:color w:val="000000" w:themeColor="text1"/>
          <w:sz w:val="22"/>
          <w:szCs w:val="22"/>
        </w:rPr>
      </w:pPr>
      <w:r w:rsidRPr="00C85D14">
        <w:rPr>
          <w:rFonts w:ascii="Arial" w:hAnsi="Arial" w:cs="Arial"/>
          <w:color w:val="000000" w:themeColor="text1"/>
          <w:sz w:val="22"/>
          <w:szCs w:val="22"/>
        </w:rPr>
        <w:t>Analizar mediante estudios de casos comparativos el impacto del commingling en la optimización del uso del terreno y la extensión de la vida útil de la mina.</w:t>
      </w:r>
    </w:p>
    <w:p w14:paraId="0992AF87" w14:textId="77777777" w:rsidR="00612CD7" w:rsidRPr="00C85D14" w:rsidRDefault="00612CD7" w:rsidP="00612CD7">
      <w:pPr>
        <w:pStyle w:val="ListParagraph"/>
        <w:numPr>
          <w:ilvl w:val="0"/>
          <w:numId w:val="13"/>
        </w:numPr>
        <w:spacing w:line="276" w:lineRule="auto"/>
        <w:jc w:val="both"/>
        <w:rPr>
          <w:rFonts w:ascii="Arial" w:hAnsi="Arial" w:cs="Arial"/>
          <w:color w:val="000000" w:themeColor="text1"/>
          <w:sz w:val="22"/>
          <w:szCs w:val="22"/>
        </w:rPr>
      </w:pPr>
      <w:r w:rsidRPr="00C85D14">
        <w:rPr>
          <w:rFonts w:ascii="Arial" w:hAnsi="Arial" w:cs="Arial"/>
          <w:color w:val="000000" w:themeColor="text1"/>
          <w:sz w:val="22"/>
          <w:szCs w:val="22"/>
        </w:rPr>
        <w:t xml:space="preserve">Reducir los costos de capital y operación asociados a la disposición de desmonte y </w:t>
      </w:r>
      <w:r w:rsidRPr="00C85D14">
        <w:rPr>
          <w:rFonts w:ascii="Arial" w:hAnsi="Arial" w:cs="Arial"/>
          <w:color w:val="000000" w:themeColor="text1"/>
          <w:sz w:val="22"/>
          <w:szCs w:val="22"/>
        </w:rPr>
        <w:lastRenderedPageBreak/>
        <w:t>relaves, a través de la implementación de tecnologías de commingling.</w:t>
      </w:r>
    </w:p>
    <w:p w14:paraId="5B6476A7" w14:textId="77777777" w:rsidR="00612CD7" w:rsidRPr="00C85D14" w:rsidRDefault="00612CD7" w:rsidP="00612CD7">
      <w:pPr>
        <w:pStyle w:val="ListParagraph"/>
        <w:numPr>
          <w:ilvl w:val="0"/>
          <w:numId w:val="13"/>
        </w:numPr>
        <w:spacing w:line="276" w:lineRule="auto"/>
        <w:jc w:val="both"/>
        <w:rPr>
          <w:rFonts w:ascii="Arial" w:hAnsi="Arial" w:cs="Arial"/>
          <w:color w:val="000000" w:themeColor="text1"/>
          <w:sz w:val="22"/>
          <w:szCs w:val="22"/>
        </w:rPr>
      </w:pPr>
      <w:r w:rsidRPr="00C85D14">
        <w:rPr>
          <w:rFonts w:ascii="Arial" w:hAnsi="Arial" w:cs="Arial"/>
          <w:color w:val="000000" w:themeColor="text1"/>
          <w:sz w:val="22"/>
          <w:szCs w:val="22"/>
        </w:rPr>
        <w:t>Exponer los principales hallazgos y lecciones aprendidas durante el proceso de incorporación del commingling en la planificación de largo plazo.</w:t>
      </w:r>
    </w:p>
    <w:p w14:paraId="6976B1DF" w14:textId="77777777" w:rsidR="00612CD7" w:rsidRPr="00612CD7" w:rsidRDefault="00612CD7" w:rsidP="00612CD7">
      <w:pPr>
        <w:pStyle w:val="ListParagraph"/>
        <w:spacing w:line="276" w:lineRule="auto"/>
        <w:jc w:val="both"/>
        <w:rPr>
          <w:rFonts w:ascii="Arial" w:hAnsi="Arial" w:cs="Arial"/>
          <w:color w:val="000000" w:themeColor="text1"/>
          <w:sz w:val="22"/>
          <w:szCs w:val="22"/>
        </w:rPr>
      </w:pPr>
    </w:p>
    <w:p w14:paraId="6A11C6D2" w14:textId="77777777" w:rsidR="00B72B8F" w:rsidRPr="00B72B8F" w:rsidRDefault="00B72B8F" w:rsidP="00B72B8F">
      <w:pPr>
        <w:spacing w:line="276" w:lineRule="auto"/>
        <w:jc w:val="both"/>
        <w:rPr>
          <w:rFonts w:ascii="Arial" w:hAnsi="Arial" w:cs="Arial"/>
          <w:color w:val="000000" w:themeColor="text1"/>
          <w:sz w:val="22"/>
          <w:szCs w:val="22"/>
        </w:rPr>
      </w:pPr>
    </w:p>
    <w:p w14:paraId="25800079" w14:textId="19E5A8B3" w:rsidR="007D2A73" w:rsidRPr="005329E0" w:rsidRDefault="000270E6" w:rsidP="00952338">
      <w:pPr>
        <w:pStyle w:val="ListParagraph"/>
        <w:numPr>
          <w:ilvl w:val="0"/>
          <w:numId w:val="11"/>
        </w:numPr>
        <w:spacing w:line="276" w:lineRule="auto"/>
        <w:ind w:left="270" w:hanging="270"/>
        <w:jc w:val="both"/>
        <w:rPr>
          <w:rFonts w:ascii="Arial" w:hAnsi="Arial" w:cs="Arial"/>
          <w:b/>
          <w:color w:val="000000" w:themeColor="text1"/>
          <w:sz w:val="22"/>
          <w:szCs w:val="22"/>
          <w:lang w:val="es-PE"/>
        </w:rPr>
      </w:pPr>
      <w:r w:rsidRPr="005329E0">
        <w:rPr>
          <w:rFonts w:ascii="Arial" w:hAnsi="Arial" w:cs="Arial"/>
          <w:b/>
          <w:color w:val="000000" w:themeColor="text1"/>
          <w:sz w:val="22"/>
          <w:szCs w:val="22"/>
          <w:lang w:val="es-PE"/>
        </w:rPr>
        <w:t>Compilaci</w:t>
      </w:r>
      <w:r w:rsidR="008764A7" w:rsidRPr="005329E0">
        <w:rPr>
          <w:rFonts w:ascii="Arial" w:hAnsi="Arial" w:cs="Arial"/>
          <w:b/>
          <w:color w:val="000000" w:themeColor="text1"/>
          <w:sz w:val="22"/>
          <w:szCs w:val="22"/>
          <w:lang w:val="es-PE"/>
        </w:rPr>
        <w:t>ó</w:t>
      </w:r>
      <w:r w:rsidRPr="005329E0">
        <w:rPr>
          <w:rFonts w:ascii="Arial" w:hAnsi="Arial" w:cs="Arial"/>
          <w:b/>
          <w:color w:val="000000" w:themeColor="text1"/>
          <w:sz w:val="22"/>
          <w:szCs w:val="22"/>
          <w:lang w:val="es-PE"/>
        </w:rPr>
        <w:t>n de Datos y Desarrollo del Trabajo</w:t>
      </w:r>
    </w:p>
    <w:p w14:paraId="20E766DC" w14:textId="77777777" w:rsidR="00A779FB" w:rsidRPr="0013562B" w:rsidRDefault="00A779FB" w:rsidP="00952338">
      <w:pPr>
        <w:spacing w:before="315" w:after="105" w:line="276" w:lineRule="auto"/>
        <w:ind w:left="-30"/>
        <w:jc w:val="both"/>
        <w:rPr>
          <w:rFonts w:ascii="Arial" w:hAnsi="Arial" w:cs="Arial"/>
          <w:color w:val="000000" w:themeColor="text1"/>
          <w:sz w:val="22"/>
          <w:szCs w:val="22"/>
          <w:u w:val="single"/>
        </w:rPr>
      </w:pPr>
      <w:r w:rsidRPr="0013562B">
        <w:rPr>
          <w:rFonts w:ascii="Arial" w:eastAsia="inter" w:hAnsi="Arial" w:cs="Arial"/>
          <w:b/>
          <w:color w:val="000000" w:themeColor="text1"/>
          <w:sz w:val="22"/>
          <w:szCs w:val="22"/>
          <w:u w:val="single"/>
        </w:rPr>
        <w:t>Fundamentos Técnicos del Commingling en la Planificación Minera</w:t>
      </w:r>
    </w:p>
    <w:p w14:paraId="6861B9C5" w14:textId="77777777" w:rsidR="00A779FB" w:rsidRPr="0013562B" w:rsidRDefault="00A779FB" w:rsidP="00952338">
      <w:pPr>
        <w:spacing w:before="315" w:after="105" w:line="276" w:lineRule="auto"/>
        <w:ind w:left="-30"/>
        <w:jc w:val="both"/>
        <w:rPr>
          <w:rFonts w:ascii="Arial" w:hAnsi="Arial" w:cs="Arial"/>
          <w:i/>
          <w:iCs/>
          <w:color w:val="000000" w:themeColor="text1"/>
          <w:sz w:val="22"/>
          <w:szCs w:val="22"/>
        </w:rPr>
      </w:pPr>
      <w:r w:rsidRPr="0013562B">
        <w:rPr>
          <w:rFonts w:ascii="Arial" w:eastAsia="inter" w:hAnsi="Arial" w:cs="Arial"/>
          <w:b/>
          <w:i/>
          <w:iCs/>
          <w:color w:val="000000" w:themeColor="text1"/>
          <w:sz w:val="22"/>
          <w:szCs w:val="22"/>
        </w:rPr>
        <w:t>Principios de Diseño y Caracterización de Materiales</w:t>
      </w:r>
    </w:p>
    <w:p w14:paraId="0820AF15" w14:textId="77777777" w:rsidR="00A779FB" w:rsidRPr="005329E0" w:rsidRDefault="00A779FB" w:rsidP="00952338">
      <w:pPr>
        <w:spacing w:after="210" w:line="276" w:lineRule="auto"/>
        <w:jc w:val="both"/>
        <w:rPr>
          <w:rFonts w:ascii="Arial" w:hAnsi="Arial" w:cs="Arial"/>
          <w:color w:val="000000" w:themeColor="text1"/>
          <w:sz w:val="22"/>
          <w:szCs w:val="22"/>
          <w:lang w:val="es-PE"/>
        </w:rPr>
      </w:pPr>
      <w:r w:rsidRPr="005329E0">
        <w:rPr>
          <w:rFonts w:ascii="Arial" w:hAnsi="Arial" w:cs="Arial"/>
          <w:color w:val="000000" w:themeColor="text1"/>
          <w:sz w:val="22"/>
          <w:szCs w:val="22"/>
          <w:lang w:val="es-PE"/>
        </w:rPr>
        <w:t>El commingling en Antamina se basa en principios de ingeniería que buscan combinar las superiores propiedades estructurales del desmonte con las características de baja permeabilidad de los relaves. Esta combinación resulta en un material con resistencia al corte similar al desmonte y permeabilidad comparable a los relaves, creando condiciones que restringen la entrada de oxígeno y la filtración de agua, reduciendo significativamente el potencial de generación de drenaje ácido.</w:t>
      </w:r>
    </w:p>
    <w:p w14:paraId="72383942" w14:textId="71D6D1F6" w:rsidR="00982A1E" w:rsidRDefault="00A779FB" w:rsidP="00952338">
      <w:pPr>
        <w:spacing w:line="276" w:lineRule="auto"/>
        <w:jc w:val="both"/>
        <w:rPr>
          <w:rFonts w:ascii="Arial" w:hAnsi="Arial" w:cs="Arial"/>
          <w:color w:val="000000" w:themeColor="text1"/>
          <w:sz w:val="22"/>
          <w:szCs w:val="22"/>
          <w:lang w:val="es-PE"/>
        </w:rPr>
      </w:pPr>
      <w:r w:rsidRPr="005329E0">
        <w:rPr>
          <w:rFonts w:ascii="Arial" w:hAnsi="Arial" w:cs="Arial"/>
          <w:color w:val="000000" w:themeColor="text1"/>
          <w:sz w:val="22"/>
          <w:szCs w:val="22"/>
          <w:lang w:val="es-PE"/>
        </w:rPr>
        <w:t xml:space="preserve">La caracterización del material </w:t>
      </w:r>
      <w:r w:rsidR="0086519D">
        <w:rPr>
          <w:rFonts w:ascii="Arial" w:hAnsi="Arial" w:cs="Arial"/>
          <w:color w:val="000000" w:themeColor="text1"/>
          <w:sz w:val="22"/>
          <w:szCs w:val="22"/>
          <w:lang w:val="es-PE"/>
        </w:rPr>
        <w:t xml:space="preserve">de </w:t>
      </w:r>
      <w:r w:rsidRPr="005329E0">
        <w:rPr>
          <w:rFonts w:ascii="Arial" w:hAnsi="Arial" w:cs="Arial"/>
          <w:color w:val="000000" w:themeColor="text1"/>
          <w:sz w:val="22"/>
          <w:szCs w:val="22"/>
          <w:lang w:val="es-PE"/>
        </w:rPr>
        <w:t>commingl</w:t>
      </w:r>
      <w:r w:rsidR="0086519D">
        <w:rPr>
          <w:rFonts w:ascii="Arial" w:hAnsi="Arial" w:cs="Arial"/>
          <w:color w:val="000000" w:themeColor="text1"/>
          <w:sz w:val="22"/>
          <w:szCs w:val="22"/>
          <w:lang w:val="es-PE"/>
        </w:rPr>
        <w:t>ing</w:t>
      </w:r>
      <w:r w:rsidRPr="005329E0">
        <w:rPr>
          <w:rFonts w:ascii="Arial" w:hAnsi="Arial" w:cs="Arial"/>
          <w:color w:val="000000" w:themeColor="text1"/>
          <w:sz w:val="22"/>
          <w:szCs w:val="22"/>
          <w:lang w:val="es-PE"/>
        </w:rPr>
        <w:t xml:space="preserve"> se realiza mediante el análisis de cinco configuraciones estructurales distintas: dominada por roca no compactada, dominada por finos no compactada, dominada por roca compactada, dominada por finos compactada y la configuración “just-filled” </w:t>
      </w:r>
      <w:r w:rsidR="002D1043">
        <w:rPr>
          <w:rFonts w:ascii="Arial" w:hAnsi="Arial" w:cs="Arial"/>
          <w:color w:val="000000" w:themeColor="text1"/>
          <w:sz w:val="22"/>
          <w:szCs w:val="22"/>
          <w:lang w:val="es-PE"/>
        </w:rPr>
        <w:t xml:space="preserve">o “Vacíos completamente llenos” </w:t>
      </w:r>
      <w:r w:rsidRPr="005329E0">
        <w:rPr>
          <w:rFonts w:ascii="Arial" w:hAnsi="Arial" w:cs="Arial"/>
          <w:color w:val="000000" w:themeColor="text1"/>
          <w:sz w:val="22"/>
          <w:szCs w:val="22"/>
          <w:lang w:val="es-PE"/>
        </w:rPr>
        <w:t>donde los finos llenan exactamente los vacíos entre partículas de roca. Esta última configuración representa el objetivo óptimo del proceso de commingling en Antamina.</w:t>
      </w:r>
    </w:p>
    <w:p w14:paraId="3BBC9E02" w14:textId="3326CAA0" w:rsidR="000367C4" w:rsidRPr="00CB642A" w:rsidRDefault="00982A1E" w:rsidP="00952338">
      <w:pPr>
        <w:spacing w:line="276" w:lineRule="auto"/>
        <w:jc w:val="both"/>
        <w:rPr>
          <w:rFonts w:ascii="Arial" w:hAnsi="Arial" w:cs="Arial"/>
          <w:color w:val="000000" w:themeColor="text1"/>
          <w:sz w:val="22"/>
          <w:szCs w:val="22"/>
          <w:lang w:val="es-PE"/>
        </w:rPr>
      </w:pPr>
      <w:r>
        <w:rPr>
          <w:rFonts w:ascii="Arial" w:hAnsi="Arial" w:cs="Arial"/>
          <w:noProof/>
          <w:color w:val="000000" w:themeColor="text1"/>
          <w:sz w:val="22"/>
          <w:szCs w:val="22"/>
          <w:lang w:val="es-PE"/>
        </w:rPr>
        <w:drawing>
          <wp:inline distT="0" distB="0" distL="0" distR="0" wp14:anchorId="4897267B" wp14:editId="767C448F">
            <wp:extent cx="3079115" cy="1211690"/>
            <wp:effectExtent l="0" t="0" r="6985" b="7620"/>
            <wp:docPr id="24601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13627" cy="1225271"/>
                    </a:xfrm>
                    <a:prstGeom prst="rect">
                      <a:avLst/>
                    </a:prstGeom>
                    <a:noFill/>
                  </pic:spPr>
                </pic:pic>
              </a:graphicData>
            </a:graphic>
          </wp:inline>
        </w:drawing>
      </w:r>
    </w:p>
    <w:p w14:paraId="0BFE9FCC" w14:textId="077B28D4" w:rsidR="00B6461D" w:rsidRPr="00A234DA" w:rsidRDefault="000367C4" w:rsidP="00952338">
      <w:pPr>
        <w:pStyle w:val="Caption"/>
        <w:spacing w:line="276" w:lineRule="auto"/>
        <w:jc w:val="center"/>
      </w:pPr>
      <w:r w:rsidRPr="00A234DA">
        <w:t xml:space="preserve">Figura </w:t>
      </w:r>
      <w:r w:rsidRPr="00A234DA">
        <w:fldChar w:fldCharType="begin"/>
      </w:r>
      <w:r w:rsidRPr="00A234DA">
        <w:instrText xml:space="preserve"> SEQ Figura \* ARABIC </w:instrText>
      </w:r>
      <w:r w:rsidRPr="00A234DA">
        <w:fldChar w:fldCharType="separate"/>
      </w:r>
      <w:r w:rsidR="00982A1E">
        <w:rPr>
          <w:noProof/>
        </w:rPr>
        <w:t>1</w:t>
      </w:r>
      <w:r w:rsidRPr="00A234DA">
        <w:fldChar w:fldCharType="end"/>
      </w:r>
      <w:r w:rsidRPr="00A234DA">
        <w:t xml:space="preserve"> Configuraci</w:t>
      </w:r>
      <w:r w:rsidR="00A234DA" w:rsidRPr="00A234DA">
        <w:t>o</w:t>
      </w:r>
      <w:r w:rsidRPr="00A234DA">
        <w:t>nes de mezcla según</w:t>
      </w:r>
      <w:r w:rsidR="00340A88" w:rsidRPr="00A234DA">
        <w:t xml:space="preserve"> Wickland et al. (2006). Fuente : Burden &amp; Wilson (2023).</w:t>
      </w:r>
    </w:p>
    <w:p w14:paraId="1442DEB8" w14:textId="77777777" w:rsidR="00411858" w:rsidRPr="00A234DA" w:rsidRDefault="00411858" w:rsidP="00952338">
      <w:pPr>
        <w:spacing w:before="315" w:after="105" w:line="276" w:lineRule="auto"/>
        <w:ind w:left="-30"/>
        <w:jc w:val="both"/>
        <w:rPr>
          <w:rFonts w:ascii="Arial" w:hAnsi="Arial" w:cs="Arial"/>
          <w:i/>
          <w:iCs/>
          <w:color w:val="000000" w:themeColor="text1"/>
          <w:sz w:val="22"/>
          <w:szCs w:val="22"/>
        </w:rPr>
      </w:pPr>
      <w:r w:rsidRPr="00A234DA">
        <w:rPr>
          <w:rFonts w:ascii="Arial" w:eastAsia="inter" w:hAnsi="Arial" w:cs="Arial"/>
          <w:b/>
          <w:i/>
          <w:iCs/>
          <w:color w:val="000000" w:themeColor="text1"/>
          <w:sz w:val="22"/>
          <w:szCs w:val="22"/>
        </w:rPr>
        <w:t>Integración en el Proceso de Planificación Estratégica</w:t>
      </w:r>
    </w:p>
    <w:p w14:paraId="6466EB45" w14:textId="77777777" w:rsidR="00411858" w:rsidRPr="005329E0" w:rsidRDefault="00411858" w:rsidP="00952338">
      <w:pPr>
        <w:spacing w:after="210" w:line="276" w:lineRule="auto"/>
        <w:jc w:val="both"/>
        <w:rPr>
          <w:rFonts w:ascii="Arial" w:hAnsi="Arial" w:cs="Arial"/>
          <w:color w:val="000000" w:themeColor="text1"/>
          <w:sz w:val="22"/>
          <w:szCs w:val="22"/>
          <w:lang w:val="es-PE"/>
        </w:rPr>
      </w:pPr>
      <w:r w:rsidRPr="005329E0">
        <w:rPr>
          <w:rFonts w:ascii="Arial" w:hAnsi="Arial" w:cs="Arial"/>
          <w:color w:val="000000" w:themeColor="text1"/>
          <w:sz w:val="22"/>
          <w:szCs w:val="22"/>
          <w:lang w:val="es-PE"/>
        </w:rPr>
        <w:t>La integración del commingling en la planificación minera de Antamina sigue un enfoque metodológico estructurado que sitúa la gestión de relaves con desmonte como elementos centrales de la toma de decisiones. Esta estrategia global permite optimizar la mezcla de materiales desde la mina hasta la planta, considerando las restricciones operativas y ambientales asociadas al depósito de relaves. Al incorporar el comportamiento de los relaves en las etapas tempranas de la planificación, se logra mayor eficiencia en el uso de recursos y mejor gestión de riesgos.</w:t>
      </w:r>
    </w:p>
    <w:p w14:paraId="5B5C9945" w14:textId="77777777" w:rsidR="00411858" w:rsidRPr="005329E0" w:rsidRDefault="00411858" w:rsidP="00952338">
      <w:pPr>
        <w:spacing w:after="210" w:line="276" w:lineRule="auto"/>
        <w:jc w:val="both"/>
        <w:rPr>
          <w:rFonts w:ascii="Arial" w:hAnsi="Arial" w:cs="Arial"/>
          <w:color w:val="000000" w:themeColor="text1"/>
          <w:sz w:val="22"/>
          <w:szCs w:val="22"/>
          <w:lang w:val="es-PE"/>
        </w:rPr>
      </w:pPr>
      <w:r w:rsidRPr="005329E0">
        <w:rPr>
          <w:rFonts w:ascii="Arial" w:hAnsi="Arial" w:cs="Arial"/>
          <w:color w:val="000000" w:themeColor="text1"/>
          <w:sz w:val="22"/>
          <w:szCs w:val="22"/>
          <w:lang w:val="es-PE"/>
        </w:rPr>
        <w:t>La estrategia global se divide en tres ejes clave:</w:t>
      </w:r>
    </w:p>
    <w:p w14:paraId="0A70D8CA" w14:textId="2FAA94CF" w:rsidR="00411858" w:rsidRPr="005329E0" w:rsidRDefault="00411858" w:rsidP="00952338">
      <w:pPr>
        <w:numPr>
          <w:ilvl w:val="0"/>
          <w:numId w:val="2"/>
        </w:numPr>
        <w:spacing w:before="105" w:after="105" w:line="276" w:lineRule="auto"/>
        <w:jc w:val="both"/>
        <w:rPr>
          <w:rFonts w:ascii="Arial" w:hAnsi="Arial" w:cs="Arial"/>
          <w:color w:val="000000" w:themeColor="text1"/>
          <w:sz w:val="22"/>
          <w:szCs w:val="22"/>
        </w:rPr>
      </w:pPr>
      <w:r w:rsidRPr="005329E0">
        <w:rPr>
          <w:rFonts w:ascii="Arial" w:eastAsia="inter" w:hAnsi="Arial" w:cs="Arial"/>
          <w:b/>
          <w:color w:val="000000" w:themeColor="text1"/>
          <w:sz w:val="22"/>
          <w:szCs w:val="22"/>
        </w:rPr>
        <w:t xml:space="preserve">Estrategia 1: </w:t>
      </w:r>
      <w:r w:rsidR="005252E0">
        <w:rPr>
          <w:rFonts w:ascii="Arial" w:eastAsia="inter" w:hAnsi="Arial" w:cs="Arial"/>
          <w:b/>
          <w:color w:val="000000" w:themeColor="text1"/>
          <w:sz w:val="22"/>
          <w:szCs w:val="22"/>
        </w:rPr>
        <w:t>Habilitar</w:t>
      </w:r>
      <w:r w:rsidRPr="005329E0">
        <w:rPr>
          <w:rFonts w:ascii="Arial" w:eastAsia="inter" w:hAnsi="Arial" w:cs="Arial"/>
          <w:b/>
          <w:color w:val="000000" w:themeColor="text1"/>
          <w:sz w:val="22"/>
          <w:szCs w:val="22"/>
        </w:rPr>
        <w:t xml:space="preserve"> futuras expansiones: </w:t>
      </w:r>
      <w:r w:rsidRPr="005329E0">
        <w:rPr>
          <w:rFonts w:ascii="Arial" w:eastAsia="inter" w:hAnsi="Arial" w:cs="Arial"/>
          <w:color w:val="000000" w:themeColor="text1"/>
          <w:sz w:val="22"/>
          <w:szCs w:val="22"/>
        </w:rPr>
        <w:t xml:space="preserve">Maximizar la capacidad de almacenamiento de relaves para necesidades actuales y futuras, aprovechando el recurso mineral de Antamina y aplicando tecnología </w:t>
      </w:r>
      <w:r w:rsidR="00612CD7">
        <w:rPr>
          <w:rFonts w:ascii="Arial" w:eastAsia="inter" w:hAnsi="Arial" w:cs="Arial"/>
          <w:color w:val="000000" w:themeColor="text1"/>
          <w:sz w:val="22"/>
          <w:szCs w:val="22"/>
        </w:rPr>
        <w:t xml:space="preserve">de </w:t>
      </w:r>
      <w:r w:rsidR="00A400BF">
        <w:rPr>
          <w:rFonts w:ascii="Arial" w:eastAsia="inter" w:hAnsi="Arial" w:cs="Arial"/>
          <w:color w:val="000000" w:themeColor="text1"/>
          <w:sz w:val="22"/>
          <w:szCs w:val="22"/>
        </w:rPr>
        <w:t>manejo de materiales,</w:t>
      </w:r>
      <w:r w:rsidRPr="005329E0">
        <w:rPr>
          <w:rFonts w:ascii="Arial" w:eastAsia="inter" w:hAnsi="Arial" w:cs="Arial"/>
          <w:color w:val="000000" w:themeColor="text1"/>
          <w:sz w:val="22"/>
          <w:szCs w:val="22"/>
        </w:rPr>
        <w:t xml:space="preserve"> para aumentar la capacidad del depósito de relaves (TSF), asegurando la continuidad operativa a largo plazo.</w:t>
      </w:r>
    </w:p>
    <w:p w14:paraId="2639865D" w14:textId="046EFA1B" w:rsidR="00411858" w:rsidRPr="005329E0" w:rsidRDefault="00411858" w:rsidP="00952338">
      <w:pPr>
        <w:numPr>
          <w:ilvl w:val="0"/>
          <w:numId w:val="2"/>
        </w:numPr>
        <w:spacing w:before="105" w:after="105" w:line="276" w:lineRule="auto"/>
        <w:jc w:val="both"/>
        <w:rPr>
          <w:rFonts w:ascii="Arial" w:hAnsi="Arial" w:cs="Arial"/>
          <w:color w:val="000000" w:themeColor="text1"/>
          <w:sz w:val="22"/>
          <w:szCs w:val="22"/>
        </w:rPr>
      </w:pPr>
      <w:r w:rsidRPr="005329E0">
        <w:rPr>
          <w:rFonts w:ascii="Arial" w:eastAsia="inter" w:hAnsi="Arial" w:cs="Arial"/>
          <w:b/>
          <w:color w:val="000000" w:themeColor="text1"/>
          <w:sz w:val="22"/>
          <w:szCs w:val="22"/>
        </w:rPr>
        <w:t>Estrategia 2: Huella optimizada:</w:t>
      </w:r>
      <w:r w:rsidRPr="005329E0">
        <w:rPr>
          <w:rFonts w:ascii="Arial" w:eastAsia="inter" w:hAnsi="Arial" w:cs="Arial"/>
          <w:color w:val="000000" w:themeColor="text1"/>
          <w:sz w:val="22"/>
          <w:szCs w:val="22"/>
        </w:rPr>
        <w:t xml:space="preserve"> Optimizar la huella total del proyecto equilibrando el espacio de almacenamiento de desmonte y relaves. Este enfoque se alinea directamente con los principios del commingling al maximizar el uso eficiente del terreno disponible dentro de la huella operativa actual</w:t>
      </w:r>
      <w:r w:rsidR="00C213BB">
        <w:rPr>
          <w:rFonts w:ascii="Arial" w:eastAsia="inter" w:hAnsi="Arial" w:cs="Arial"/>
          <w:color w:val="000000" w:themeColor="text1"/>
          <w:sz w:val="22"/>
          <w:szCs w:val="22"/>
        </w:rPr>
        <w:t>, impactar</w:t>
      </w:r>
      <w:r w:rsidR="00DA537C">
        <w:rPr>
          <w:rFonts w:ascii="Arial" w:eastAsia="inter" w:hAnsi="Arial" w:cs="Arial"/>
          <w:color w:val="000000" w:themeColor="text1"/>
          <w:sz w:val="22"/>
          <w:szCs w:val="22"/>
        </w:rPr>
        <w:t xml:space="preserve"> menor superficie del terreno, generar el menor impacto ambiental en el área y reducir costos de cierre</w:t>
      </w:r>
      <w:r w:rsidRPr="005329E0">
        <w:rPr>
          <w:rFonts w:ascii="Arial" w:eastAsia="inter" w:hAnsi="Arial" w:cs="Arial"/>
          <w:color w:val="000000" w:themeColor="text1"/>
          <w:sz w:val="22"/>
          <w:szCs w:val="22"/>
        </w:rPr>
        <w:t>.</w:t>
      </w:r>
    </w:p>
    <w:p w14:paraId="07E4747B" w14:textId="1FF8ECA2" w:rsidR="00411858" w:rsidRPr="00AD1CD4" w:rsidRDefault="00411858" w:rsidP="00952338">
      <w:pPr>
        <w:numPr>
          <w:ilvl w:val="0"/>
          <w:numId w:val="2"/>
        </w:numPr>
        <w:spacing w:before="105" w:after="105" w:line="276" w:lineRule="auto"/>
        <w:jc w:val="both"/>
        <w:rPr>
          <w:rFonts w:ascii="Arial" w:hAnsi="Arial" w:cs="Arial"/>
          <w:color w:val="000000" w:themeColor="text1"/>
          <w:sz w:val="22"/>
          <w:szCs w:val="22"/>
        </w:rPr>
      </w:pPr>
      <w:r w:rsidRPr="005329E0">
        <w:rPr>
          <w:rFonts w:ascii="Arial" w:eastAsia="inter" w:hAnsi="Arial" w:cs="Arial"/>
          <w:b/>
          <w:color w:val="000000" w:themeColor="text1"/>
          <w:sz w:val="22"/>
          <w:szCs w:val="22"/>
        </w:rPr>
        <w:t>Estrategia 3: Reducir CAPEX inicial:</w:t>
      </w:r>
      <w:r w:rsidRPr="005329E0">
        <w:rPr>
          <w:rFonts w:ascii="Arial" w:eastAsia="inter" w:hAnsi="Arial" w:cs="Arial"/>
          <w:color w:val="000000" w:themeColor="text1"/>
          <w:sz w:val="22"/>
          <w:szCs w:val="22"/>
        </w:rPr>
        <w:t xml:space="preserve"> Reducir el CAPEX inicial para mejorar indicadores financieros clave (TIR), alineándose con los beneficios económicos demostrados del commingling, minimizando costos operativos con un TSF cercano y optimizando el calendario d</w:t>
      </w:r>
      <w:r w:rsidR="00697B0D">
        <w:rPr>
          <w:rFonts w:ascii="Arial" w:eastAsia="inter" w:hAnsi="Arial" w:cs="Arial"/>
          <w:color w:val="000000" w:themeColor="text1"/>
          <w:sz w:val="22"/>
          <w:szCs w:val="22"/>
        </w:rPr>
        <w:t>e</w:t>
      </w:r>
      <w:r w:rsidRPr="005329E0">
        <w:rPr>
          <w:rFonts w:ascii="Arial" w:eastAsia="inter" w:hAnsi="Arial" w:cs="Arial"/>
          <w:color w:val="000000" w:themeColor="text1"/>
          <w:sz w:val="22"/>
          <w:szCs w:val="22"/>
        </w:rPr>
        <w:t xml:space="preserve"> inversiones.</w:t>
      </w:r>
    </w:p>
    <w:p w14:paraId="279E554B" w14:textId="5212E80C" w:rsidR="00AD1CD4" w:rsidRDefault="00AD1CD4" w:rsidP="00952338">
      <w:pPr>
        <w:spacing w:before="105" w:after="105" w:line="276" w:lineRule="auto"/>
        <w:jc w:val="both"/>
        <w:rPr>
          <w:rFonts w:ascii="Arial" w:hAnsi="Arial" w:cs="Arial"/>
          <w:color w:val="000000" w:themeColor="text1"/>
          <w:sz w:val="22"/>
          <w:szCs w:val="22"/>
        </w:rPr>
      </w:pPr>
      <w:r>
        <w:rPr>
          <w:rFonts w:ascii="Arial" w:hAnsi="Arial" w:cs="Arial"/>
          <w:color w:val="000000" w:themeColor="text1"/>
          <w:sz w:val="22"/>
          <w:szCs w:val="22"/>
        </w:rPr>
        <w:t xml:space="preserve">Ver el detalle en la </w:t>
      </w:r>
      <w:r>
        <w:rPr>
          <w:rFonts w:ascii="Arial" w:hAnsi="Arial" w:cs="Arial"/>
          <w:color w:val="000000" w:themeColor="text1"/>
          <w:sz w:val="22"/>
          <w:szCs w:val="22"/>
        </w:rPr>
        <w:fldChar w:fldCharType="begin"/>
      </w:r>
      <w:r>
        <w:rPr>
          <w:rFonts w:ascii="Arial" w:hAnsi="Arial" w:cs="Arial"/>
          <w:color w:val="000000" w:themeColor="text1"/>
          <w:sz w:val="22"/>
          <w:szCs w:val="22"/>
        </w:rPr>
        <w:instrText xml:space="preserve"> REF _Ref202453055 \h </w:instrText>
      </w:r>
      <w:r w:rsidR="00952338">
        <w:rPr>
          <w:rFonts w:ascii="Arial" w:hAnsi="Arial" w:cs="Arial"/>
          <w:color w:val="000000" w:themeColor="text1"/>
          <w:sz w:val="22"/>
          <w:szCs w:val="22"/>
        </w:rPr>
        <w:instrText xml:space="preserve"> \* MERGEFORMAT </w:instrText>
      </w:r>
      <w:r>
        <w:rPr>
          <w:rFonts w:ascii="Arial" w:hAnsi="Arial" w:cs="Arial"/>
          <w:color w:val="000000" w:themeColor="text1"/>
          <w:sz w:val="22"/>
          <w:szCs w:val="22"/>
        </w:rPr>
      </w:r>
      <w:r>
        <w:rPr>
          <w:rFonts w:ascii="Arial" w:hAnsi="Arial" w:cs="Arial"/>
          <w:color w:val="000000" w:themeColor="text1"/>
          <w:sz w:val="22"/>
          <w:szCs w:val="22"/>
        </w:rPr>
        <w:fldChar w:fldCharType="separate"/>
      </w:r>
      <w:r w:rsidR="00982A1E" w:rsidRPr="00A234DA">
        <w:t xml:space="preserve">Figura </w:t>
      </w:r>
      <w:r w:rsidR="00982A1E">
        <w:rPr>
          <w:noProof/>
        </w:rPr>
        <w:t>4</w:t>
      </w:r>
      <w:r w:rsidR="00982A1E" w:rsidRPr="00A234DA">
        <w:t xml:space="preserve"> Visión estratégica del efoque de planificación minera con commingling</w:t>
      </w:r>
      <w:r>
        <w:rPr>
          <w:rFonts w:ascii="Arial" w:hAnsi="Arial" w:cs="Arial"/>
          <w:color w:val="000000" w:themeColor="text1"/>
          <w:sz w:val="22"/>
          <w:szCs w:val="22"/>
        </w:rPr>
        <w:fldChar w:fldCharType="end"/>
      </w:r>
    </w:p>
    <w:p w14:paraId="0414AB84" w14:textId="5DCF37DD" w:rsidR="00177C6E" w:rsidRPr="005329E0" w:rsidRDefault="00177C6E" w:rsidP="00952338">
      <w:pPr>
        <w:spacing w:after="210" w:line="276" w:lineRule="auto"/>
        <w:jc w:val="both"/>
        <w:rPr>
          <w:rFonts w:ascii="Arial" w:hAnsi="Arial" w:cs="Arial"/>
          <w:color w:val="000000" w:themeColor="text1"/>
          <w:sz w:val="22"/>
          <w:szCs w:val="22"/>
          <w:lang w:val="es-PE"/>
        </w:rPr>
      </w:pPr>
      <w:r w:rsidRPr="005329E0">
        <w:rPr>
          <w:rFonts w:ascii="Arial" w:eastAsia="inter" w:hAnsi="Arial" w:cs="Arial"/>
          <w:color w:val="000000" w:themeColor="text1"/>
          <w:sz w:val="22"/>
          <w:szCs w:val="22"/>
        </w:rPr>
        <w:br/>
      </w:r>
      <w:r w:rsidRPr="005329E0">
        <w:rPr>
          <w:rFonts w:ascii="Arial" w:hAnsi="Arial" w:cs="Arial"/>
          <w:color w:val="000000" w:themeColor="text1"/>
          <w:sz w:val="22"/>
          <w:szCs w:val="22"/>
          <w:lang w:val="es-PE"/>
        </w:rPr>
        <w:t xml:space="preserve">Las estrategias implementadas en la gestión de presas de relaves y depósitos de desmonte buscan maximizar la vida útil de la mina y optimizar el valor del activo. </w:t>
      </w:r>
      <w:r w:rsidRPr="003F751D">
        <w:rPr>
          <w:rFonts w:ascii="Arial" w:hAnsi="Arial" w:cs="Arial"/>
          <w:b/>
          <w:color w:val="000000" w:themeColor="text1"/>
          <w:sz w:val="22"/>
          <w:szCs w:val="22"/>
          <w:lang w:val="es-PE"/>
        </w:rPr>
        <w:t xml:space="preserve">Estas </w:t>
      </w:r>
      <w:r w:rsidR="0013392B">
        <w:rPr>
          <w:rFonts w:ascii="Arial" w:hAnsi="Arial" w:cs="Arial"/>
          <w:color w:val="000000" w:themeColor="text1"/>
          <w:sz w:val="22"/>
          <w:szCs w:val="22"/>
          <w:lang w:val="es-PE"/>
        </w:rPr>
        <w:t>estrategias</w:t>
      </w:r>
      <w:r w:rsidRPr="003F751D">
        <w:rPr>
          <w:rFonts w:ascii="Arial" w:hAnsi="Arial" w:cs="Arial"/>
          <w:b/>
          <w:color w:val="000000" w:themeColor="text1"/>
          <w:sz w:val="22"/>
          <w:szCs w:val="22"/>
          <w:lang w:val="es-PE"/>
        </w:rPr>
        <w:t xml:space="preserve"> se traducen en acciones concretas</w:t>
      </w:r>
      <w:r w:rsidRPr="005329E0">
        <w:rPr>
          <w:rFonts w:ascii="Arial" w:hAnsi="Arial" w:cs="Arial"/>
          <w:color w:val="000000" w:themeColor="text1"/>
          <w:sz w:val="22"/>
          <w:szCs w:val="22"/>
          <w:lang w:val="es-PE"/>
        </w:rPr>
        <w:t xml:space="preserve"> que abordan la sostenibilidad, </w:t>
      </w:r>
      <w:r w:rsidRPr="005329E0">
        <w:rPr>
          <w:rFonts w:ascii="Arial" w:hAnsi="Arial" w:cs="Arial"/>
          <w:color w:val="000000" w:themeColor="text1"/>
          <w:sz w:val="22"/>
          <w:szCs w:val="22"/>
          <w:lang w:val="es-PE"/>
        </w:rPr>
        <w:lastRenderedPageBreak/>
        <w:t>eficiencia operativa y reducción de costos, asegurando la continuidad y el éxito a largo plazo de la operación minera</w:t>
      </w:r>
      <w:r w:rsidR="0054370C">
        <w:rPr>
          <w:rFonts w:ascii="Arial" w:hAnsi="Arial" w:cs="Arial"/>
          <w:color w:val="000000" w:themeColor="text1"/>
          <w:sz w:val="22"/>
          <w:szCs w:val="22"/>
          <w:lang w:val="es-PE"/>
        </w:rPr>
        <w:t>:</w:t>
      </w:r>
    </w:p>
    <w:p w14:paraId="28049111" w14:textId="665C58E6" w:rsidR="00177C6E" w:rsidRPr="005329E0" w:rsidRDefault="0054370C" w:rsidP="00952338">
      <w:pPr>
        <w:numPr>
          <w:ilvl w:val="0"/>
          <w:numId w:val="3"/>
        </w:numPr>
        <w:spacing w:before="105" w:after="105" w:line="276" w:lineRule="auto"/>
        <w:jc w:val="both"/>
        <w:rPr>
          <w:rFonts w:ascii="Arial" w:hAnsi="Arial" w:cs="Arial"/>
          <w:color w:val="000000" w:themeColor="text1"/>
          <w:sz w:val="22"/>
          <w:szCs w:val="22"/>
          <w:lang w:val="es-PE"/>
        </w:rPr>
      </w:pPr>
      <w:r>
        <w:rPr>
          <w:rFonts w:ascii="Arial" w:eastAsia="inter" w:hAnsi="Arial" w:cs="Arial"/>
          <w:b/>
          <w:color w:val="000000" w:themeColor="text1"/>
          <w:sz w:val="22"/>
          <w:szCs w:val="22"/>
        </w:rPr>
        <w:t>Habilitar a</w:t>
      </w:r>
      <w:r w:rsidR="00177C6E" w:rsidRPr="005329E0">
        <w:rPr>
          <w:rFonts w:ascii="Arial" w:eastAsia="inter" w:hAnsi="Arial" w:cs="Arial"/>
          <w:b/>
          <w:color w:val="000000" w:themeColor="text1"/>
          <w:sz w:val="22"/>
          <w:szCs w:val="22"/>
        </w:rPr>
        <w:t>ctivo</w:t>
      </w:r>
      <w:r>
        <w:rPr>
          <w:rFonts w:ascii="Arial" w:eastAsia="inter" w:hAnsi="Arial" w:cs="Arial"/>
          <w:b/>
          <w:color w:val="000000" w:themeColor="text1"/>
          <w:sz w:val="22"/>
          <w:szCs w:val="22"/>
        </w:rPr>
        <w:t>s</w:t>
      </w:r>
      <w:r w:rsidR="00177C6E" w:rsidRPr="005329E0">
        <w:rPr>
          <w:rFonts w:ascii="Arial" w:eastAsia="inter" w:hAnsi="Arial" w:cs="Arial"/>
          <w:b/>
          <w:color w:val="000000" w:themeColor="text1"/>
          <w:sz w:val="22"/>
          <w:szCs w:val="22"/>
        </w:rPr>
        <w:t xml:space="preserve"> de larga vida:</w:t>
      </w:r>
      <w:r w:rsidR="00177C6E" w:rsidRPr="005329E0">
        <w:rPr>
          <w:rFonts w:ascii="Arial" w:eastAsia="inter" w:hAnsi="Arial" w:cs="Arial"/>
          <w:color w:val="000000" w:themeColor="text1"/>
          <w:sz w:val="22"/>
          <w:szCs w:val="22"/>
        </w:rPr>
        <w:t xml:space="preserve"> </w:t>
      </w:r>
      <w:r w:rsidR="00177C6E" w:rsidRPr="005329E0">
        <w:rPr>
          <w:rFonts w:ascii="Arial" w:hAnsi="Arial" w:cs="Arial"/>
          <w:color w:val="000000" w:themeColor="text1"/>
          <w:sz w:val="22"/>
          <w:szCs w:val="22"/>
          <w:lang w:val="es-PE"/>
        </w:rPr>
        <w:t>La visión de Antamina como activo de larga vida implica tomar decisiones basadas en la explotación sostenible de sus excepcionales recursos minerales. Esto incluye adoptar tecnologías avanzadas, como el commingling, para mejorar la capacidad de almacenamiento y asegurar la continuidad operativa hasta 2036 y más allá, maximizando así el valor del recurso mineral.</w:t>
      </w:r>
    </w:p>
    <w:p w14:paraId="523DEFCC" w14:textId="77777777" w:rsidR="00177C6E" w:rsidRPr="005329E0" w:rsidRDefault="00177C6E" w:rsidP="00952338">
      <w:pPr>
        <w:numPr>
          <w:ilvl w:val="0"/>
          <w:numId w:val="3"/>
        </w:numPr>
        <w:spacing w:before="105" w:after="105" w:line="276" w:lineRule="auto"/>
        <w:jc w:val="both"/>
        <w:rPr>
          <w:rFonts w:ascii="Arial" w:hAnsi="Arial" w:cs="Arial"/>
          <w:color w:val="000000" w:themeColor="text1"/>
          <w:sz w:val="22"/>
          <w:szCs w:val="22"/>
          <w:lang w:val="es-PE"/>
        </w:rPr>
      </w:pPr>
      <w:r w:rsidRPr="005329E0">
        <w:rPr>
          <w:rFonts w:ascii="Arial" w:eastAsia="inter" w:hAnsi="Arial" w:cs="Arial"/>
          <w:b/>
          <w:color w:val="000000" w:themeColor="text1"/>
          <w:sz w:val="22"/>
          <w:szCs w:val="22"/>
        </w:rPr>
        <w:t>Reducir huella ambiental y social:</w:t>
      </w:r>
      <w:r w:rsidRPr="005329E0">
        <w:rPr>
          <w:rFonts w:ascii="Arial" w:eastAsia="inter" w:hAnsi="Arial" w:cs="Arial"/>
          <w:color w:val="000000" w:themeColor="text1"/>
          <w:sz w:val="22"/>
          <w:szCs w:val="22"/>
        </w:rPr>
        <w:t xml:space="preserve"> </w:t>
      </w:r>
      <w:r w:rsidRPr="005329E0">
        <w:rPr>
          <w:rFonts w:ascii="Arial" w:hAnsi="Arial" w:cs="Arial"/>
          <w:color w:val="000000" w:themeColor="text1"/>
          <w:sz w:val="22"/>
          <w:szCs w:val="22"/>
          <w:lang w:val="es-PE"/>
        </w:rPr>
        <w:t>El enfoque estratégico prioriza la reducción del impacto ambiental y social mediante la operación dentro de la huella actual, aumentando la disponibilidad de agua mediante filtración, optimizando el uso del espacio y minimizando riesgos asociados a presas de relaves. El commingling contribuye no solo a la eficiencia técnica y económica, sino también a los objetivos de sostenibilidad y responsabilidad social corporativa.</w:t>
      </w:r>
    </w:p>
    <w:p w14:paraId="2D254EE9" w14:textId="77777777" w:rsidR="00177C6E" w:rsidRPr="005329E0" w:rsidRDefault="00177C6E" w:rsidP="00952338">
      <w:pPr>
        <w:numPr>
          <w:ilvl w:val="0"/>
          <w:numId w:val="3"/>
        </w:numPr>
        <w:spacing w:before="105" w:after="105" w:line="276" w:lineRule="auto"/>
        <w:jc w:val="both"/>
        <w:rPr>
          <w:rFonts w:ascii="Arial" w:hAnsi="Arial" w:cs="Arial"/>
          <w:color w:val="000000" w:themeColor="text1"/>
          <w:sz w:val="22"/>
          <w:szCs w:val="22"/>
          <w:lang w:val="es-PE"/>
        </w:rPr>
      </w:pPr>
      <w:r w:rsidRPr="005329E0">
        <w:rPr>
          <w:rFonts w:ascii="Arial" w:eastAsia="inter" w:hAnsi="Arial" w:cs="Arial"/>
          <w:b/>
          <w:color w:val="000000" w:themeColor="text1"/>
          <w:sz w:val="22"/>
          <w:szCs w:val="22"/>
        </w:rPr>
        <w:t>Reducir costos de capital y operación</w:t>
      </w:r>
      <w:r w:rsidRPr="005329E0">
        <w:rPr>
          <w:rFonts w:ascii="Arial" w:eastAsia="inter" w:hAnsi="Arial" w:cs="Arial"/>
          <w:color w:val="000000" w:themeColor="text1"/>
          <w:sz w:val="22"/>
          <w:szCs w:val="22"/>
        </w:rPr>
        <w:t>:</w:t>
      </w:r>
      <w:r w:rsidRPr="005329E0">
        <w:rPr>
          <w:rFonts w:ascii="Arial" w:hAnsi="Arial" w:cs="Arial"/>
          <w:color w:val="000000" w:themeColor="text1"/>
          <w:sz w:val="22"/>
          <w:szCs w:val="22"/>
          <w:lang w:val="es-PE"/>
        </w:rPr>
        <w:t xml:space="preserve"> La estrategia de reducción de costos se centra en optimizar las inversiones de capital (CAPEX) y su calendario, así como minimizar los costos operativos mediante la ubicación estratégica de instalaciones y aprovechando sinergias para evitar infraestructuras duplicadas. Esto permite una gestión de recursos más eficiente y rentable.</w:t>
      </w:r>
    </w:p>
    <w:p w14:paraId="0B510668" w14:textId="77777777" w:rsidR="00177C6E" w:rsidRDefault="00177C6E" w:rsidP="00952338">
      <w:pPr>
        <w:spacing w:after="210" w:line="276" w:lineRule="auto"/>
        <w:jc w:val="both"/>
        <w:rPr>
          <w:rFonts w:ascii="Arial" w:hAnsi="Arial" w:cs="Arial"/>
          <w:color w:val="000000" w:themeColor="text1"/>
          <w:sz w:val="22"/>
          <w:szCs w:val="22"/>
          <w:lang w:val="es-PE"/>
        </w:rPr>
      </w:pPr>
      <w:r w:rsidRPr="005329E0">
        <w:rPr>
          <w:rFonts w:ascii="Arial" w:hAnsi="Arial" w:cs="Arial"/>
          <w:color w:val="000000" w:themeColor="text1"/>
          <w:sz w:val="22"/>
          <w:szCs w:val="22"/>
          <w:lang w:val="es-PE"/>
        </w:rPr>
        <w:t>Durante la fase de planificación estratégica, se establecen los fundamentos conceptuales para la implementación del commingling, incluyendo la caracterización del sitio, el desarrollo del marco regulatorio y el análisis de factibilidad técnico-económica.</w:t>
      </w:r>
    </w:p>
    <w:p w14:paraId="2215D021" w14:textId="05CA93B3" w:rsidR="003643B7" w:rsidRPr="003643B7" w:rsidRDefault="003643B7" w:rsidP="003643B7">
      <w:pPr>
        <w:spacing w:before="315" w:after="105" w:line="276" w:lineRule="auto"/>
        <w:jc w:val="both"/>
        <w:rPr>
          <w:rFonts w:ascii="Arial" w:eastAsia="inter" w:hAnsi="Arial" w:cs="Arial"/>
          <w:b/>
          <w:color w:val="000000" w:themeColor="text1"/>
          <w:sz w:val="22"/>
          <w:szCs w:val="22"/>
          <w:u w:val="single"/>
        </w:rPr>
      </w:pPr>
      <w:r w:rsidRPr="003643B7">
        <w:rPr>
          <w:rFonts w:ascii="Arial" w:eastAsia="inter" w:hAnsi="Arial" w:cs="Arial"/>
          <w:b/>
          <w:color w:val="000000" w:themeColor="text1"/>
          <w:sz w:val="22"/>
          <w:szCs w:val="22"/>
          <w:u w:val="single"/>
        </w:rPr>
        <w:t>Análisis del sistema minero aplicando commingling</w:t>
      </w:r>
    </w:p>
    <w:p w14:paraId="02E00067" w14:textId="77777777" w:rsidR="003643B7" w:rsidRPr="00A80AD4" w:rsidRDefault="003643B7" w:rsidP="003643B7">
      <w:pPr>
        <w:spacing w:before="315" w:after="105" w:line="276" w:lineRule="auto"/>
        <w:ind w:left="-30"/>
        <w:jc w:val="both"/>
        <w:rPr>
          <w:rFonts w:ascii="Arial" w:hAnsi="Arial" w:cs="Arial"/>
          <w:i/>
          <w:iCs/>
          <w:color w:val="000000" w:themeColor="text1"/>
          <w:sz w:val="22"/>
          <w:szCs w:val="22"/>
        </w:rPr>
      </w:pPr>
      <w:r w:rsidRPr="00A80AD4">
        <w:rPr>
          <w:rFonts w:ascii="Arial" w:eastAsia="inter" w:hAnsi="Arial" w:cs="Arial"/>
          <w:b/>
          <w:i/>
          <w:iCs/>
          <w:color w:val="000000" w:themeColor="text1"/>
          <w:sz w:val="22"/>
          <w:szCs w:val="22"/>
        </w:rPr>
        <w:t>Estructura del Proceso Metodológico</w:t>
      </w:r>
    </w:p>
    <w:p w14:paraId="667C2716" w14:textId="77777777" w:rsidR="003643B7" w:rsidRPr="005329E0" w:rsidRDefault="003643B7" w:rsidP="003643B7">
      <w:pPr>
        <w:spacing w:after="210" w:line="276" w:lineRule="auto"/>
        <w:jc w:val="both"/>
        <w:rPr>
          <w:rFonts w:ascii="Arial" w:hAnsi="Arial" w:cs="Arial"/>
          <w:color w:val="000000" w:themeColor="text1"/>
          <w:sz w:val="22"/>
          <w:szCs w:val="22"/>
        </w:rPr>
      </w:pPr>
      <w:r w:rsidRPr="005329E0">
        <w:rPr>
          <w:rFonts w:ascii="Arial" w:eastAsia="inter" w:hAnsi="Arial" w:cs="Arial"/>
          <w:color w:val="000000" w:themeColor="text1"/>
          <w:sz w:val="22"/>
          <w:szCs w:val="22"/>
        </w:rPr>
        <w:t>El proceso metodológico se organiza en etapas secuenciales que aseguran la integración efectiva del commingling en la planificación minera:</w:t>
      </w:r>
    </w:p>
    <w:p w14:paraId="43F475A0" w14:textId="77777777" w:rsidR="003643B7" w:rsidRPr="005329E0" w:rsidRDefault="003643B7" w:rsidP="003643B7">
      <w:pPr>
        <w:numPr>
          <w:ilvl w:val="0"/>
          <w:numId w:val="5"/>
        </w:numPr>
        <w:spacing w:before="105" w:after="105" w:line="276" w:lineRule="auto"/>
        <w:jc w:val="both"/>
        <w:rPr>
          <w:rFonts w:ascii="Arial" w:hAnsi="Arial" w:cs="Arial"/>
          <w:color w:val="000000" w:themeColor="text1"/>
          <w:sz w:val="22"/>
          <w:szCs w:val="22"/>
        </w:rPr>
      </w:pPr>
      <w:r w:rsidRPr="005329E0">
        <w:rPr>
          <w:rFonts w:ascii="Arial" w:eastAsia="inter" w:hAnsi="Arial" w:cs="Arial"/>
          <w:b/>
          <w:color w:val="000000" w:themeColor="text1"/>
          <w:sz w:val="22"/>
          <w:szCs w:val="22"/>
        </w:rPr>
        <w:t>Evaluación integral de materiales:</w:t>
      </w:r>
      <w:r w:rsidRPr="005329E0">
        <w:rPr>
          <w:rFonts w:ascii="Arial" w:eastAsia="inter" w:hAnsi="Arial" w:cs="Arial"/>
          <w:color w:val="000000" w:themeColor="text1"/>
          <w:sz w:val="22"/>
          <w:szCs w:val="22"/>
        </w:rPr>
        <w:t xml:space="preserve"> Análisis detallado de las características geotécnicas y geoquímicas de los materiales disponibles, identificando su idoneidad para mezclas y disposición conjunta.</w:t>
      </w:r>
    </w:p>
    <w:p w14:paraId="1451448F" w14:textId="77777777" w:rsidR="003643B7" w:rsidRPr="005329E0" w:rsidRDefault="003643B7" w:rsidP="003643B7">
      <w:pPr>
        <w:numPr>
          <w:ilvl w:val="0"/>
          <w:numId w:val="5"/>
        </w:numPr>
        <w:spacing w:before="105" w:after="105" w:line="276" w:lineRule="auto"/>
        <w:jc w:val="both"/>
        <w:rPr>
          <w:rFonts w:ascii="Arial" w:hAnsi="Arial" w:cs="Arial"/>
          <w:color w:val="000000" w:themeColor="text1"/>
          <w:sz w:val="22"/>
          <w:szCs w:val="22"/>
        </w:rPr>
      </w:pPr>
      <w:r w:rsidRPr="005329E0">
        <w:rPr>
          <w:rFonts w:ascii="Arial" w:eastAsia="inter" w:hAnsi="Arial" w:cs="Arial"/>
          <w:b/>
          <w:color w:val="000000" w:themeColor="text1"/>
          <w:sz w:val="22"/>
          <w:szCs w:val="22"/>
        </w:rPr>
        <w:t>Desarrollo de diseño de mezclas:</w:t>
      </w:r>
      <w:r w:rsidRPr="005329E0">
        <w:rPr>
          <w:rFonts w:ascii="Arial" w:eastAsia="inter" w:hAnsi="Arial" w:cs="Arial"/>
          <w:color w:val="000000" w:themeColor="text1"/>
          <w:sz w:val="22"/>
          <w:szCs w:val="22"/>
        </w:rPr>
        <w:t xml:space="preserve"> Diseño de mezclas optimizadas que maximicen las propiedades deseadas del material </w:t>
      </w:r>
      <w:r>
        <w:rPr>
          <w:rFonts w:ascii="Arial" w:eastAsia="inter" w:hAnsi="Arial" w:cs="Arial"/>
          <w:color w:val="000000" w:themeColor="text1"/>
          <w:sz w:val="22"/>
          <w:szCs w:val="22"/>
        </w:rPr>
        <w:t xml:space="preserve">de </w:t>
      </w:r>
      <w:r w:rsidRPr="005329E0">
        <w:rPr>
          <w:rFonts w:ascii="Arial" w:eastAsia="inter" w:hAnsi="Arial" w:cs="Arial"/>
          <w:color w:val="000000" w:themeColor="text1"/>
          <w:sz w:val="22"/>
          <w:szCs w:val="22"/>
        </w:rPr>
        <w:t>commingl</w:t>
      </w:r>
      <w:r>
        <w:rPr>
          <w:rFonts w:ascii="Arial" w:eastAsia="inter" w:hAnsi="Arial" w:cs="Arial"/>
          <w:color w:val="000000" w:themeColor="text1"/>
          <w:sz w:val="22"/>
          <w:szCs w:val="22"/>
        </w:rPr>
        <w:t>ing</w:t>
      </w:r>
      <w:r w:rsidRPr="005329E0">
        <w:rPr>
          <w:rFonts w:ascii="Arial" w:eastAsia="inter" w:hAnsi="Arial" w:cs="Arial"/>
          <w:color w:val="000000" w:themeColor="text1"/>
          <w:sz w:val="22"/>
          <w:szCs w:val="22"/>
        </w:rPr>
        <w:t>, como baja permeabilidad y alta estabilidad, minimizando la generación de aguas ácidas y mejorando el comportamiento mecánico del depósito.</w:t>
      </w:r>
    </w:p>
    <w:p w14:paraId="0CBFD5BA" w14:textId="77777777" w:rsidR="003643B7" w:rsidRPr="005329E0" w:rsidRDefault="003643B7" w:rsidP="003643B7">
      <w:pPr>
        <w:numPr>
          <w:ilvl w:val="0"/>
          <w:numId w:val="5"/>
        </w:numPr>
        <w:spacing w:before="105" w:after="105" w:line="276" w:lineRule="auto"/>
        <w:jc w:val="both"/>
        <w:rPr>
          <w:rFonts w:ascii="Arial" w:hAnsi="Arial" w:cs="Arial"/>
          <w:color w:val="000000" w:themeColor="text1"/>
          <w:sz w:val="22"/>
          <w:szCs w:val="22"/>
        </w:rPr>
      </w:pPr>
      <w:r w:rsidRPr="005329E0">
        <w:rPr>
          <w:rFonts w:ascii="Arial" w:eastAsia="inter" w:hAnsi="Arial" w:cs="Arial"/>
          <w:b/>
          <w:color w:val="000000" w:themeColor="text1"/>
          <w:sz w:val="22"/>
          <w:szCs w:val="22"/>
        </w:rPr>
        <w:t>Implementación de pruebas piloto</w:t>
      </w:r>
      <w:r w:rsidRPr="005329E0">
        <w:rPr>
          <w:rFonts w:ascii="Arial" w:eastAsia="inter" w:hAnsi="Arial" w:cs="Arial"/>
          <w:color w:val="000000" w:themeColor="text1"/>
          <w:sz w:val="22"/>
          <w:szCs w:val="22"/>
        </w:rPr>
        <w:t>: Ejecución de pruebas piloto e industriales para validar el desempeño de las mezclas y ajustar los parámetros de diseño según los resultados obtenidos en condiciones reales de operación.</w:t>
      </w:r>
    </w:p>
    <w:p w14:paraId="367707C1" w14:textId="77777777" w:rsidR="003643B7" w:rsidRPr="005329E0" w:rsidRDefault="003643B7" w:rsidP="003643B7">
      <w:pPr>
        <w:numPr>
          <w:ilvl w:val="0"/>
          <w:numId w:val="5"/>
        </w:numPr>
        <w:spacing w:before="105" w:after="105" w:line="276" w:lineRule="auto"/>
        <w:jc w:val="both"/>
        <w:rPr>
          <w:rFonts w:ascii="Arial" w:hAnsi="Arial" w:cs="Arial"/>
          <w:color w:val="000000" w:themeColor="text1"/>
          <w:sz w:val="22"/>
          <w:szCs w:val="22"/>
        </w:rPr>
      </w:pPr>
      <w:r w:rsidRPr="005329E0">
        <w:rPr>
          <w:rFonts w:ascii="Arial" w:eastAsia="inter" w:hAnsi="Arial" w:cs="Arial"/>
          <w:b/>
          <w:color w:val="000000" w:themeColor="text1"/>
          <w:sz w:val="22"/>
          <w:szCs w:val="22"/>
        </w:rPr>
        <w:t>Monitoreo y ajuste:</w:t>
      </w:r>
      <w:r w:rsidRPr="005329E0">
        <w:rPr>
          <w:rFonts w:ascii="Arial" w:eastAsia="inter" w:hAnsi="Arial" w:cs="Arial"/>
          <w:color w:val="000000" w:themeColor="text1"/>
          <w:sz w:val="22"/>
          <w:szCs w:val="22"/>
        </w:rPr>
        <w:t xml:space="preserve"> Establecimiento de un sistema de monitoreo continuo para evaluar la consolidación, estabilidad y comportamiento geoquímico de los depósitos, permitiendo ajustes operativos y de diseño a medida que se recopila nueva información.</w:t>
      </w:r>
    </w:p>
    <w:p w14:paraId="3E6F7B61" w14:textId="1353675A" w:rsidR="003643B7" w:rsidRPr="003643B7" w:rsidRDefault="003643B7" w:rsidP="003643B7">
      <w:pPr>
        <w:spacing w:before="315" w:after="105" w:line="276" w:lineRule="auto"/>
        <w:jc w:val="both"/>
        <w:rPr>
          <w:rFonts w:ascii="Arial" w:hAnsi="Arial" w:cs="Arial"/>
          <w:color w:val="000000" w:themeColor="text1"/>
          <w:sz w:val="22"/>
          <w:szCs w:val="22"/>
          <w:u w:val="single"/>
        </w:rPr>
      </w:pPr>
      <w:r w:rsidRPr="003643B7">
        <w:rPr>
          <w:rFonts w:ascii="Arial" w:eastAsia="inter" w:hAnsi="Arial" w:cs="Arial"/>
          <w:b/>
          <w:color w:val="000000" w:themeColor="text1"/>
          <w:sz w:val="22"/>
          <w:szCs w:val="22"/>
          <w:u w:val="single"/>
        </w:rPr>
        <w:t>Metodología de Implementación y Evaluación del Comingling en el proceso de planificación</w:t>
      </w:r>
    </w:p>
    <w:p w14:paraId="55DD0989" w14:textId="5FE87C70" w:rsidR="00177C6E" w:rsidRPr="008A0FE9" w:rsidRDefault="00177C6E" w:rsidP="00952338">
      <w:pPr>
        <w:spacing w:before="315" w:after="105" w:line="276" w:lineRule="auto"/>
        <w:ind w:left="-30"/>
        <w:jc w:val="both"/>
        <w:rPr>
          <w:rFonts w:ascii="Arial" w:hAnsi="Arial" w:cs="Arial"/>
          <w:i/>
          <w:iCs/>
          <w:color w:val="000000" w:themeColor="text1"/>
          <w:sz w:val="22"/>
          <w:szCs w:val="22"/>
        </w:rPr>
      </w:pPr>
      <w:r w:rsidRPr="008A0FE9">
        <w:rPr>
          <w:rFonts w:ascii="Arial" w:eastAsia="inter" w:hAnsi="Arial" w:cs="Arial"/>
          <w:b/>
          <w:i/>
          <w:iCs/>
          <w:color w:val="000000" w:themeColor="text1"/>
          <w:sz w:val="22"/>
          <w:szCs w:val="22"/>
        </w:rPr>
        <w:t>Análisis Comparativo de Casos</w:t>
      </w:r>
    </w:p>
    <w:p w14:paraId="1BC3A9AF" w14:textId="1AE90B0D" w:rsidR="00177C6E" w:rsidRPr="005329E0" w:rsidRDefault="00177C6E" w:rsidP="00952338">
      <w:pPr>
        <w:spacing w:after="210" w:line="276" w:lineRule="auto"/>
        <w:jc w:val="both"/>
        <w:rPr>
          <w:rFonts w:ascii="Arial" w:hAnsi="Arial" w:cs="Arial"/>
          <w:color w:val="000000" w:themeColor="text1"/>
          <w:sz w:val="22"/>
          <w:szCs w:val="22"/>
        </w:rPr>
      </w:pPr>
      <w:r w:rsidRPr="005329E0">
        <w:rPr>
          <w:rFonts w:ascii="Arial" w:eastAsia="inter" w:hAnsi="Arial" w:cs="Arial"/>
          <w:color w:val="000000" w:themeColor="text1"/>
          <w:sz w:val="22"/>
          <w:szCs w:val="22"/>
        </w:rPr>
        <w:t xml:space="preserve">La metodología aplicada en Antamina se basa en el Análisis Comparativo de Casos, permitiendo una revisión integral del proceso de diseño y secuenciamiento de infraestructura minera, con énfasis en presas, depósitos de desmonte y la integración de tecnologías de commingling. </w:t>
      </w:r>
      <w:r w:rsidR="003D16CE">
        <w:rPr>
          <w:rFonts w:ascii="Arial" w:eastAsia="inter" w:hAnsi="Arial" w:cs="Arial"/>
          <w:color w:val="000000" w:themeColor="text1"/>
          <w:sz w:val="22"/>
          <w:szCs w:val="22"/>
        </w:rPr>
        <w:t>Este análisis comparativo de casos, incluye</w:t>
      </w:r>
      <w:r w:rsidRPr="005329E0">
        <w:rPr>
          <w:rFonts w:ascii="Arial" w:eastAsia="inter" w:hAnsi="Arial" w:cs="Arial"/>
          <w:color w:val="000000" w:themeColor="text1"/>
          <w:sz w:val="22"/>
          <w:szCs w:val="22"/>
        </w:rPr>
        <w:t>:</w:t>
      </w:r>
    </w:p>
    <w:p w14:paraId="3C515B0B" w14:textId="77777777" w:rsidR="00177C6E" w:rsidRPr="005329E0" w:rsidRDefault="00177C6E" w:rsidP="00952338">
      <w:pPr>
        <w:numPr>
          <w:ilvl w:val="0"/>
          <w:numId w:val="4"/>
        </w:numPr>
        <w:spacing w:before="105" w:after="105" w:line="276" w:lineRule="auto"/>
        <w:jc w:val="both"/>
        <w:rPr>
          <w:rFonts w:ascii="Arial" w:hAnsi="Arial" w:cs="Arial"/>
          <w:color w:val="000000" w:themeColor="text1"/>
          <w:sz w:val="22"/>
          <w:szCs w:val="22"/>
        </w:rPr>
      </w:pPr>
      <w:r w:rsidRPr="005329E0">
        <w:rPr>
          <w:rFonts w:ascii="Arial" w:eastAsia="inter" w:hAnsi="Arial" w:cs="Arial"/>
          <w:b/>
          <w:color w:val="000000" w:themeColor="text1"/>
          <w:sz w:val="22"/>
          <w:szCs w:val="22"/>
        </w:rPr>
        <w:t>Revisión de procesos de diseño y secuenciamiento:</w:t>
      </w:r>
      <w:r w:rsidRPr="005329E0">
        <w:rPr>
          <w:rFonts w:ascii="Arial" w:eastAsia="inter" w:hAnsi="Arial" w:cs="Arial"/>
          <w:color w:val="000000" w:themeColor="text1"/>
          <w:sz w:val="22"/>
          <w:szCs w:val="22"/>
        </w:rPr>
        <w:t xml:space="preserve"> Análisis de los procedimientos utilizados en la planificación y disposición de depósitos de desmonte, considerando criterios geotécnicos y geoquímicos para asegurar la estabilidad y sostenibilidad de la infraestructura.</w:t>
      </w:r>
    </w:p>
    <w:p w14:paraId="181E7EE1" w14:textId="77777777" w:rsidR="00177C6E" w:rsidRPr="005329E0" w:rsidRDefault="00177C6E" w:rsidP="00952338">
      <w:pPr>
        <w:numPr>
          <w:ilvl w:val="0"/>
          <w:numId w:val="4"/>
        </w:numPr>
        <w:spacing w:before="105" w:after="105" w:line="276" w:lineRule="auto"/>
        <w:jc w:val="both"/>
        <w:rPr>
          <w:rFonts w:ascii="Arial" w:hAnsi="Arial" w:cs="Arial"/>
          <w:color w:val="000000" w:themeColor="text1"/>
          <w:sz w:val="22"/>
          <w:szCs w:val="22"/>
        </w:rPr>
      </w:pPr>
      <w:r w:rsidRPr="005329E0">
        <w:rPr>
          <w:rFonts w:ascii="Arial" w:eastAsia="inter" w:hAnsi="Arial" w:cs="Arial"/>
          <w:b/>
          <w:color w:val="000000" w:themeColor="text1"/>
          <w:sz w:val="22"/>
          <w:szCs w:val="22"/>
        </w:rPr>
        <w:t>Identificación de variables clave:</w:t>
      </w:r>
      <w:r w:rsidRPr="005329E0">
        <w:rPr>
          <w:rFonts w:ascii="Arial" w:eastAsia="inter" w:hAnsi="Arial" w:cs="Arial"/>
          <w:color w:val="000000" w:themeColor="text1"/>
          <w:sz w:val="22"/>
          <w:szCs w:val="22"/>
        </w:rPr>
        <w:t xml:space="preserve"> Selección de parámetros operativos fundamentales, como granulometría, permeabilidad, comportamiento geoquímico y capacidad de </w:t>
      </w:r>
      <w:r w:rsidRPr="005329E0">
        <w:rPr>
          <w:rFonts w:ascii="Arial" w:eastAsia="inter" w:hAnsi="Arial" w:cs="Arial"/>
          <w:color w:val="000000" w:themeColor="text1"/>
          <w:sz w:val="22"/>
          <w:szCs w:val="22"/>
        </w:rPr>
        <w:lastRenderedPageBreak/>
        <w:t>almacenamiento, que afectan directamente la viabilidad y desempeño de los depósitos y mezclas de materiales.</w:t>
      </w:r>
    </w:p>
    <w:p w14:paraId="64F634F5" w14:textId="77777777" w:rsidR="00177C6E" w:rsidRPr="005329E0" w:rsidRDefault="00177C6E" w:rsidP="00952338">
      <w:pPr>
        <w:numPr>
          <w:ilvl w:val="0"/>
          <w:numId w:val="4"/>
        </w:numPr>
        <w:spacing w:before="105" w:after="105" w:line="276" w:lineRule="auto"/>
        <w:jc w:val="both"/>
        <w:rPr>
          <w:rFonts w:ascii="Arial" w:eastAsia="inter" w:hAnsi="Arial" w:cs="Arial"/>
          <w:color w:val="000000" w:themeColor="text1"/>
          <w:sz w:val="22"/>
          <w:szCs w:val="22"/>
        </w:rPr>
      </w:pPr>
      <w:r w:rsidRPr="005329E0">
        <w:rPr>
          <w:rFonts w:ascii="Arial" w:eastAsia="inter" w:hAnsi="Arial" w:cs="Arial"/>
          <w:b/>
          <w:color w:val="000000" w:themeColor="text1"/>
          <w:sz w:val="22"/>
          <w:szCs w:val="22"/>
        </w:rPr>
        <w:t>Definición de árbol de casos:</w:t>
      </w:r>
      <w:r w:rsidRPr="005329E0">
        <w:rPr>
          <w:rFonts w:ascii="Arial" w:eastAsia="inter" w:hAnsi="Arial" w:cs="Arial"/>
          <w:color w:val="000000" w:themeColor="text1"/>
          <w:sz w:val="22"/>
          <w:szCs w:val="22"/>
        </w:rPr>
        <w:t xml:space="preserve"> Estructuración de un árbol de decisiones que contemple escenarios estratégicos de largo plazo, permitiendo comparar alternativas bajo diferentes combinaciones de variables y restricciones operativas.</w:t>
      </w:r>
    </w:p>
    <w:p w14:paraId="545A962F" w14:textId="77777777" w:rsidR="00177C6E" w:rsidRPr="00982A1E" w:rsidRDefault="00177C6E" w:rsidP="00952338">
      <w:pPr>
        <w:numPr>
          <w:ilvl w:val="0"/>
          <w:numId w:val="4"/>
        </w:numPr>
        <w:spacing w:before="105" w:after="105" w:line="276" w:lineRule="auto"/>
        <w:jc w:val="both"/>
        <w:rPr>
          <w:rFonts w:ascii="Arial" w:hAnsi="Arial" w:cs="Arial"/>
          <w:color w:val="000000" w:themeColor="text1"/>
          <w:sz w:val="22"/>
          <w:szCs w:val="22"/>
        </w:rPr>
      </w:pPr>
      <w:r w:rsidRPr="005329E0">
        <w:rPr>
          <w:rFonts w:ascii="Arial" w:eastAsia="inter" w:hAnsi="Arial" w:cs="Arial"/>
          <w:b/>
          <w:color w:val="000000" w:themeColor="text1"/>
          <w:sz w:val="22"/>
          <w:szCs w:val="22"/>
        </w:rPr>
        <w:t>Evaluación de resultados:</w:t>
      </w:r>
      <w:r w:rsidRPr="005329E0">
        <w:rPr>
          <w:rFonts w:ascii="Arial" w:eastAsia="inter" w:hAnsi="Arial" w:cs="Arial"/>
          <w:color w:val="000000" w:themeColor="text1"/>
          <w:sz w:val="22"/>
          <w:szCs w:val="22"/>
        </w:rPr>
        <w:t xml:space="preserve"> Aplicación de análisis de sensibilidad y evaluaciones costo-beneficio para determinar el impacto de cada alternativa en la extensión de la vida útil de la mina, reducción de riesgos ambientales y optimización de recursos.</w:t>
      </w:r>
    </w:p>
    <w:p w14:paraId="2E0D5F5B" w14:textId="77777777" w:rsidR="00982A1E" w:rsidRPr="005329E0" w:rsidRDefault="00982A1E" w:rsidP="00952338">
      <w:pPr>
        <w:spacing w:before="105" w:after="105" w:line="276" w:lineRule="auto"/>
        <w:ind w:left="540"/>
        <w:jc w:val="both"/>
        <w:rPr>
          <w:rFonts w:ascii="Arial" w:hAnsi="Arial" w:cs="Arial"/>
          <w:color w:val="000000" w:themeColor="text1"/>
          <w:sz w:val="22"/>
          <w:szCs w:val="22"/>
        </w:rPr>
      </w:pPr>
    </w:p>
    <w:p w14:paraId="30F6522F" w14:textId="0AF4912F" w:rsidR="00177C6E" w:rsidRPr="005B47EC" w:rsidRDefault="00177C6E" w:rsidP="00952338">
      <w:pPr>
        <w:spacing w:before="315" w:after="105" w:line="276" w:lineRule="auto"/>
        <w:ind w:left="-30"/>
        <w:jc w:val="both"/>
        <w:rPr>
          <w:rFonts w:ascii="Arial" w:hAnsi="Arial" w:cs="Arial"/>
          <w:i/>
          <w:iCs/>
          <w:color w:val="000000" w:themeColor="text1"/>
          <w:sz w:val="22"/>
          <w:szCs w:val="22"/>
        </w:rPr>
      </w:pPr>
      <w:r w:rsidRPr="005B47EC">
        <w:rPr>
          <w:rFonts w:ascii="Arial" w:eastAsia="inter" w:hAnsi="Arial" w:cs="Arial"/>
          <w:b/>
          <w:i/>
          <w:iCs/>
          <w:color w:val="000000" w:themeColor="text1"/>
          <w:sz w:val="22"/>
          <w:szCs w:val="22"/>
        </w:rPr>
        <w:t>Árbol de Decisi</w:t>
      </w:r>
      <w:r w:rsidR="00540A0D">
        <w:rPr>
          <w:rFonts w:ascii="Arial" w:eastAsia="inter" w:hAnsi="Arial" w:cs="Arial"/>
          <w:b/>
          <w:i/>
          <w:iCs/>
          <w:color w:val="000000" w:themeColor="text1"/>
          <w:sz w:val="22"/>
          <w:szCs w:val="22"/>
        </w:rPr>
        <w:t>ones</w:t>
      </w:r>
      <w:r w:rsidRPr="005B47EC">
        <w:rPr>
          <w:rFonts w:ascii="Arial" w:eastAsia="inter" w:hAnsi="Arial" w:cs="Arial"/>
          <w:b/>
          <w:i/>
          <w:iCs/>
          <w:color w:val="000000" w:themeColor="text1"/>
          <w:sz w:val="22"/>
          <w:szCs w:val="22"/>
        </w:rPr>
        <w:t xml:space="preserve"> para la Planificación Estratégica</w:t>
      </w:r>
    </w:p>
    <w:p w14:paraId="74BBAB8A" w14:textId="77777777" w:rsidR="00177C6E" w:rsidRPr="005329E0" w:rsidRDefault="00177C6E" w:rsidP="00952338">
      <w:pPr>
        <w:spacing w:after="210" w:line="276" w:lineRule="auto"/>
        <w:jc w:val="both"/>
        <w:rPr>
          <w:rFonts w:ascii="Arial" w:hAnsi="Arial" w:cs="Arial"/>
          <w:color w:val="000000" w:themeColor="text1"/>
          <w:sz w:val="22"/>
          <w:szCs w:val="22"/>
        </w:rPr>
      </w:pPr>
      <w:r w:rsidRPr="005329E0">
        <w:rPr>
          <w:rFonts w:ascii="Arial" w:eastAsia="inter" w:hAnsi="Arial" w:cs="Arial"/>
          <w:color w:val="000000" w:themeColor="text1"/>
          <w:sz w:val="22"/>
          <w:szCs w:val="22"/>
        </w:rPr>
        <w:t>El árbol de decisión desarrollado para la planificación estratégica de largo plazo en Antamina sigue una lógica secuencial que permite evaluar la factibilidad e impacto de las principales alternativas operativas:</w:t>
      </w:r>
    </w:p>
    <w:p w14:paraId="5EB0BE7F" w14:textId="77777777" w:rsidR="00177C6E" w:rsidRPr="005329E0" w:rsidRDefault="00177C6E" w:rsidP="00952338">
      <w:pPr>
        <w:numPr>
          <w:ilvl w:val="0"/>
          <w:numId w:val="6"/>
        </w:numPr>
        <w:spacing w:before="105" w:after="105" w:line="276" w:lineRule="auto"/>
        <w:jc w:val="both"/>
        <w:rPr>
          <w:rFonts w:ascii="Arial" w:hAnsi="Arial" w:cs="Arial"/>
          <w:color w:val="000000" w:themeColor="text1"/>
          <w:sz w:val="22"/>
          <w:szCs w:val="22"/>
        </w:rPr>
      </w:pPr>
      <w:r w:rsidRPr="005329E0">
        <w:rPr>
          <w:rFonts w:ascii="Arial" w:eastAsia="inter" w:hAnsi="Arial" w:cs="Arial"/>
          <w:b/>
          <w:color w:val="000000" w:themeColor="text1"/>
          <w:sz w:val="22"/>
          <w:szCs w:val="22"/>
        </w:rPr>
        <w:t>Factibilidad del commingling:</w:t>
      </w:r>
      <w:r w:rsidRPr="005329E0">
        <w:rPr>
          <w:rFonts w:ascii="Arial" w:eastAsia="inter" w:hAnsi="Arial" w:cs="Arial"/>
          <w:color w:val="000000" w:themeColor="text1"/>
          <w:sz w:val="22"/>
          <w:szCs w:val="22"/>
        </w:rPr>
        <w:t xml:space="preserve"> El primer nodo del árbol determina si la integración de relaves y desmonte es técnica y económicamente viable, considerando las características de los materiales y las restricciones regulatorias.</w:t>
      </w:r>
    </w:p>
    <w:p w14:paraId="3D890799" w14:textId="77777777" w:rsidR="00177C6E" w:rsidRPr="005329E0" w:rsidRDefault="00177C6E" w:rsidP="00952338">
      <w:pPr>
        <w:numPr>
          <w:ilvl w:val="0"/>
          <w:numId w:val="6"/>
        </w:numPr>
        <w:spacing w:before="105" w:after="105" w:line="276" w:lineRule="auto"/>
        <w:jc w:val="both"/>
        <w:rPr>
          <w:rFonts w:ascii="Arial" w:hAnsi="Arial" w:cs="Arial"/>
          <w:color w:val="000000" w:themeColor="text1"/>
          <w:sz w:val="22"/>
          <w:szCs w:val="22"/>
        </w:rPr>
      </w:pPr>
      <w:r w:rsidRPr="005329E0">
        <w:rPr>
          <w:rFonts w:ascii="Arial" w:eastAsia="inter" w:hAnsi="Arial" w:cs="Arial"/>
          <w:b/>
          <w:color w:val="000000" w:themeColor="text1"/>
          <w:sz w:val="22"/>
          <w:szCs w:val="22"/>
        </w:rPr>
        <w:t>Ingreso a nuevos valles:</w:t>
      </w:r>
      <w:r w:rsidRPr="005329E0">
        <w:rPr>
          <w:rFonts w:ascii="Arial" w:eastAsia="inter" w:hAnsi="Arial" w:cs="Arial"/>
          <w:color w:val="000000" w:themeColor="text1"/>
          <w:sz w:val="22"/>
          <w:szCs w:val="22"/>
        </w:rPr>
        <w:t xml:space="preserve"> Si el commingling es factible, el siguiente nodo evalúa la posibilidad de disponer material en un nuevo valle, analizando aspectos topográficos, ambientales y de acceso.</w:t>
      </w:r>
    </w:p>
    <w:p w14:paraId="4CF53CEB" w14:textId="77777777" w:rsidR="00177C6E" w:rsidRPr="005329E0" w:rsidRDefault="00177C6E" w:rsidP="00952338">
      <w:pPr>
        <w:numPr>
          <w:ilvl w:val="0"/>
          <w:numId w:val="6"/>
        </w:numPr>
        <w:spacing w:before="105" w:after="105" w:line="276" w:lineRule="auto"/>
        <w:jc w:val="both"/>
        <w:rPr>
          <w:rFonts w:ascii="Arial" w:hAnsi="Arial" w:cs="Arial"/>
          <w:color w:val="000000" w:themeColor="text1"/>
          <w:sz w:val="22"/>
          <w:szCs w:val="22"/>
        </w:rPr>
      </w:pPr>
      <w:r w:rsidRPr="005329E0">
        <w:rPr>
          <w:rFonts w:ascii="Arial" w:eastAsia="inter" w:hAnsi="Arial" w:cs="Arial"/>
          <w:b/>
          <w:color w:val="000000" w:themeColor="text1"/>
          <w:sz w:val="22"/>
          <w:szCs w:val="22"/>
        </w:rPr>
        <w:t>Necesidad de nueva presa:</w:t>
      </w:r>
      <w:r w:rsidRPr="005329E0">
        <w:rPr>
          <w:rFonts w:ascii="Arial" w:eastAsia="inter" w:hAnsi="Arial" w:cs="Arial"/>
          <w:color w:val="000000" w:themeColor="text1"/>
          <w:sz w:val="22"/>
          <w:szCs w:val="22"/>
        </w:rPr>
        <w:t xml:space="preserve"> Finalmente, se determina si la construcción de una nueva presa de relaves es esencial o si la solución de commingling permite prescindir de esta infraestructura, optimizando la inversión y reduciendo el impacto ambiental.</w:t>
      </w:r>
    </w:p>
    <w:p w14:paraId="2EA69D3C" w14:textId="3A5CEC1A" w:rsidR="00862476" w:rsidRPr="005329E0" w:rsidRDefault="00177C6E" w:rsidP="00952338">
      <w:pPr>
        <w:spacing w:after="210" w:line="276" w:lineRule="auto"/>
        <w:jc w:val="both"/>
        <w:rPr>
          <w:rFonts w:ascii="Arial" w:eastAsia="inter" w:hAnsi="Arial" w:cs="Arial"/>
          <w:color w:val="000000" w:themeColor="text1"/>
          <w:sz w:val="22"/>
          <w:szCs w:val="22"/>
        </w:rPr>
      </w:pPr>
      <w:r w:rsidRPr="005329E0">
        <w:rPr>
          <w:rFonts w:ascii="Arial" w:eastAsia="inter" w:hAnsi="Arial" w:cs="Arial"/>
          <w:color w:val="000000" w:themeColor="text1"/>
          <w:sz w:val="22"/>
          <w:szCs w:val="22"/>
        </w:rPr>
        <w:t>Cada una de estas decisiones condiciona la extensión de la vida útil de la mina, el uso eficiente del espacio y la gestión de riesgos ambientales, permitiendo seleccionar la alternativa que maximiza el valor económico, social y ambiental del proyecto.</w:t>
      </w:r>
      <w:r w:rsidR="00AD1CD4">
        <w:rPr>
          <w:rFonts w:ascii="Arial" w:eastAsia="inter" w:hAnsi="Arial" w:cs="Arial"/>
          <w:color w:val="000000" w:themeColor="text1"/>
          <w:sz w:val="22"/>
          <w:szCs w:val="22"/>
        </w:rPr>
        <w:t xml:space="preserve"> </w:t>
      </w:r>
      <w:r w:rsidR="00AD1CD4">
        <w:rPr>
          <w:rFonts w:ascii="Arial" w:eastAsia="inter" w:hAnsi="Arial" w:cs="Arial"/>
          <w:color w:val="000000" w:themeColor="text1"/>
          <w:sz w:val="22"/>
          <w:szCs w:val="22"/>
        </w:rPr>
        <w:t xml:space="preserve">Ver la </w:t>
      </w:r>
      <w:r w:rsidR="00AD1CD4">
        <w:rPr>
          <w:rFonts w:ascii="Arial" w:eastAsia="inter" w:hAnsi="Arial" w:cs="Arial"/>
          <w:color w:val="000000" w:themeColor="text1"/>
          <w:sz w:val="22"/>
          <w:szCs w:val="22"/>
        </w:rPr>
        <w:fldChar w:fldCharType="begin"/>
      </w:r>
      <w:r w:rsidR="00AD1CD4">
        <w:rPr>
          <w:rFonts w:ascii="Arial" w:eastAsia="inter" w:hAnsi="Arial" w:cs="Arial"/>
          <w:color w:val="000000" w:themeColor="text1"/>
          <w:sz w:val="22"/>
          <w:szCs w:val="22"/>
        </w:rPr>
        <w:instrText xml:space="preserve"> REF _Ref202453111 \h </w:instrText>
      </w:r>
      <w:r w:rsidR="00952338">
        <w:rPr>
          <w:rFonts w:ascii="Arial" w:eastAsia="inter" w:hAnsi="Arial" w:cs="Arial"/>
          <w:color w:val="000000" w:themeColor="text1"/>
          <w:sz w:val="22"/>
          <w:szCs w:val="22"/>
        </w:rPr>
        <w:instrText xml:space="preserve"> \* MERGEFORMAT </w:instrText>
      </w:r>
      <w:r w:rsidR="00AD1CD4">
        <w:rPr>
          <w:rFonts w:ascii="Arial" w:eastAsia="inter" w:hAnsi="Arial" w:cs="Arial"/>
          <w:color w:val="000000" w:themeColor="text1"/>
          <w:sz w:val="22"/>
          <w:szCs w:val="22"/>
        </w:rPr>
      </w:r>
      <w:r w:rsidR="00AD1CD4">
        <w:rPr>
          <w:rFonts w:ascii="Arial" w:eastAsia="inter" w:hAnsi="Arial" w:cs="Arial"/>
          <w:color w:val="000000" w:themeColor="text1"/>
          <w:sz w:val="22"/>
          <w:szCs w:val="22"/>
        </w:rPr>
        <w:fldChar w:fldCharType="separate"/>
      </w:r>
      <w:r w:rsidR="00982A1E" w:rsidRPr="005B47EC">
        <w:t xml:space="preserve">Figura </w:t>
      </w:r>
      <w:r w:rsidR="00982A1E">
        <w:rPr>
          <w:noProof/>
        </w:rPr>
        <w:t>5</w:t>
      </w:r>
      <w:r w:rsidR="00982A1E" w:rsidRPr="005B47EC">
        <w:t xml:space="preserve"> Árbol de decisión para la planificación estratégica de largo plazo</w:t>
      </w:r>
      <w:r w:rsidR="00AD1CD4">
        <w:rPr>
          <w:rFonts w:ascii="Arial" w:eastAsia="inter" w:hAnsi="Arial" w:cs="Arial"/>
          <w:color w:val="000000" w:themeColor="text1"/>
          <w:sz w:val="22"/>
          <w:szCs w:val="22"/>
        </w:rPr>
        <w:fldChar w:fldCharType="end"/>
      </w:r>
    </w:p>
    <w:p w14:paraId="05BE9C4F" w14:textId="77777777" w:rsidR="005B47EC" w:rsidRPr="005B47EC" w:rsidRDefault="005B47EC" w:rsidP="00952338">
      <w:pPr>
        <w:spacing w:line="276" w:lineRule="auto"/>
      </w:pPr>
    </w:p>
    <w:p w14:paraId="688D7C31" w14:textId="77777777" w:rsidR="00172373" w:rsidRPr="005329E0" w:rsidRDefault="00172373" w:rsidP="00952338">
      <w:pPr>
        <w:spacing w:line="276" w:lineRule="auto"/>
        <w:jc w:val="both"/>
        <w:rPr>
          <w:rFonts w:ascii="Arial" w:hAnsi="Arial" w:cs="Arial"/>
          <w:color w:val="000000" w:themeColor="text1"/>
          <w:sz w:val="22"/>
          <w:szCs w:val="22"/>
        </w:rPr>
      </w:pPr>
    </w:p>
    <w:p w14:paraId="71857D75" w14:textId="2B7ECBB7" w:rsidR="00E77D13" w:rsidRPr="005329E0" w:rsidRDefault="00EC5D28" w:rsidP="00952338">
      <w:pPr>
        <w:pStyle w:val="ListParagraph"/>
        <w:numPr>
          <w:ilvl w:val="0"/>
          <w:numId w:val="11"/>
        </w:numPr>
        <w:spacing w:line="276" w:lineRule="auto"/>
        <w:ind w:left="270" w:hanging="270"/>
        <w:jc w:val="both"/>
        <w:rPr>
          <w:rFonts w:ascii="Arial" w:hAnsi="Arial" w:cs="Arial"/>
          <w:b/>
          <w:color w:val="000000" w:themeColor="text1"/>
          <w:sz w:val="22"/>
          <w:szCs w:val="22"/>
          <w:lang w:val="es-PE"/>
        </w:rPr>
      </w:pPr>
      <w:r w:rsidRPr="005329E0">
        <w:rPr>
          <w:rFonts w:ascii="Arial" w:hAnsi="Arial" w:cs="Arial"/>
          <w:b/>
          <w:color w:val="000000" w:themeColor="text1"/>
          <w:sz w:val="22"/>
          <w:szCs w:val="22"/>
          <w:lang w:val="es-PE"/>
        </w:rPr>
        <w:t>Presentación y discusión de resultados</w:t>
      </w:r>
      <w:r w:rsidR="005A352B" w:rsidRPr="005329E0">
        <w:rPr>
          <w:rFonts w:ascii="Arial" w:hAnsi="Arial" w:cs="Arial"/>
          <w:b/>
          <w:color w:val="000000" w:themeColor="text1"/>
          <w:sz w:val="22"/>
          <w:szCs w:val="22"/>
          <w:lang w:val="es-PE"/>
        </w:rPr>
        <w:t xml:space="preserve"> </w:t>
      </w:r>
    </w:p>
    <w:p w14:paraId="297B93B8" w14:textId="77777777" w:rsidR="009E41E0" w:rsidRPr="00BB6A7A" w:rsidRDefault="009E41E0" w:rsidP="00952338">
      <w:pPr>
        <w:spacing w:before="315" w:after="105" w:line="276" w:lineRule="auto"/>
        <w:ind w:left="-30"/>
        <w:jc w:val="both"/>
        <w:rPr>
          <w:rFonts w:ascii="Arial" w:hAnsi="Arial" w:cs="Arial"/>
          <w:i/>
          <w:iCs/>
          <w:color w:val="000000" w:themeColor="text1"/>
          <w:sz w:val="22"/>
          <w:szCs w:val="22"/>
        </w:rPr>
      </w:pPr>
      <w:r w:rsidRPr="00BB6A7A">
        <w:rPr>
          <w:rFonts w:ascii="Arial" w:eastAsia="inter" w:hAnsi="Arial" w:cs="Arial"/>
          <w:b/>
          <w:i/>
          <w:iCs/>
          <w:color w:val="000000" w:themeColor="text1"/>
          <w:sz w:val="22"/>
          <w:szCs w:val="22"/>
        </w:rPr>
        <w:t>Evaluación de Parámetros Operativos y Modificaciones por Commingling</w:t>
      </w:r>
    </w:p>
    <w:p w14:paraId="04DED5C9" w14:textId="2AB07560" w:rsidR="009E41E0" w:rsidRPr="005329E0" w:rsidRDefault="009E41E0" w:rsidP="00952338">
      <w:pPr>
        <w:spacing w:after="210" w:line="276" w:lineRule="auto"/>
        <w:jc w:val="both"/>
        <w:rPr>
          <w:rFonts w:ascii="Arial" w:hAnsi="Arial" w:cs="Arial"/>
          <w:color w:val="000000" w:themeColor="text1"/>
          <w:sz w:val="22"/>
          <w:szCs w:val="22"/>
        </w:rPr>
      </w:pPr>
      <w:r w:rsidRPr="005329E0">
        <w:rPr>
          <w:rFonts w:ascii="Arial" w:eastAsia="inter" w:hAnsi="Arial" w:cs="Arial"/>
          <w:color w:val="000000" w:themeColor="text1"/>
          <w:sz w:val="22"/>
          <w:szCs w:val="22"/>
        </w:rPr>
        <w:t>Los parámetros operativos clave —incluyendo la relación desmonte/relaves, métodos de mezcla, sistemas de transporte y criterios de procesamiento— se evalúan por su impacto en la eficiencia del sistema</w:t>
      </w:r>
      <w:r w:rsidR="00F059CF">
        <w:rPr>
          <w:rFonts w:ascii="Arial" w:eastAsia="inter" w:hAnsi="Arial" w:cs="Arial"/>
          <w:color w:val="000000" w:themeColor="text1"/>
          <w:sz w:val="22"/>
          <w:szCs w:val="22"/>
        </w:rPr>
        <w:t xml:space="preserve"> con</w:t>
      </w:r>
      <w:r w:rsidRPr="005329E0">
        <w:rPr>
          <w:rFonts w:ascii="Arial" w:eastAsia="inter" w:hAnsi="Arial" w:cs="Arial"/>
          <w:color w:val="000000" w:themeColor="text1"/>
          <w:sz w:val="22"/>
          <w:szCs w:val="22"/>
        </w:rPr>
        <w:t xml:space="preserve"> commingl</w:t>
      </w:r>
      <w:r w:rsidR="00F059CF">
        <w:rPr>
          <w:rFonts w:ascii="Arial" w:eastAsia="inter" w:hAnsi="Arial" w:cs="Arial"/>
          <w:color w:val="000000" w:themeColor="text1"/>
          <w:sz w:val="22"/>
          <w:szCs w:val="22"/>
        </w:rPr>
        <w:t>ing</w:t>
      </w:r>
      <w:r w:rsidRPr="005329E0">
        <w:rPr>
          <w:rFonts w:ascii="Arial" w:eastAsia="inter" w:hAnsi="Arial" w:cs="Arial"/>
          <w:color w:val="000000" w:themeColor="text1"/>
          <w:sz w:val="22"/>
          <w:szCs w:val="22"/>
        </w:rPr>
        <w:t>. La evaluación considera desafíos específicos del sitio, como clima extremo andino, logística en altura y regulaciones peruanas, todos especialmente críticos en Antamina y que requieren soluciones de commingling personalizadas.</w:t>
      </w:r>
    </w:p>
    <w:p w14:paraId="15558938" w14:textId="6C00A4FA" w:rsidR="009E41E0" w:rsidRPr="00BB6A7A" w:rsidRDefault="009E41E0" w:rsidP="00952338">
      <w:pPr>
        <w:numPr>
          <w:ilvl w:val="0"/>
          <w:numId w:val="7"/>
        </w:numPr>
        <w:spacing w:before="105" w:after="210" w:line="276" w:lineRule="auto"/>
        <w:jc w:val="both"/>
        <w:rPr>
          <w:rFonts w:ascii="Arial" w:eastAsia="inter" w:hAnsi="Arial" w:cs="Arial"/>
          <w:color w:val="000000" w:themeColor="text1"/>
          <w:sz w:val="22"/>
          <w:szCs w:val="22"/>
        </w:rPr>
      </w:pPr>
      <w:r w:rsidRPr="00BB6A7A">
        <w:rPr>
          <w:rFonts w:ascii="Arial" w:eastAsia="inter" w:hAnsi="Arial" w:cs="Arial"/>
          <w:b/>
          <w:color w:val="000000" w:themeColor="text1"/>
          <w:sz w:val="22"/>
          <w:szCs w:val="22"/>
        </w:rPr>
        <w:t>Modificaciones a la gestión de relaves mediante commingling:</w:t>
      </w:r>
      <w:r w:rsidR="00BB6A7A">
        <w:rPr>
          <w:rFonts w:ascii="Arial" w:eastAsia="inter" w:hAnsi="Arial" w:cs="Arial"/>
          <w:b/>
          <w:color w:val="000000" w:themeColor="text1"/>
          <w:sz w:val="22"/>
          <w:szCs w:val="22"/>
        </w:rPr>
        <w:t xml:space="preserve"> </w:t>
      </w:r>
      <w:r w:rsidRPr="00BB6A7A">
        <w:rPr>
          <w:rFonts w:ascii="Arial" w:eastAsia="inter" w:hAnsi="Arial" w:cs="Arial"/>
          <w:color w:val="000000" w:themeColor="text1"/>
          <w:sz w:val="22"/>
          <w:szCs w:val="22"/>
        </w:rPr>
        <w:t xml:space="preserve">El proceso de commingling transforma fundamentalmente la gestión de relaves al utilizar los vacíos dentro del desmonte para almacenamiento, con un espacio disponible típicamente equivalente a aproximadamente el 20 % del volumen de roca triturada transportada por fajas. Para permitir la mezcla, los relaves deben ser previamente desaguados. La </w:t>
      </w:r>
      <w:r w:rsidR="00012C97">
        <w:rPr>
          <w:rFonts w:ascii="Arial" w:eastAsia="inter" w:hAnsi="Arial" w:cs="Arial"/>
          <w:color w:val="000000" w:themeColor="text1"/>
          <w:sz w:val="22"/>
          <w:szCs w:val="22"/>
        </w:rPr>
        <w:fldChar w:fldCharType="begin"/>
      </w:r>
      <w:r w:rsidR="00012C97">
        <w:rPr>
          <w:rFonts w:ascii="Arial" w:eastAsia="inter" w:hAnsi="Arial" w:cs="Arial"/>
          <w:color w:val="000000" w:themeColor="text1"/>
          <w:sz w:val="22"/>
          <w:szCs w:val="22"/>
        </w:rPr>
        <w:instrText xml:space="preserve"> REF _Ref202454005 \h </w:instrText>
      </w:r>
      <w:r w:rsidR="00952338">
        <w:rPr>
          <w:rFonts w:ascii="Arial" w:eastAsia="inter" w:hAnsi="Arial" w:cs="Arial"/>
          <w:color w:val="000000" w:themeColor="text1"/>
          <w:sz w:val="22"/>
          <w:szCs w:val="22"/>
        </w:rPr>
        <w:instrText xml:space="preserve"> \* MERGEFORMAT </w:instrText>
      </w:r>
      <w:r w:rsidR="00012C97">
        <w:rPr>
          <w:rFonts w:ascii="Arial" w:eastAsia="inter" w:hAnsi="Arial" w:cs="Arial"/>
          <w:color w:val="000000" w:themeColor="text1"/>
          <w:sz w:val="22"/>
          <w:szCs w:val="22"/>
        </w:rPr>
      </w:r>
      <w:r w:rsidR="00012C97">
        <w:rPr>
          <w:rFonts w:ascii="Arial" w:eastAsia="inter" w:hAnsi="Arial" w:cs="Arial"/>
          <w:color w:val="000000" w:themeColor="text1"/>
          <w:sz w:val="22"/>
          <w:szCs w:val="22"/>
        </w:rPr>
        <w:fldChar w:fldCharType="separate"/>
      </w:r>
      <w:r w:rsidR="00012C97" w:rsidRPr="00BB6A7A">
        <w:t xml:space="preserve">Figura </w:t>
      </w:r>
      <w:r w:rsidR="00012C97">
        <w:rPr>
          <w:noProof/>
        </w:rPr>
        <w:t>6</w:t>
      </w:r>
      <w:r w:rsidR="00012C97">
        <w:rPr>
          <w:rFonts w:ascii="Arial" w:eastAsia="inter" w:hAnsi="Arial" w:cs="Arial"/>
          <w:color w:val="000000" w:themeColor="text1"/>
          <w:sz w:val="22"/>
          <w:szCs w:val="22"/>
        </w:rPr>
        <w:fldChar w:fldCharType="end"/>
      </w:r>
      <w:r w:rsidR="00012C97">
        <w:rPr>
          <w:rFonts w:ascii="Arial" w:eastAsia="inter" w:hAnsi="Arial" w:cs="Arial"/>
          <w:color w:val="000000" w:themeColor="text1"/>
          <w:sz w:val="22"/>
          <w:szCs w:val="22"/>
        </w:rPr>
        <w:t xml:space="preserve"> </w:t>
      </w:r>
      <w:r w:rsidRPr="00BB6A7A">
        <w:rPr>
          <w:rFonts w:ascii="Arial" w:eastAsia="inter" w:hAnsi="Arial" w:cs="Arial"/>
          <w:color w:val="000000" w:themeColor="text1"/>
          <w:sz w:val="22"/>
          <w:szCs w:val="22"/>
        </w:rPr>
        <w:t>muestra tanto el proceso actual (sin mecanización) como la transformación que ocurre al incorporar el commingling.</w:t>
      </w:r>
      <w:r w:rsidR="00AD1CD4">
        <w:rPr>
          <w:rFonts w:ascii="Arial" w:eastAsia="inter" w:hAnsi="Arial" w:cs="Arial"/>
          <w:color w:val="000000" w:themeColor="text1"/>
          <w:sz w:val="22"/>
          <w:szCs w:val="22"/>
        </w:rPr>
        <w:t xml:space="preserve"> Ver </w:t>
      </w:r>
      <w:r w:rsidR="00AD1CD4">
        <w:rPr>
          <w:rFonts w:ascii="Arial" w:eastAsia="inter" w:hAnsi="Arial" w:cs="Arial"/>
          <w:color w:val="000000" w:themeColor="text1"/>
          <w:sz w:val="22"/>
          <w:szCs w:val="22"/>
        </w:rPr>
        <w:fldChar w:fldCharType="begin"/>
      </w:r>
      <w:r w:rsidR="00AD1CD4">
        <w:rPr>
          <w:rFonts w:ascii="Arial" w:eastAsia="inter" w:hAnsi="Arial" w:cs="Arial"/>
          <w:color w:val="000000" w:themeColor="text1"/>
          <w:sz w:val="22"/>
          <w:szCs w:val="22"/>
        </w:rPr>
        <w:instrText xml:space="preserve"> REF _Ref202453141 \h </w:instrText>
      </w:r>
      <w:r w:rsidR="00952338">
        <w:rPr>
          <w:rFonts w:ascii="Arial" w:eastAsia="inter" w:hAnsi="Arial" w:cs="Arial"/>
          <w:color w:val="000000" w:themeColor="text1"/>
          <w:sz w:val="22"/>
          <w:szCs w:val="22"/>
        </w:rPr>
        <w:instrText xml:space="preserve"> \* MERGEFORMAT </w:instrText>
      </w:r>
      <w:r w:rsidR="00AD1CD4">
        <w:rPr>
          <w:rFonts w:ascii="Arial" w:eastAsia="inter" w:hAnsi="Arial" w:cs="Arial"/>
          <w:color w:val="000000" w:themeColor="text1"/>
          <w:sz w:val="22"/>
          <w:szCs w:val="22"/>
        </w:rPr>
      </w:r>
      <w:r w:rsidR="00AD1CD4">
        <w:rPr>
          <w:rFonts w:ascii="Arial" w:eastAsia="inter" w:hAnsi="Arial" w:cs="Arial"/>
          <w:color w:val="000000" w:themeColor="text1"/>
          <w:sz w:val="22"/>
          <w:szCs w:val="22"/>
        </w:rPr>
        <w:fldChar w:fldCharType="separate"/>
      </w:r>
      <w:r w:rsidR="00982A1E" w:rsidRPr="00BB6A7A">
        <w:t xml:space="preserve">Figura </w:t>
      </w:r>
      <w:r w:rsidR="00982A1E">
        <w:rPr>
          <w:noProof/>
        </w:rPr>
        <w:t>6</w:t>
      </w:r>
      <w:r w:rsidR="00982A1E" w:rsidRPr="00BB6A7A">
        <w:t xml:space="preserve"> Transformación de la gestión de relaves. Evolución del proceso Convenciocal al Commingling</w:t>
      </w:r>
      <w:r w:rsidR="00AD1CD4">
        <w:rPr>
          <w:rFonts w:ascii="Arial" w:eastAsia="inter" w:hAnsi="Arial" w:cs="Arial"/>
          <w:color w:val="000000" w:themeColor="text1"/>
          <w:sz w:val="22"/>
          <w:szCs w:val="22"/>
        </w:rPr>
        <w:fldChar w:fldCharType="end"/>
      </w:r>
    </w:p>
    <w:p w14:paraId="191038DE" w14:textId="6D36CBBF" w:rsidR="009E41E0" w:rsidRPr="00BB6A7A" w:rsidRDefault="009E41E0" w:rsidP="00952338">
      <w:pPr>
        <w:numPr>
          <w:ilvl w:val="0"/>
          <w:numId w:val="8"/>
        </w:numPr>
        <w:spacing w:before="105" w:after="210" w:line="276" w:lineRule="auto"/>
        <w:jc w:val="both"/>
        <w:rPr>
          <w:rFonts w:ascii="Arial" w:eastAsia="inter" w:hAnsi="Arial" w:cs="Arial"/>
          <w:color w:val="000000" w:themeColor="text1"/>
          <w:sz w:val="22"/>
          <w:szCs w:val="22"/>
        </w:rPr>
      </w:pPr>
      <w:r w:rsidRPr="00BB6A7A">
        <w:rPr>
          <w:rFonts w:ascii="Arial" w:eastAsia="inter" w:hAnsi="Arial" w:cs="Arial"/>
          <w:b/>
          <w:color w:val="000000" w:themeColor="text1"/>
          <w:sz w:val="22"/>
          <w:szCs w:val="22"/>
        </w:rPr>
        <w:t>Parámetros operativos y supuestos</w:t>
      </w:r>
      <w:r w:rsidR="00BB6A7A" w:rsidRPr="00BB6A7A">
        <w:rPr>
          <w:rFonts w:ascii="Arial" w:eastAsia="inter" w:hAnsi="Arial" w:cs="Arial"/>
          <w:b/>
          <w:color w:val="000000" w:themeColor="text1"/>
          <w:sz w:val="22"/>
          <w:szCs w:val="22"/>
        </w:rPr>
        <w:t xml:space="preserve"> : </w:t>
      </w:r>
      <w:r w:rsidRPr="00BB6A7A">
        <w:rPr>
          <w:rFonts w:ascii="Arial" w:eastAsia="inter" w:hAnsi="Arial" w:cs="Arial"/>
          <w:color w:val="000000" w:themeColor="text1"/>
          <w:sz w:val="22"/>
          <w:szCs w:val="22"/>
        </w:rPr>
        <w:t>El commingling extiende la vida útil del depósito de relaves al optimizar el uso espacial de los vacíos en el desmonte. Su implementación requiere sistemas mecanizados (WCCS) para transportar material triturado mezclado con relaves desaguados, manteniendo dos parámetros operativos clave: a) Capacidad de transporte sin cambios: 83,2 Mtpa en el sistema de fajas y b) Estabilidad volumétrica: Sin aumento en el volumen total del depósito de desmonte.</w:t>
      </w:r>
    </w:p>
    <w:p w14:paraId="5B1E4222" w14:textId="1AD04365" w:rsidR="00790944" w:rsidRDefault="009E41E0" w:rsidP="00952338">
      <w:pPr>
        <w:spacing w:after="210" w:line="276" w:lineRule="auto"/>
        <w:jc w:val="both"/>
        <w:rPr>
          <w:rFonts w:ascii="Arial" w:eastAsia="inter" w:hAnsi="Arial" w:cs="Arial"/>
          <w:color w:val="000000" w:themeColor="text1"/>
          <w:sz w:val="22"/>
          <w:szCs w:val="22"/>
        </w:rPr>
      </w:pPr>
      <w:r w:rsidRPr="005329E0">
        <w:rPr>
          <w:rFonts w:ascii="Arial" w:eastAsia="inter" w:hAnsi="Arial" w:cs="Arial"/>
          <w:color w:val="000000" w:themeColor="text1"/>
          <w:sz w:val="22"/>
          <w:szCs w:val="22"/>
        </w:rPr>
        <w:lastRenderedPageBreak/>
        <w:t>Este enfoque asegura un uso eficiente de los recursos y respalda operaciones mineras sostenibles.</w:t>
      </w:r>
      <w:r w:rsidR="00AD1CD4">
        <w:rPr>
          <w:rFonts w:ascii="Arial" w:eastAsia="inter" w:hAnsi="Arial" w:cs="Arial"/>
          <w:color w:val="000000" w:themeColor="text1"/>
          <w:sz w:val="22"/>
          <w:szCs w:val="22"/>
        </w:rPr>
        <w:t xml:space="preserve"> </w:t>
      </w:r>
    </w:p>
    <w:p w14:paraId="27CFDC51" w14:textId="655051DA" w:rsidR="00AC2476" w:rsidRPr="004769D2" w:rsidRDefault="00AC2476" w:rsidP="004769D2">
      <w:pPr>
        <w:pStyle w:val="Caption"/>
        <w:jc w:val="center"/>
      </w:pPr>
      <w:bookmarkStart w:id="0" w:name="_Ref202453170"/>
      <w:r w:rsidRPr="004769D2">
        <w:t xml:space="preserve">Tabla </w:t>
      </w:r>
      <w:r w:rsidRPr="004769D2">
        <w:fldChar w:fldCharType="begin"/>
      </w:r>
      <w:r w:rsidRPr="004769D2">
        <w:instrText xml:space="preserve"> SEQ Tabla \* ARABIC </w:instrText>
      </w:r>
      <w:r w:rsidRPr="004769D2">
        <w:fldChar w:fldCharType="separate"/>
      </w:r>
      <w:r w:rsidR="00982A1E">
        <w:rPr>
          <w:noProof/>
        </w:rPr>
        <w:t>1</w:t>
      </w:r>
      <w:r w:rsidRPr="004769D2">
        <w:fldChar w:fldCharType="end"/>
      </w:r>
      <w:r w:rsidR="009E414E" w:rsidRPr="004769D2">
        <w:t xml:space="preserve"> Parámetros operativos clave y supuestos</w:t>
      </w:r>
      <w:bookmarkEnd w:id="0"/>
    </w:p>
    <w:tbl>
      <w:tblPr>
        <w:tblStyle w:val="NormalGrid"/>
        <w:tblW w:w="5134" w:type="dxa"/>
        <w:jc w:val="center"/>
        <w:tblCellSpacing w:w="0" w:type="dxa"/>
        <w:tblLayout w:type="fixed"/>
        <w:tblLook w:val="04A0" w:firstRow="1" w:lastRow="0" w:firstColumn="1" w:lastColumn="0" w:noHBand="0" w:noVBand="1"/>
      </w:tblPr>
      <w:tblGrid>
        <w:gridCol w:w="1703"/>
        <w:gridCol w:w="1177"/>
        <w:gridCol w:w="990"/>
        <w:gridCol w:w="1264"/>
      </w:tblGrid>
      <w:tr w:rsidR="00EF7323" w:rsidRPr="00AD1CD4" w14:paraId="73BF54E1" w14:textId="77777777" w:rsidTr="00AD1CD4">
        <w:trPr>
          <w:cantSplit/>
          <w:trHeight w:val="403"/>
          <w:tblCellSpacing w:w="0" w:type="dxa"/>
          <w:jc w:val="center"/>
        </w:trPr>
        <w:tc>
          <w:tcPr>
            <w:tcW w:w="1703" w:type="dxa"/>
            <w:tcBorders>
              <w:top w:val="single" w:sz="4" w:space="0" w:color="auto"/>
              <w:bottom w:val="single" w:sz="4" w:space="0" w:color="auto"/>
            </w:tcBorders>
            <w:vAlign w:val="center"/>
          </w:tcPr>
          <w:p w14:paraId="167FB698" w14:textId="77777777" w:rsidR="009E41E0" w:rsidRPr="00AD1CD4" w:rsidRDefault="009E41E0" w:rsidP="00AD1CD4">
            <w:pPr>
              <w:jc w:val="center"/>
              <w:rPr>
                <w:rFonts w:ascii="Arial" w:hAnsi="Arial" w:cs="Arial"/>
                <w:b/>
                <w:color w:val="000000" w:themeColor="text1"/>
                <w:sz w:val="18"/>
                <w:szCs w:val="18"/>
              </w:rPr>
            </w:pPr>
            <w:r w:rsidRPr="00AD1CD4">
              <w:rPr>
                <w:rFonts w:ascii="Arial" w:eastAsia="inter" w:hAnsi="Arial" w:cs="Arial"/>
                <w:b/>
                <w:color w:val="000000" w:themeColor="text1"/>
                <w:sz w:val="18"/>
                <w:szCs w:val="18"/>
              </w:rPr>
              <w:t>Componente</w:t>
            </w:r>
          </w:p>
        </w:tc>
        <w:tc>
          <w:tcPr>
            <w:tcW w:w="1177" w:type="dxa"/>
            <w:tcBorders>
              <w:top w:val="single" w:sz="4" w:space="0" w:color="auto"/>
              <w:bottom w:val="single" w:sz="4" w:space="0" w:color="auto"/>
            </w:tcBorders>
            <w:vAlign w:val="center"/>
          </w:tcPr>
          <w:p w14:paraId="3C8CA3B6" w14:textId="5037038C" w:rsidR="009E41E0" w:rsidRPr="00AD1CD4" w:rsidRDefault="009E41E0" w:rsidP="00AD1CD4">
            <w:pPr>
              <w:jc w:val="center"/>
              <w:rPr>
                <w:rFonts w:ascii="Arial" w:hAnsi="Arial" w:cs="Arial"/>
                <w:b/>
                <w:color w:val="000000" w:themeColor="text1"/>
                <w:sz w:val="18"/>
                <w:szCs w:val="18"/>
              </w:rPr>
            </w:pPr>
            <w:r w:rsidRPr="00AD1CD4">
              <w:rPr>
                <w:rFonts w:ascii="Arial" w:eastAsia="inter" w:hAnsi="Arial" w:cs="Arial"/>
                <w:b/>
                <w:bCs/>
                <w:color w:val="000000" w:themeColor="text1"/>
                <w:sz w:val="18"/>
                <w:szCs w:val="18"/>
              </w:rPr>
              <w:t>Unidad</w:t>
            </w:r>
          </w:p>
        </w:tc>
        <w:tc>
          <w:tcPr>
            <w:tcW w:w="990" w:type="dxa"/>
            <w:tcBorders>
              <w:top w:val="single" w:sz="4" w:space="0" w:color="auto"/>
              <w:bottom w:val="single" w:sz="4" w:space="0" w:color="auto"/>
            </w:tcBorders>
            <w:vAlign w:val="center"/>
          </w:tcPr>
          <w:p w14:paraId="7A714352" w14:textId="77777777" w:rsidR="009E41E0" w:rsidRPr="00AD1CD4" w:rsidRDefault="009E41E0" w:rsidP="00AD1CD4">
            <w:pPr>
              <w:jc w:val="center"/>
              <w:rPr>
                <w:rFonts w:ascii="Arial" w:hAnsi="Arial" w:cs="Arial"/>
                <w:b/>
                <w:color w:val="000000" w:themeColor="text1"/>
                <w:sz w:val="18"/>
                <w:szCs w:val="18"/>
              </w:rPr>
            </w:pPr>
            <w:r w:rsidRPr="00AD1CD4">
              <w:rPr>
                <w:rFonts w:ascii="Arial" w:eastAsia="inter" w:hAnsi="Arial" w:cs="Arial"/>
                <w:b/>
                <w:color w:val="000000" w:themeColor="text1"/>
                <w:sz w:val="18"/>
                <w:szCs w:val="18"/>
              </w:rPr>
              <w:t>Caso Convencional</w:t>
            </w:r>
          </w:p>
        </w:tc>
        <w:tc>
          <w:tcPr>
            <w:tcW w:w="1264" w:type="dxa"/>
            <w:tcBorders>
              <w:top w:val="single" w:sz="4" w:space="0" w:color="auto"/>
              <w:bottom w:val="single" w:sz="4" w:space="0" w:color="auto"/>
            </w:tcBorders>
            <w:vAlign w:val="center"/>
          </w:tcPr>
          <w:p w14:paraId="6630A88F" w14:textId="77777777" w:rsidR="009E41E0" w:rsidRPr="00AD1CD4" w:rsidRDefault="009E41E0" w:rsidP="00AD1CD4">
            <w:pPr>
              <w:jc w:val="center"/>
              <w:rPr>
                <w:rFonts w:ascii="Arial" w:hAnsi="Arial" w:cs="Arial"/>
                <w:b/>
                <w:color w:val="000000" w:themeColor="text1"/>
                <w:sz w:val="18"/>
                <w:szCs w:val="18"/>
              </w:rPr>
            </w:pPr>
            <w:r w:rsidRPr="00AD1CD4">
              <w:rPr>
                <w:rFonts w:ascii="Arial" w:eastAsia="inter" w:hAnsi="Arial" w:cs="Arial"/>
                <w:b/>
                <w:color w:val="000000" w:themeColor="text1"/>
                <w:sz w:val="18"/>
                <w:szCs w:val="18"/>
              </w:rPr>
              <w:t>Caso Con Commingling</w:t>
            </w:r>
          </w:p>
        </w:tc>
      </w:tr>
      <w:tr w:rsidR="009E41E0" w:rsidRPr="00AD1CD4" w14:paraId="4B1F910E" w14:textId="77777777" w:rsidTr="00501F8F">
        <w:trPr>
          <w:cantSplit/>
          <w:trHeight w:val="226"/>
          <w:tblCellSpacing w:w="0" w:type="dxa"/>
          <w:jc w:val="center"/>
        </w:trPr>
        <w:tc>
          <w:tcPr>
            <w:tcW w:w="1703" w:type="dxa"/>
            <w:vAlign w:val="center"/>
          </w:tcPr>
          <w:p w14:paraId="0E284144" w14:textId="77777777" w:rsidR="009E41E0" w:rsidRPr="00AD1CD4" w:rsidRDefault="009E41E0" w:rsidP="00501F8F">
            <w:pPr>
              <w:rPr>
                <w:rFonts w:ascii="Arial" w:hAnsi="Arial" w:cs="Arial"/>
                <w:color w:val="000000" w:themeColor="text1"/>
                <w:sz w:val="18"/>
                <w:szCs w:val="18"/>
              </w:rPr>
            </w:pPr>
            <w:r w:rsidRPr="00AD1CD4">
              <w:rPr>
                <w:rFonts w:ascii="Arial" w:eastAsia="inter" w:hAnsi="Arial" w:cs="Arial"/>
                <w:color w:val="000000" w:themeColor="text1"/>
                <w:sz w:val="18"/>
                <w:szCs w:val="18"/>
              </w:rPr>
              <w:t>Capacidad Máxima de Relaves Cicloneados/Filtrados</w:t>
            </w:r>
          </w:p>
        </w:tc>
        <w:tc>
          <w:tcPr>
            <w:tcW w:w="1177" w:type="dxa"/>
            <w:vAlign w:val="center"/>
          </w:tcPr>
          <w:p w14:paraId="395C7531" w14:textId="77777777" w:rsidR="009E41E0" w:rsidRPr="00AD1CD4" w:rsidRDefault="009E41E0" w:rsidP="00501F8F">
            <w:pPr>
              <w:jc w:val="center"/>
              <w:rPr>
                <w:rFonts w:ascii="Arial" w:hAnsi="Arial" w:cs="Arial"/>
                <w:color w:val="000000" w:themeColor="text1"/>
                <w:sz w:val="18"/>
                <w:szCs w:val="18"/>
              </w:rPr>
            </w:pPr>
            <w:r w:rsidRPr="00AD1CD4">
              <w:rPr>
                <w:rFonts w:ascii="Arial" w:eastAsia="inter" w:hAnsi="Arial" w:cs="Arial"/>
                <w:color w:val="000000" w:themeColor="text1"/>
                <w:sz w:val="18"/>
                <w:szCs w:val="18"/>
              </w:rPr>
              <w:t>Mtpa</w:t>
            </w:r>
          </w:p>
        </w:tc>
        <w:tc>
          <w:tcPr>
            <w:tcW w:w="990" w:type="dxa"/>
            <w:vAlign w:val="center"/>
          </w:tcPr>
          <w:p w14:paraId="2B08A814" w14:textId="77777777" w:rsidR="009E41E0" w:rsidRPr="00AD1CD4" w:rsidRDefault="009E41E0" w:rsidP="00501F8F">
            <w:pPr>
              <w:jc w:val="center"/>
              <w:rPr>
                <w:rFonts w:ascii="Arial" w:hAnsi="Arial" w:cs="Arial"/>
                <w:color w:val="000000" w:themeColor="text1"/>
                <w:sz w:val="18"/>
                <w:szCs w:val="18"/>
              </w:rPr>
            </w:pPr>
            <w:r w:rsidRPr="00AD1CD4">
              <w:rPr>
                <w:rFonts w:ascii="Arial" w:eastAsia="inter" w:hAnsi="Arial" w:cs="Arial"/>
                <w:color w:val="000000" w:themeColor="text1"/>
                <w:sz w:val="18"/>
                <w:szCs w:val="18"/>
              </w:rPr>
              <w:t>-</w:t>
            </w:r>
          </w:p>
        </w:tc>
        <w:tc>
          <w:tcPr>
            <w:tcW w:w="1264" w:type="dxa"/>
            <w:vAlign w:val="center"/>
          </w:tcPr>
          <w:p w14:paraId="0624C17D" w14:textId="77777777" w:rsidR="009E41E0" w:rsidRPr="00AD1CD4" w:rsidRDefault="009E41E0" w:rsidP="00501F8F">
            <w:pPr>
              <w:jc w:val="center"/>
              <w:rPr>
                <w:rFonts w:ascii="Arial" w:hAnsi="Arial" w:cs="Arial"/>
                <w:color w:val="000000" w:themeColor="text1"/>
                <w:sz w:val="18"/>
                <w:szCs w:val="18"/>
              </w:rPr>
            </w:pPr>
            <w:r w:rsidRPr="00AD1CD4">
              <w:rPr>
                <w:rFonts w:ascii="Arial" w:eastAsia="inter" w:hAnsi="Arial" w:cs="Arial"/>
                <w:color w:val="000000" w:themeColor="text1"/>
                <w:sz w:val="18"/>
                <w:szCs w:val="18"/>
              </w:rPr>
              <w:t>32,0</w:t>
            </w:r>
          </w:p>
        </w:tc>
      </w:tr>
      <w:tr w:rsidR="009E41E0" w:rsidRPr="00AD1CD4" w14:paraId="4F2532B3" w14:textId="77777777" w:rsidTr="00501F8F">
        <w:trPr>
          <w:cantSplit/>
          <w:trHeight w:val="23"/>
          <w:tblCellSpacing w:w="0" w:type="dxa"/>
          <w:jc w:val="center"/>
        </w:trPr>
        <w:tc>
          <w:tcPr>
            <w:tcW w:w="1703" w:type="dxa"/>
            <w:tcBorders>
              <w:top w:val="single" w:sz="4" w:space="0" w:color="D9D9D9" w:themeColor="background1" w:themeShade="D9"/>
              <w:bottom w:val="single" w:sz="4" w:space="0" w:color="D9D9D9" w:themeColor="background1" w:themeShade="D9"/>
            </w:tcBorders>
            <w:vAlign w:val="center"/>
          </w:tcPr>
          <w:p w14:paraId="150CAC37" w14:textId="77777777" w:rsidR="009E41E0" w:rsidRPr="00AD1CD4" w:rsidRDefault="009E41E0" w:rsidP="00501F8F">
            <w:pPr>
              <w:rPr>
                <w:rFonts w:ascii="Arial" w:hAnsi="Arial" w:cs="Arial"/>
                <w:color w:val="000000" w:themeColor="text1"/>
                <w:sz w:val="18"/>
                <w:szCs w:val="18"/>
              </w:rPr>
            </w:pPr>
            <w:r w:rsidRPr="00AD1CD4">
              <w:rPr>
                <w:rFonts w:ascii="Arial" w:eastAsia="inter" w:hAnsi="Arial" w:cs="Arial"/>
                <w:color w:val="000000" w:themeColor="text1"/>
                <w:sz w:val="18"/>
                <w:szCs w:val="18"/>
              </w:rPr>
              <w:t>Porcentaje de Vacíos en Desmonte</w:t>
            </w:r>
          </w:p>
        </w:tc>
        <w:tc>
          <w:tcPr>
            <w:tcW w:w="1177" w:type="dxa"/>
            <w:tcBorders>
              <w:top w:val="single" w:sz="4" w:space="0" w:color="D9D9D9" w:themeColor="background1" w:themeShade="D9"/>
              <w:bottom w:val="single" w:sz="4" w:space="0" w:color="D9D9D9" w:themeColor="background1" w:themeShade="D9"/>
            </w:tcBorders>
            <w:vAlign w:val="center"/>
          </w:tcPr>
          <w:p w14:paraId="22378390" w14:textId="77777777" w:rsidR="009E41E0" w:rsidRPr="00AD1CD4" w:rsidRDefault="009E41E0" w:rsidP="00501F8F">
            <w:pPr>
              <w:jc w:val="center"/>
              <w:rPr>
                <w:rFonts w:ascii="Arial" w:hAnsi="Arial" w:cs="Arial"/>
                <w:color w:val="000000" w:themeColor="text1"/>
                <w:sz w:val="18"/>
                <w:szCs w:val="18"/>
              </w:rPr>
            </w:pPr>
            <w:r w:rsidRPr="00AD1CD4">
              <w:rPr>
                <w:rFonts w:ascii="Arial" w:eastAsia="inter" w:hAnsi="Arial" w:cs="Arial"/>
                <w:color w:val="000000" w:themeColor="text1"/>
                <w:sz w:val="18"/>
                <w:szCs w:val="18"/>
              </w:rPr>
              <w:t>% Volumen</w:t>
            </w:r>
          </w:p>
        </w:tc>
        <w:tc>
          <w:tcPr>
            <w:tcW w:w="990" w:type="dxa"/>
            <w:tcBorders>
              <w:top w:val="single" w:sz="4" w:space="0" w:color="D9D9D9" w:themeColor="background1" w:themeShade="D9"/>
              <w:bottom w:val="single" w:sz="4" w:space="0" w:color="D9D9D9" w:themeColor="background1" w:themeShade="D9"/>
            </w:tcBorders>
            <w:vAlign w:val="center"/>
          </w:tcPr>
          <w:p w14:paraId="46BEED06" w14:textId="04634AC6" w:rsidR="009E41E0" w:rsidRPr="00AD1CD4" w:rsidRDefault="00946B35" w:rsidP="00501F8F">
            <w:pPr>
              <w:jc w:val="center"/>
              <w:rPr>
                <w:rFonts w:ascii="Arial" w:hAnsi="Arial" w:cs="Arial"/>
                <w:color w:val="000000" w:themeColor="text1"/>
                <w:sz w:val="18"/>
                <w:szCs w:val="18"/>
              </w:rPr>
            </w:pPr>
            <w:r w:rsidRPr="00AD1CD4">
              <w:rPr>
                <w:rFonts w:ascii="Arial" w:hAnsi="Arial" w:cs="Arial"/>
                <w:color w:val="000000" w:themeColor="text1"/>
                <w:sz w:val="18"/>
                <w:szCs w:val="18"/>
              </w:rPr>
              <w:t>-</w:t>
            </w:r>
          </w:p>
        </w:tc>
        <w:tc>
          <w:tcPr>
            <w:tcW w:w="1264" w:type="dxa"/>
            <w:tcBorders>
              <w:top w:val="single" w:sz="4" w:space="0" w:color="D9D9D9" w:themeColor="background1" w:themeShade="D9"/>
              <w:bottom w:val="single" w:sz="4" w:space="0" w:color="D9D9D9" w:themeColor="background1" w:themeShade="D9"/>
            </w:tcBorders>
            <w:vAlign w:val="center"/>
          </w:tcPr>
          <w:p w14:paraId="2597E47C" w14:textId="77777777" w:rsidR="009E41E0" w:rsidRPr="00AD1CD4" w:rsidRDefault="009E41E0" w:rsidP="00501F8F">
            <w:pPr>
              <w:jc w:val="center"/>
              <w:rPr>
                <w:rFonts w:ascii="Arial" w:hAnsi="Arial" w:cs="Arial"/>
                <w:color w:val="000000" w:themeColor="text1"/>
                <w:sz w:val="18"/>
                <w:szCs w:val="18"/>
              </w:rPr>
            </w:pPr>
            <w:r w:rsidRPr="00AD1CD4">
              <w:rPr>
                <w:rFonts w:ascii="Arial" w:eastAsia="inter" w:hAnsi="Arial" w:cs="Arial"/>
                <w:color w:val="000000" w:themeColor="text1"/>
                <w:sz w:val="18"/>
                <w:szCs w:val="18"/>
              </w:rPr>
              <w:t>20 %</w:t>
            </w:r>
          </w:p>
        </w:tc>
      </w:tr>
      <w:tr w:rsidR="009E41E0" w:rsidRPr="00AD1CD4" w14:paraId="02FB2172" w14:textId="77777777" w:rsidTr="00501F8F">
        <w:trPr>
          <w:cantSplit/>
          <w:trHeight w:val="23"/>
          <w:tblCellSpacing w:w="0" w:type="dxa"/>
          <w:jc w:val="center"/>
        </w:trPr>
        <w:tc>
          <w:tcPr>
            <w:tcW w:w="1703" w:type="dxa"/>
            <w:vAlign w:val="center"/>
          </w:tcPr>
          <w:p w14:paraId="6116EC12" w14:textId="77777777" w:rsidR="009E41E0" w:rsidRPr="00AD1CD4" w:rsidRDefault="009E41E0" w:rsidP="00501F8F">
            <w:pPr>
              <w:rPr>
                <w:rFonts w:ascii="Arial" w:hAnsi="Arial" w:cs="Arial"/>
                <w:color w:val="000000" w:themeColor="text1"/>
                <w:sz w:val="18"/>
                <w:szCs w:val="18"/>
              </w:rPr>
            </w:pPr>
            <w:r w:rsidRPr="00AD1CD4">
              <w:rPr>
                <w:rFonts w:ascii="Arial" w:eastAsia="inter" w:hAnsi="Arial" w:cs="Arial"/>
                <w:color w:val="000000" w:themeColor="text1"/>
                <w:sz w:val="18"/>
                <w:szCs w:val="18"/>
              </w:rPr>
              <w:t>Relación Desmonte / Relaves</w:t>
            </w:r>
          </w:p>
        </w:tc>
        <w:tc>
          <w:tcPr>
            <w:tcW w:w="1177" w:type="dxa"/>
            <w:vAlign w:val="center"/>
          </w:tcPr>
          <w:p w14:paraId="476B4FB9" w14:textId="77777777" w:rsidR="009E41E0" w:rsidRPr="00AD1CD4" w:rsidRDefault="009E41E0" w:rsidP="00501F8F">
            <w:pPr>
              <w:jc w:val="center"/>
              <w:rPr>
                <w:rFonts w:ascii="Arial" w:hAnsi="Arial" w:cs="Arial"/>
                <w:color w:val="000000" w:themeColor="text1"/>
                <w:sz w:val="18"/>
                <w:szCs w:val="18"/>
              </w:rPr>
            </w:pPr>
            <w:r w:rsidRPr="00AD1CD4">
              <w:rPr>
                <w:rFonts w:ascii="Arial" w:eastAsia="inter" w:hAnsi="Arial" w:cs="Arial"/>
                <w:color w:val="000000" w:themeColor="text1"/>
                <w:sz w:val="18"/>
                <w:szCs w:val="18"/>
              </w:rPr>
              <w:t>Mt Roca/ Mt Relaves</w:t>
            </w:r>
          </w:p>
        </w:tc>
        <w:tc>
          <w:tcPr>
            <w:tcW w:w="990" w:type="dxa"/>
            <w:vAlign w:val="center"/>
          </w:tcPr>
          <w:p w14:paraId="7ADE363C" w14:textId="77777777" w:rsidR="009E41E0" w:rsidRPr="00AD1CD4" w:rsidRDefault="009E41E0" w:rsidP="00501F8F">
            <w:pPr>
              <w:jc w:val="center"/>
              <w:rPr>
                <w:rFonts w:ascii="Arial" w:hAnsi="Arial" w:cs="Arial"/>
                <w:color w:val="000000" w:themeColor="text1"/>
                <w:sz w:val="18"/>
                <w:szCs w:val="18"/>
              </w:rPr>
            </w:pPr>
            <w:r w:rsidRPr="00AD1CD4">
              <w:rPr>
                <w:rFonts w:ascii="Arial" w:eastAsia="inter" w:hAnsi="Arial" w:cs="Arial"/>
                <w:color w:val="000000" w:themeColor="text1"/>
                <w:sz w:val="18"/>
                <w:szCs w:val="18"/>
              </w:rPr>
              <w:t>-</w:t>
            </w:r>
          </w:p>
        </w:tc>
        <w:tc>
          <w:tcPr>
            <w:tcW w:w="1264" w:type="dxa"/>
            <w:vAlign w:val="center"/>
          </w:tcPr>
          <w:p w14:paraId="39D38752" w14:textId="77777777" w:rsidR="009E41E0" w:rsidRPr="00AD1CD4" w:rsidRDefault="009E41E0" w:rsidP="00501F8F">
            <w:pPr>
              <w:jc w:val="center"/>
              <w:rPr>
                <w:rFonts w:ascii="Arial" w:hAnsi="Arial" w:cs="Arial"/>
                <w:color w:val="000000" w:themeColor="text1"/>
                <w:sz w:val="18"/>
                <w:szCs w:val="18"/>
              </w:rPr>
            </w:pPr>
            <w:r w:rsidRPr="00AD1CD4">
              <w:rPr>
                <w:rFonts w:ascii="Arial" w:eastAsia="inter" w:hAnsi="Arial" w:cs="Arial"/>
                <w:color w:val="000000" w:themeColor="text1"/>
                <w:sz w:val="18"/>
                <w:szCs w:val="18"/>
              </w:rPr>
              <w:t>83 / 16</w:t>
            </w:r>
          </w:p>
        </w:tc>
      </w:tr>
      <w:tr w:rsidR="009E41E0" w:rsidRPr="00AD1CD4" w14:paraId="20B558F5" w14:textId="77777777" w:rsidTr="00501F8F">
        <w:trPr>
          <w:cantSplit/>
          <w:trHeight w:val="23"/>
          <w:tblCellSpacing w:w="0" w:type="dxa"/>
          <w:jc w:val="center"/>
        </w:trPr>
        <w:tc>
          <w:tcPr>
            <w:tcW w:w="1703" w:type="dxa"/>
            <w:tcBorders>
              <w:top w:val="single" w:sz="4" w:space="0" w:color="D9D9D9" w:themeColor="background1" w:themeShade="D9"/>
              <w:bottom w:val="single" w:sz="4" w:space="0" w:color="D9D9D9" w:themeColor="background1" w:themeShade="D9"/>
            </w:tcBorders>
            <w:vAlign w:val="center"/>
          </w:tcPr>
          <w:p w14:paraId="773EBEEB" w14:textId="77777777" w:rsidR="009E41E0" w:rsidRPr="00AD1CD4" w:rsidRDefault="009E41E0" w:rsidP="00501F8F">
            <w:pPr>
              <w:rPr>
                <w:rFonts w:ascii="Arial" w:hAnsi="Arial" w:cs="Arial"/>
                <w:color w:val="000000" w:themeColor="text1"/>
                <w:sz w:val="18"/>
                <w:szCs w:val="18"/>
              </w:rPr>
            </w:pPr>
            <w:r w:rsidRPr="00AD1CD4">
              <w:rPr>
                <w:rFonts w:ascii="Arial" w:eastAsia="inter" w:hAnsi="Arial" w:cs="Arial"/>
                <w:color w:val="000000" w:themeColor="text1"/>
                <w:sz w:val="18"/>
                <w:szCs w:val="18"/>
              </w:rPr>
              <w:t>Densidad de Relaves Convencionales</w:t>
            </w:r>
          </w:p>
        </w:tc>
        <w:tc>
          <w:tcPr>
            <w:tcW w:w="1177" w:type="dxa"/>
            <w:tcBorders>
              <w:top w:val="single" w:sz="4" w:space="0" w:color="D9D9D9" w:themeColor="background1" w:themeShade="D9"/>
              <w:bottom w:val="single" w:sz="4" w:space="0" w:color="D9D9D9" w:themeColor="background1" w:themeShade="D9"/>
            </w:tcBorders>
            <w:vAlign w:val="center"/>
          </w:tcPr>
          <w:p w14:paraId="3D2F3988" w14:textId="77777777" w:rsidR="009E41E0" w:rsidRPr="00AD1CD4" w:rsidRDefault="009E41E0" w:rsidP="00501F8F">
            <w:pPr>
              <w:jc w:val="center"/>
              <w:rPr>
                <w:rFonts w:ascii="Arial" w:hAnsi="Arial" w:cs="Arial"/>
                <w:color w:val="000000" w:themeColor="text1"/>
                <w:sz w:val="18"/>
                <w:szCs w:val="18"/>
              </w:rPr>
            </w:pPr>
            <w:r w:rsidRPr="00AD1CD4">
              <w:rPr>
                <w:rFonts w:ascii="Arial" w:eastAsia="inter" w:hAnsi="Arial" w:cs="Arial"/>
                <w:color w:val="000000" w:themeColor="text1"/>
                <w:sz w:val="18"/>
                <w:szCs w:val="18"/>
              </w:rPr>
              <w:t>t/m3</w:t>
            </w:r>
          </w:p>
        </w:tc>
        <w:tc>
          <w:tcPr>
            <w:tcW w:w="990" w:type="dxa"/>
            <w:tcBorders>
              <w:top w:val="single" w:sz="4" w:space="0" w:color="D9D9D9" w:themeColor="background1" w:themeShade="D9"/>
              <w:bottom w:val="single" w:sz="4" w:space="0" w:color="D9D9D9" w:themeColor="background1" w:themeShade="D9"/>
            </w:tcBorders>
            <w:vAlign w:val="center"/>
          </w:tcPr>
          <w:p w14:paraId="57BEE00F" w14:textId="77777777" w:rsidR="009E41E0" w:rsidRPr="00AD1CD4" w:rsidRDefault="009E41E0" w:rsidP="00501F8F">
            <w:pPr>
              <w:jc w:val="center"/>
              <w:rPr>
                <w:rFonts w:ascii="Arial" w:hAnsi="Arial" w:cs="Arial"/>
                <w:color w:val="000000" w:themeColor="text1"/>
                <w:sz w:val="18"/>
                <w:szCs w:val="18"/>
              </w:rPr>
            </w:pPr>
            <w:r w:rsidRPr="00AD1CD4">
              <w:rPr>
                <w:rFonts w:ascii="Arial" w:eastAsia="inter" w:hAnsi="Arial" w:cs="Arial"/>
                <w:color w:val="000000" w:themeColor="text1"/>
                <w:sz w:val="18"/>
                <w:szCs w:val="18"/>
              </w:rPr>
              <w:t>1,81</w:t>
            </w:r>
          </w:p>
        </w:tc>
        <w:tc>
          <w:tcPr>
            <w:tcW w:w="1264" w:type="dxa"/>
            <w:tcBorders>
              <w:top w:val="single" w:sz="4" w:space="0" w:color="D9D9D9" w:themeColor="background1" w:themeShade="D9"/>
              <w:bottom w:val="single" w:sz="4" w:space="0" w:color="D9D9D9" w:themeColor="background1" w:themeShade="D9"/>
            </w:tcBorders>
            <w:vAlign w:val="center"/>
          </w:tcPr>
          <w:p w14:paraId="50A68E7E" w14:textId="77777777" w:rsidR="009E41E0" w:rsidRPr="00AD1CD4" w:rsidRDefault="009E41E0" w:rsidP="00501F8F">
            <w:pPr>
              <w:jc w:val="center"/>
              <w:rPr>
                <w:rFonts w:ascii="Arial" w:hAnsi="Arial" w:cs="Arial"/>
                <w:color w:val="000000" w:themeColor="text1"/>
                <w:sz w:val="18"/>
                <w:szCs w:val="18"/>
              </w:rPr>
            </w:pPr>
            <w:r w:rsidRPr="00AD1CD4">
              <w:rPr>
                <w:rFonts w:ascii="Arial" w:eastAsia="inter" w:hAnsi="Arial" w:cs="Arial"/>
                <w:color w:val="000000" w:themeColor="text1"/>
                <w:sz w:val="18"/>
                <w:szCs w:val="18"/>
              </w:rPr>
              <w:t>1,81</w:t>
            </w:r>
          </w:p>
        </w:tc>
      </w:tr>
      <w:tr w:rsidR="009E41E0" w:rsidRPr="00AD1CD4" w14:paraId="5A036C2F" w14:textId="77777777" w:rsidTr="00501F8F">
        <w:trPr>
          <w:cantSplit/>
          <w:trHeight w:val="23"/>
          <w:tblCellSpacing w:w="0" w:type="dxa"/>
          <w:jc w:val="center"/>
        </w:trPr>
        <w:tc>
          <w:tcPr>
            <w:tcW w:w="1703" w:type="dxa"/>
            <w:vAlign w:val="center"/>
          </w:tcPr>
          <w:p w14:paraId="68227908" w14:textId="77777777" w:rsidR="009E41E0" w:rsidRPr="00AD1CD4" w:rsidRDefault="009E41E0" w:rsidP="00501F8F">
            <w:pPr>
              <w:rPr>
                <w:rFonts w:ascii="Arial" w:hAnsi="Arial" w:cs="Arial"/>
                <w:color w:val="000000" w:themeColor="text1"/>
                <w:sz w:val="18"/>
                <w:szCs w:val="18"/>
              </w:rPr>
            </w:pPr>
            <w:r w:rsidRPr="00AD1CD4">
              <w:rPr>
                <w:rFonts w:ascii="Arial" w:eastAsia="inter" w:hAnsi="Arial" w:cs="Arial"/>
                <w:color w:val="000000" w:themeColor="text1"/>
                <w:sz w:val="18"/>
                <w:szCs w:val="18"/>
              </w:rPr>
              <w:t>Densidad de Relaves Finos</w:t>
            </w:r>
          </w:p>
        </w:tc>
        <w:tc>
          <w:tcPr>
            <w:tcW w:w="1177" w:type="dxa"/>
            <w:vAlign w:val="center"/>
          </w:tcPr>
          <w:p w14:paraId="0D8A136F" w14:textId="77777777" w:rsidR="009E41E0" w:rsidRPr="00AD1CD4" w:rsidRDefault="009E41E0" w:rsidP="00501F8F">
            <w:pPr>
              <w:jc w:val="center"/>
              <w:rPr>
                <w:rFonts w:ascii="Arial" w:hAnsi="Arial" w:cs="Arial"/>
                <w:color w:val="000000" w:themeColor="text1"/>
                <w:sz w:val="18"/>
                <w:szCs w:val="18"/>
              </w:rPr>
            </w:pPr>
            <w:r w:rsidRPr="00AD1CD4">
              <w:rPr>
                <w:rFonts w:ascii="Arial" w:eastAsia="inter" w:hAnsi="Arial" w:cs="Arial"/>
                <w:color w:val="000000" w:themeColor="text1"/>
                <w:sz w:val="18"/>
                <w:szCs w:val="18"/>
              </w:rPr>
              <w:t>t/m3</w:t>
            </w:r>
          </w:p>
        </w:tc>
        <w:tc>
          <w:tcPr>
            <w:tcW w:w="990" w:type="dxa"/>
            <w:vAlign w:val="center"/>
          </w:tcPr>
          <w:p w14:paraId="05182F8B" w14:textId="77777777" w:rsidR="009E41E0" w:rsidRPr="00AD1CD4" w:rsidRDefault="009E41E0" w:rsidP="00501F8F">
            <w:pPr>
              <w:jc w:val="center"/>
              <w:rPr>
                <w:rFonts w:ascii="Arial" w:hAnsi="Arial" w:cs="Arial"/>
                <w:color w:val="000000" w:themeColor="text1"/>
                <w:sz w:val="18"/>
                <w:szCs w:val="18"/>
              </w:rPr>
            </w:pPr>
            <w:r w:rsidRPr="00AD1CD4">
              <w:rPr>
                <w:rFonts w:ascii="Arial" w:eastAsia="inter" w:hAnsi="Arial" w:cs="Arial"/>
                <w:color w:val="000000" w:themeColor="text1"/>
                <w:sz w:val="18"/>
                <w:szCs w:val="18"/>
              </w:rPr>
              <w:t>NA</w:t>
            </w:r>
          </w:p>
        </w:tc>
        <w:tc>
          <w:tcPr>
            <w:tcW w:w="1264" w:type="dxa"/>
            <w:vAlign w:val="center"/>
          </w:tcPr>
          <w:p w14:paraId="0BE48D0A" w14:textId="77777777" w:rsidR="009E41E0" w:rsidRPr="00AD1CD4" w:rsidRDefault="009E41E0" w:rsidP="00501F8F">
            <w:pPr>
              <w:jc w:val="center"/>
              <w:rPr>
                <w:rFonts w:ascii="Arial" w:hAnsi="Arial" w:cs="Arial"/>
                <w:color w:val="000000" w:themeColor="text1"/>
                <w:sz w:val="18"/>
                <w:szCs w:val="18"/>
              </w:rPr>
            </w:pPr>
            <w:r w:rsidRPr="00AD1CD4">
              <w:rPr>
                <w:rFonts w:ascii="Arial" w:eastAsia="inter" w:hAnsi="Arial" w:cs="Arial"/>
                <w:color w:val="000000" w:themeColor="text1"/>
                <w:sz w:val="18"/>
                <w:szCs w:val="18"/>
              </w:rPr>
              <w:t>1,60</w:t>
            </w:r>
          </w:p>
        </w:tc>
      </w:tr>
      <w:tr w:rsidR="009E41E0" w:rsidRPr="00AD1CD4" w14:paraId="1559DDD6" w14:textId="77777777" w:rsidTr="00501F8F">
        <w:trPr>
          <w:cantSplit/>
          <w:trHeight w:val="23"/>
          <w:tblCellSpacing w:w="0" w:type="dxa"/>
          <w:jc w:val="center"/>
        </w:trPr>
        <w:tc>
          <w:tcPr>
            <w:tcW w:w="1703" w:type="dxa"/>
            <w:tcBorders>
              <w:top w:val="single" w:sz="4" w:space="0" w:color="D9D9D9" w:themeColor="background1" w:themeShade="D9"/>
              <w:bottom w:val="single" w:sz="4" w:space="0" w:color="D9D9D9" w:themeColor="background1" w:themeShade="D9"/>
            </w:tcBorders>
            <w:vAlign w:val="center"/>
          </w:tcPr>
          <w:p w14:paraId="505A1FB7" w14:textId="77777777" w:rsidR="009E41E0" w:rsidRPr="00AD1CD4" w:rsidRDefault="009E41E0" w:rsidP="00501F8F">
            <w:pPr>
              <w:rPr>
                <w:rFonts w:ascii="Arial" w:hAnsi="Arial" w:cs="Arial"/>
                <w:color w:val="000000" w:themeColor="text1"/>
                <w:sz w:val="18"/>
                <w:szCs w:val="18"/>
              </w:rPr>
            </w:pPr>
            <w:r w:rsidRPr="00AD1CD4">
              <w:rPr>
                <w:rFonts w:ascii="Arial" w:eastAsia="inter" w:hAnsi="Arial" w:cs="Arial"/>
                <w:color w:val="000000" w:themeColor="text1"/>
                <w:sz w:val="18"/>
                <w:szCs w:val="18"/>
              </w:rPr>
              <w:t>Volumen de Relaves, TDR 4195 (a Dic-22)</w:t>
            </w:r>
          </w:p>
        </w:tc>
        <w:tc>
          <w:tcPr>
            <w:tcW w:w="1177" w:type="dxa"/>
            <w:tcBorders>
              <w:top w:val="single" w:sz="4" w:space="0" w:color="D9D9D9" w:themeColor="background1" w:themeShade="D9"/>
              <w:bottom w:val="single" w:sz="4" w:space="0" w:color="D9D9D9" w:themeColor="background1" w:themeShade="D9"/>
            </w:tcBorders>
            <w:vAlign w:val="center"/>
          </w:tcPr>
          <w:p w14:paraId="2C7F84C0" w14:textId="77777777" w:rsidR="009E41E0" w:rsidRPr="00AD1CD4" w:rsidRDefault="009E41E0" w:rsidP="00501F8F">
            <w:pPr>
              <w:jc w:val="center"/>
              <w:rPr>
                <w:rFonts w:ascii="Arial" w:hAnsi="Arial" w:cs="Arial"/>
                <w:color w:val="000000" w:themeColor="text1"/>
                <w:sz w:val="18"/>
                <w:szCs w:val="18"/>
              </w:rPr>
            </w:pPr>
            <w:r w:rsidRPr="00AD1CD4">
              <w:rPr>
                <w:rFonts w:ascii="Arial" w:eastAsia="inter" w:hAnsi="Arial" w:cs="Arial"/>
                <w:color w:val="000000" w:themeColor="text1"/>
                <w:sz w:val="18"/>
                <w:szCs w:val="18"/>
              </w:rPr>
              <w:t>Mm3</w:t>
            </w:r>
          </w:p>
        </w:tc>
        <w:tc>
          <w:tcPr>
            <w:tcW w:w="990" w:type="dxa"/>
            <w:tcBorders>
              <w:top w:val="single" w:sz="4" w:space="0" w:color="D9D9D9" w:themeColor="background1" w:themeShade="D9"/>
              <w:bottom w:val="single" w:sz="4" w:space="0" w:color="D9D9D9" w:themeColor="background1" w:themeShade="D9"/>
            </w:tcBorders>
            <w:vAlign w:val="center"/>
          </w:tcPr>
          <w:p w14:paraId="3314885A" w14:textId="77777777" w:rsidR="009E41E0" w:rsidRPr="00AD1CD4" w:rsidRDefault="009E41E0" w:rsidP="00501F8F">
            <w:pPr>
              <w:jc w:val="center"/>
              <w:rPr>
                <w:rFonts w:ascii="Arial" w:hAnsi="Arial" w:cs="Arial"/>
                <w:color w:val="000000" w:themeColor="text1"/>
                <w:sz w:val="18"/>
                <w:szCs w:val="18"/>
              </w:rPr>
            </w:pPr>
            <w:r w:rsidRPr="00AD1CD4">
              <w:rPr>
                <w:rFonts w:ascii="Arial" w:eastAsia="inter" w:hAnsi="Arial" w:cs="Arial"/>
                <w:color w:val="000000" w:themeColor="text1"/>
                <w:sz w:val="18"/>
                <w:szCs w:val="18"/>
              </w:rPr>
              <w:t>376</w:t>
            </w:r>
          </w:p>
        </w:tc>
        <w:tc>
          <w:tcPr>
            <w:tcW w:w="1264" w:type="dxa"/>
            <w:tcBorders>
              <w:top w:val="single" w:sz="4" w:space="0" w:color="D9D9D9" w:themeColor="background1" w:themeShade="D9"/>
              <w:bottom w:val="single" w:sz="4" w:space="0" w:color="D9D9D9" w:themeColor="background1" w:themeShade="D9"/>
            </w:tcBorders>
            <w:vAlign w:val="center"/>
          </w:tcPr>
          <w:p w14:paraId="35BFACED" w14:textId="77777777" w:rsidR="009E41E0" w:rsidRPr="00AD1CD4" w:rsidRDefault="009E41E0" w:rsidP="00501F8F">
            <w:pPr>
              <w:jc w:val="center"/>
              <w:rPr>
                <w:rFonts w:ascii="Arial" w:hAnsi="Arial" w:cs="Arial"/>
                <w:color w:val="000000" w:themeColor="text1"/>
                <w:sz w:val="18"/>
                <w:szCs w:val="18"/>
              </w:rPr>
            </w:pPr>
            <w:r w:rsidRPr="00AD1CD4">
              <w:rPr>
                <w:rFonts w:ascii="Arial" w:eastAsia="inter" w:hAnsi="Arial" w:cs="Arial"/>
                <w:color w:val="000000" w:themeColor="text1"/>
                <w:sz w:val="18"/>
                <w:szCs w:val="18"/>
              </w:rPr>
              <w:t>376</w:t>
            </w:r>
          </w:p>
        </w:tc>
      </w:tr>
      <w:tr w:rsidR="009E41E0" w:rsidRPr="00AD1CD4" w14:paraId="637C8F66" w14:textId="77777777" w:rsidTr="00501F8F">
        <w:trPr>
          <w:cantSplit/>
          <w:trHeight w:val="23"/>
          <w:tblCellSpacing w:w="0" w:type="dxa"/>
          <w:jc w:val="center"/>
        </w:trPr>
        <w:tc>
          <w:tcPr>
            <w:tcW w:w="1703" w:type="dxa"/>
            <w:tcBorders>
              <w:top w:val="single" w:sz="4" w:space="0" w:color="D9D9D9" w:themeColor="background1" w:themeShade="D9"/>
              <w:bottom w:val="single" w:sz="4" w:space="0" w:color="D9D9D9" w:themeColor="background1" w:themeShade="D9"/>
            </w:tcBorders>
            <w:vAlign w:val="center"/>
          </w:tcPr>
          <w:p w14:paraId="33A01723" w14:textId="77777777" w:rsidR="009E41E0" w:rsidRPr="00AD1CD4" w:rsidRDefault="009E41E0" w:rsidP="00501F8F">
            <w:pPr>
              <w:rPr>
                <w:rFonts w:ascii="Arial" w:hAnsi="Arial" w:cs="Arial"/>
                <w:color w:val="000000" w:themeColor="text1"/>
                <w:sz w:val="18"/>
                <w:szCs w:val="18"/>
              </w:rPr>
            </w:pPr>
            <w:r w:rsidRPr="00AD1CD4">
              <w:rPr>
                <w:rFonts w:ascii="Arial" w:eastAsia="inter" w:hAnsi="Arial" w:cs="Arial"/>
                <w:color w:val="000000" w:themeColor="text1"/>
                <w:sz w:val="18"/>
                <w:szCs w:val="18"/>
              </w:rPr>
              <w:t>Capacidad de Relaves, TDR 4195 (a Dic-22)</w:t>
            </w:r>
          </w:p>
        </w:tc>
        <w:tc>
          <w:tcPr>
            <w:tcW w:w="1177" w:type="dxa"/>
            <w:tcBorders>
              <w:top w:val="single" w:sz="4" w:space="0" w:color="D9D9D9" w:themeColor="background1" w:themeShade="D9"/>
              <w:bottom w:val="single" w:sz="4" w:space="0" w:color="D9D9D9" w:themeColor="background1" w:themeShade="D9"/>
            </w:tcBorders>
            <w:vAlign w:val="center"/>
          </w:tcPr>
          <w:p w14:paraId="1FA45CA1" w14:textId="77777777" w:rsidR="009E41E0" w:rsidRPr="00AD1CD4" w:rsidRDefault="009E41E0" w:rsidP="00501F8F">
            <w:pPr>
              <w:jc w:val="center"/>
              <w:rPr>
                <w:rFonts w:ascii="Arial" w:hAnsi="Arial" w:cs="Arial"/>
                <w:color w:val="000000" w:themeColor="text1"/>
                <w:sz w:val="18"/>
                <w:szCs w:val="18"/>
              </w:rPr>
            </w:pPr>
            <w:r w:rsidRPr="00AD1CD4">
              <w:rPr>
                <w:rFonts w:ascii="Arial" w:eastAsia="inter" w:hAnsi="Arial" w:cs="Arial"/>
                <w:color w:val="000000" w:themeColor="text1"/>
                <w:sz w:val="18"/>
                <w:szCs w:val="18"/>
              </w:rPr>
              <w:t>Mt</w:t>
            </w:r>
          </w:p>
        </w:tc>
        <w:tc>
          <w:tcPr>
            <w:tcW w:w="990" w:type="dxa"/>
            <w:tcBorders>
              <w:top w:val="single" w:sz="4" w:space="0" w:color="D9D9D9" w:themeColor="background1" w:themeShade="D9"/>
              <w:bottom w:val="single" w:sz="4" w:space="0" w:color="D9D9D9" w:themeColor="background1" w:themeShade="D9"/>
            </w:tcBorders>
            <w:vAlign w:val="center"/>
          </w:tcPr>
          <w:p w14:paraId="7F8247D4" w14:textId="77777777" w:rsidR="009E41E0" w:rsidRPr="00AD1CD4" w:rsidRDefault="009E41E0" w:rsidP="00501F8F">
            <w:pPr>
              <w:jc w:val="center"/>
              <w:rPr>
                <w:rFonts w:ascii="Arial" w:hAnsi="Arial" w:cs="Arial"/>
                <w:color w:val="000000" w:themeColor="text1"/>
                <w:sz w:val="18"/>
                <w:szCs w:val="18"/>
              </w:rPr>
            </w:pPr>
            <w:r w:rsidRPr="00AD1CD4">
              <w:rPr>
                <w:rFonts w:ascii="Arial" w:eastAsia="inter" w:hAnsi="Arial" w:cs="Arial"/>
                <w:color w:val="000000" w:themeColor="text1"/>
                <w:sz w:val="18"/>
                <w:szCs w:val="18"/>
              </w:rPr>
              <w:t>682</w:t>
            </w:r>
          </w:p>
        </w:tc>
        <w:tc>
          <w:tcPr>
            <w:tcW w:w="1264" w:type="dxa"/>
            <w:tcBorders>
              <w:top w:val="single" w:sz="4" w:space="0" w:color="D9D9D9" w:themeColor="background1" w:themeShade="D9"/>
              <w:bottom w:val="single" w:sz="4" w:space="0" w:color="D9D9D9" w:themeColor="background1" w:themeShade="D9"/>
            </w:tcBorders>
            <w:vAlign w:val="center"/>
          </w:tcPr>
          <w:p w14:paraId="440A8AD3" w14:textId="77777777" w:rsidR="009E41E0" w:rsidRPr="00AD1CD4" w:rsidRDefault="009E41E0" w:rsidP="00501F8F">
            <w:pPr>
              <w:jc w:val="center"/>
              <w:rPr>
                <w:rFonts w:ascii="Arial" w:hAnsi="Arial" w:cs="Arial"/>
                <w:color w:val="000000" w:themeColor="text1"/>
                <w:sz w:val="18"/>
                <w:szCs w:val="18"/>
              </w:rPr>
            </w:pPr>
            <w:r w:rsidRPr="00AD1CD4">
              <w:rPr>
                <w:rFonts w:ascii="Arial" w:eastAsia="inter" w:hAnsi="Arial" w:cs="Arial"/>
                <w:color w:val="000000" w:themeColor="text1"/>
                <w:sz w:val="18"/>
                <w:szCs w:val="18"/>
              </w:rPr>
              <w:t>652</w:t>
            </w:r>
          </w:p>
        </w:tc>
      </w:tr>
      <w:tr w:rsidR="009E41E0" w:rsidRPr="00AD1CD4" w14:paraId="1DB0D594" w14:textId="77777777" w:rsidTr="00501F8F">
        <w:trPr>
          <w:cantSplit/>
          <w:trHeight w:val="23"/>
          <w:tblCellSpacing w:w="0" w:type="dxa"/>
          <w:jc w:val="center"/>
        </w:trPr>
        <w:tc>
          <w:tcPr>
            <w:tcW w:w="1703" w:type="dxa"/>
            <w:tcBorders>
              <w:bottom w:val="single" w:sz="4" w:space="0" w:color="auto"/>
            </w:tcBorders>
            <w:vAlign w:val="center"/>
          </w:tcPr>
          <w:p w14:paraId="3C963896" w14:textId="77777777" w:rsidR="009E41E0" w:rsidRPr="00AD1CD4" w:rsidRDefault="009E41E0" w:rsidP="00501F8F">
            <w:pPr>
              <w:rPr>
                <w:rFonts w:ascii="Arial" w:hAnsi="Arial" w:cs="Arial"/>
                <w:color w:val="000000" w:themeColor="text1"/>
                <w:sz w:val="18"/>
                <w:szCs w:val="18"/>
              </w:rPr>
            </w:pPr>
            <w:r w:rsidRPr="00AD1CD4">
              <w:rPr>
                <w:rFonts w:ascii="Arial" w:eastAsia="inter" w:hAnsi="Arial" w:cs="Arial"/>
                <w:color w:val="000000" w:themeColor="text1"/>
                <w:sz w:val="18"/>
                <w:szCs w:val="18"/>
              </w:rPr>
              <w:t>Tasa de Alimentación a Planta</w:t>
            </w:r>
          </w:p>
        </w:tc>
        <w:tc>
          <w:tcPr>
            <w:tcW w:w="1177" w:type="dxa"/>
            <w:tcBorders>
              <w:bottom w:val="single" w:sz="4" w:space="0" w:color="auto"/>
            </w:tcBorders>
            <w:vAlign w:val="center"/>
          </w:tcPr>
          <w:p w14:paraId="6A05A7FC" w14:textId="77777777" w:rsidR="009E41E0" w:rsidRPr="00AD1CD4" w:rsidRDefault="009E41E0" w:rsidP="00501F8F">
            <w:pPr>
              <w:jc w:val="center"/>
              <w:rPr>
                <w:rFonts w:ascii="Arial" w:hAnsi="Arial" w:cs="Arial"/>
                <w:color w:val="000000" w:themeColor="text1"/>
                <w:sz w:val="18"/>
                <w:szCs w:val="18"/>
              </w:rPr>
            </w:pPr>
            <w:r w:rsidRPr="00AD1CD4">
              <w:rPr>
                <w:rFonts w:ascii="Arial" w:eastAsia="inter" w:hAnsi="Arial" w:cs="Arial"/>
                <w:color w:val="000000" w:themeColor="text1"/>
                <w:sz w:val="18"/>
                <w:szCs w:val="18"/>
              </w:rPr>
              <w:t>Ktpd</w:t>
            </w:r>
          </w:p>
        </w:tc>
        <w:tc>
          <w:tcPr>
            <w:tcW w:w="990" w:type="dxa"/>
            <w:tcBorders>
              <w:bottom w:val="single" w:sz="4" w:space="0" w:color="auto"/>
            </w:tcBorders>
            <w:vAlign w:val="center"/>
          </w:tcPr>
          <w:p w14:paraId="760A520C" w14:textId="77777777" w:rsidR="009E41E0" w:rsidRPr="00AD1CD4" w:rsidRDefault="009E41E0" w:rsidP="00501F8F">
            <w:pPr>
              <w:jc w:val="center"/>
              <w:rPr>
                <w:rFonts w:ascii="Arial" w:hAnsi="Arial" w:cs="Arial"/>
                <w:color w:val="000000" w:themeColor="text1"/>
                <w:sz w:val="18"/>
                <w:szCs w:val="18"/>
              </w:rPr>
            </w:pPr>
            <w:r w:rsidRPr="00AD1CD4">
              <w:rPr>
                <w:rFonts w:ascii="Arial" w:eastAsia="inter" w:hAnsi="Arial" w:cs="Arial"/>
                <w:color w:val="000000" w:themeColor="text1"/>
                <w:sz w:val="18"/>
                <w:szCs w:val="18"/>
              </w:rPr>
              <w:t>145</w:t>
            </w:r>
          </w:p>
        </w:tc>
        <w:tc>
          <w:tcPr>
            <w:tcW w:w="1264" w:type="dxa"/>
            <w:tcBorders>
              <w:bottom w:val="single" w:sz="4" w:space="0" w:color="auto"/>
            </w:tcBorders>
            <w:vAlign w:val="center"/>
          </w:tcPr>
          <w:p w14:paraId="04FA9EF5" w14:textId="77777777" w:rsidR="009E41E0" w:rsidRPr="00AD1CD4" w:rsidRDefault="009E41E0" w:rsidP="00501F8F">
            <w:pPr>
              <w:jc w:val="center"/>
              <w:rPr>
                <w:rFonts w:ascii="Arial" w:hAnsi="Arial" w:cs="Arial"/>
                <w:color w:val="000000" w:themeColor="text1"/>
                <w:sz w:val="18"/>
                <w:szCs w:val="18"/>
              </w:rPr>
            </w:pPr>
            <w:r w:rsidRPr="00AD1CD4">
              <w:rPr>
                <w:rFonts w:ascii="Arial" w:eastAsia="inter" w:hAnsi="Arial" w:cs="Arial"/>
                <w:color w:val="000000" w:themeColor="text1"/>
                <w:sz w:val="18"/>
                <w:szCs w:val="18"/>
              </w:rPr>
              <w:t>145</w:t>
            </w:r>
          </w:p>
        </w:tc>
      </w:tr>
    </w:tbl>
    <w:p w14:paraId="23FE4790" w14:textId="77777777" w:rsidR="009E41E0" w:rsidRPr="005329E0" w:rsidRDefault="009E41E0" w:rsidP="005329E0">
      <w:pPr>
        <w:spacing w:after="210"/>
        <w:jc w:val="both"/>
        <w:rPr>
          <w:rFonts w:ascii="Arial" w:eastAsia="inter" w:hAnsi="Arial" w:cs="Arial"/>
          <w:color w:val="000000" w:themeColor="text1"/>
          <w:sz w:val="22"/>
          <w:szCs w:val="22"/>
        </w:rPr>
      </w:pPr>
    </w:p>
    <w:p w14:paraId="023596E8" w14:textId="08A7EA6E" w:rsidR="009E41E0" w:rsidRPr="005329E0" w:rsidRDefault="009E41E0" w:rsidP="00952338">
      <w:pPr>
        <w:spacing w:after="210" w:line="276" w:lineRule="auto"/>
        <w:jc w:val="both"/>
        <w:rPr>
          <w:rFonts w:ascii="Arial" w:eastAsia="inter" w:hAnsi="Arial" w:cs="Arial"/>
          <w:color w:val="000000" w:themeColor="text1"/>
          <w:sz w:val="22"/>
          <w:szCs w:val="22"/>
        </w:rPr>
      </w:pPr>
      <w:r w:rsidRPr="005329E0">
        <w:rPr>
          <w:rFonts w:ascii="Arial" w:eastAsia="inter" w:hAnsi="Arial" w:cs="Arial"/>
          <w:color w:val="000000" w:themeColor="text1"/>
          <w:sz w:val="22"/>
          <w:szCs w:val="22"/>
        </w:rPr>
        <w:t xml:space="preserve">La siguiente </w:t>
      </w:r>
      <w:r w:rsidR="00012C97">
        <w:rPr>
          <w:rFonts w:ascii="Arial" w:eastAsia="inter" w:hAnsi="Arial" w:cs="Arial"/>
          <w:color w:val="000000" w:themeColor="text1"/>
          <w:sz w:val="22"/>
          <w:szCs w:val="22"/>
        </w:rPr>
        <w:t>figura</w:t>
      </w:r>
      <w:r w:rsidRPr="005329E0">
        <w:rPr>
          <w:rFonts w:ascii="Arial" w:eastAsia="inter" w:hAnsi="Arial" w:cs="Arial"/>
          <w:color w:val="000000" w:themeColor="text1"/>
          <w:sz w:val="22"/>
          <w:szCs w:val="22"/>
        </w:rPr>
        <w:t xml:space="preserve"> muestra cómo la incorporación de sistemas mecanizados y commingling añade capacidad y, por tanto, extiende la vida útil del depósito de relaves, incrementando la vida de la mina y el valor total del activo.</w:t>
      </w:r>
    </w:p>
    <w:p w14:paraId="0727B3CB" w14:textId="7B3E8BF9" w:rsidR="009E41E0" w:rsidRPr="005329E0" w:rsidRDefault="00E81535" w:rsidP="00952338">
      <w:pPr>
        <w:spacing w:line="276" w:lineRule="auto"/>
        <w:jc w:val="both"/>
        <w:rPr>
          <w:rFonts w:ascii="Arial" w:eastAsia="inter" w:hAnsi="Arial" w:cs="Arial"/>
          <w:color w:val="000000" w:themeColor="text1"/>
          <w:sz w:val="22"/>
          <w:szCs w:val="22"/>
        </w:rPr>
      </w:pPr>
      <w:r w:rsidRPr="005329E0">
        <w:rPr>
          <w:rFonts w:ascii="Arial" w:eastAsia="inter" w:hAnsi="Arial" w:cs="Arial"/>
          <w:noProof/>
          <w:color w:val="000000" w:themeColor="text1"/>
          <w:sz w:val="22"/>
          <w:szCs w:val="22"/>
        </w:rPr>
        <w:drawing>
          <wp:inline distT="0" distB="0" distL="0" distR="0" wp14:anchorId="489CA332" wp14:editId="6BD2E723">
            <wp:extent cx="3009900" cy="2079172"/>
            <wp:effectExtent l="0" t="0" r="0" b="0"/>
            <wp:docPr id="1216184406" name="Gráfico 1">
              <a:extLst xmlns:a="http://schemas.openxmlformats.org/drawingml/2006/main">
                <a:ext uri="{FF2B5EF4-FFF2-40B4-BE49-F238E27FC236}">
                  <a16:creationId xmlns:a16="http://schemas.microsoft.com/office/drawing/2014/main" id="{9E071F95-52BA-0986-1169-115484B2C1D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9293536" w14:textId="7598FF80" w:rsidR="009E41E0" w:rsidRPr="004769D2" w:rsidRDefault="009E41E0" w:rsidP="00952338">
      <w:pPr>
        <w:pStyle w:val="Caption"/>
        <w:spacing w:line="276" w:lineRule="auto"/>
        <w:jc w:val="center"/>
      </w:pPr>
      <w:r w:rsidRPr="004769D2">
        <w:t xml:space="preserve">Figura </w:t>
      </w:r>
      <w:r w:rsidRPr="004769D2">
        <w:fldChar w:fldCharType="begin"/>
      </w:r>
      <w:r w:rsidRPr="004769D2">
        <w:instrText xml:space="preserve"> SEQ Figura \* ARABIC </w:instrText>
      </w:r>
      <w:r w:rsidRPr="004769D2">
        <w:fldChar w:fldCharType="separate"/>
      </w:r>
      <w:r w:rsidR="00982A1E">
        <w:rPr>
          <w:noProof/>
        </w:rPr>
        <w:t>2</w:t>
      </w:r>
      <w:r w:rsidRPr="004769D2">
        <w:fldChar w:fldCharType="end"/>
      </w:r>
      <w:r w:rsidRPr="004769D2">
        <w:t xml:space="preserve"> Extensión de la Vida Útil del Depósito  de Relaves médiante Commingling</w:t>
      </w:r>
    </w:p>
    <w:p w14:paraId="5CEB1083" w14:textId="7168A29C" w:rsidR="009E41E0" w:rsidRPr="005329E0" w:rsidRDefault="009E41E0" w:rsidP="00952338">
      <w:pPr>
        <w:spacing w:after="210" w:line="276" w:lineRule="auto"/>
        <w:jc w:val="both"/>
        <w:rPr>
          <w:rFonts w:ascii="Arial" w:eastAsia="inter" w:hAnsi="Arial" w:cs="Arial"/>
          <w:color w:val="000000" w:themeColor="text1"/>
          <w:sz w:val="22"/>
          <w:szCs w:val="22"/>
        </w:rPr>
      </w:pPr>
      <w:r w:rsidRPr="005329E0">
        <w:rPr>
          <w:rFonts w:ascii="Arial" w:eastAsia="inter" w:hAnsi="Arial" w:cs="Arial"/>
          <w:color w:val="000000" w:themeColor="text1"/>
          <w:sz w:val="22"/>
          <w:szCs w:val="22"/>
        </w:rPr>
        <w:t xml:space="preserve">La curva </w:t>
      </w:r>
      <w:r w:rsidR="00790944">
        <w:rPr>
          <w:rFonts w:ascii="Arial" w:eastAsia="inter" w:hAnsi="Arial" w:cs="Arial"/>
          <w:color w:val="000000" w:themeColor="text1"/>
          <w:sz w:val="22"/>
          <w:szCs w:val="22"/>
        </w:rPr>
        <w:t xml:space="preserve">mostrada en la </w:t>
      </w:r>
      <w:r w:rsidR="00790944">
        <w:rPr>
          <w:rFonts w:ascii="Arial" w:eastAsia="inter" w:hAnsi="Arial" w:cs="Arial"/>
          <w:color w:val="000000" w:themeColor="text1"/>
          <w:sz w:val="22"/>
          <w:szCs w:val="22"/>
        </w:rPr>
        <w:fldChar w:fldCharType="begin"/>
      </w:r>
      <w:r w:rsidR="00790944">
        <w:rPr>
          <w:rFonts w:ascii="Arial" w:eastAsia="inter" w:hAnsi="Arial" w:cs="Arial"/>
          <w:color w:val="000000" w:themeColor="text1"/>
          <w:sz w:val="22"/>
          <w:szCs w:val="22"/>
        </w:rPr>
        <w:instrText xml:space="preserve"> REF _Ref202453544 \h </w:instrText>
      </w:r>
      <w:r w:rsidR="00952338">
        <w:rPr>
          <w:rFonts w:ascii="Arial" w:eastAsia="inter" w:hAnsi="Arial" w:cs="Arial"/>
          <w:color w:val="000000" w:themeColor="text1"/>
          <w:sz w:val="22"/>
          <w:szCs w:val="22"/>
        </w:rPr>
        <w:instrText xml:space="preserve"> \* MERGEFORMAT </w:instrText>
      </w:r>
      <w:r w:rsidR="00790944">
        <w:rPr>
          <w:rFonts w:ascii="Arial" w:eastAsia="inter" w:hAnsi="Arial" w:cs="Arial"/>
          <w:color w:val="000000" w:themeColor="text1"/>
          <w:sz w:val="22"/>
          <w:szCs w:val="22"/>
        </w:rPr>
      </w:r>
      <w:r w:rsidR="00790944">
        <w:rPr>
          <w:rFonts w:ascii="Arial" w:eastAsia="inter" w:hAnsi="Arial" w:cs="Arial"/>
          <w:color w:val="000000" w:themeColor="text1"/>
          <w:sz w:val="22"/>
          <w:szCs w:val="22"/>
        </w:rPr>
        <w:fldChar w:fldCharType="separate"/>
      </w:r>
      <w:r w:rsidR="00982A1E" w:rsidRPr="004769D2">
        <w:t xml:space="preserve">Figura </w:t>
      </w:r>
      <w:r w:rsidR="00982A1E">
        <w:rPr>
          <w:noProof/>
        </w:rPr>
        <w:t>7</w:t>
      </w:r>
      <w:r w:rsidR="00790944">
        <w:rPr>
          <w:rFonts w:ascii="Arial" w:eastAsia="inter" w:hAnsi="Arial" w:cs="Arial"/>
          <w:color w:val="000000" w:themeColor="text1"/>
          <w:sz w:val="22"/>
          <w:szCs w:val="22"/>
        </w:rPr>
        <w:fldChar w:fldCharType="end"/>
      </w:r>
      <w:r w:rsidR="003C036B">
        <w:rPr>
          <w:rFonts w:ascii="Arial" w:eastAsia="inter" w:hAnsi="Arial" w:cs="Arial"/>
          <w:color w:val="000000" w:themeColor="text1"/>
          <w:sz w:val="22"/>
          <w:szCs w:val="22"/>
        </w:rPr>
        <w:t xml:space="preserve">, </w:t>
      </w:r>
      <w:r w:rsidRPr="005329E0">
        <w:rPr>
          <w:rFonts w:ascii="Arial" w:eastAsia="inter" w:hAnsi="Arial" w:cs="Arial"/>
          <w:color w:val="000000" w:themeColor="text1"/>
          <w:sz w:val="22"/>
          <w:szCs w:val="22"/>
        </w:rPr>
        <w:t>muestra la relación entre densidad seca y proporción óptima de mezcla, determinante para maximizar la eficiencia del commingling.</w:t>
      </w:r>
    </w:p>
    <w:p w14:paraId="6428790F" w14:textId="29C6CFA8" w:rsidR="009E41E0" w:rsidRPr="00C05F99" w:rsidRDefault="009E41E0" w:rsidP="00952338">
      <w:pPr>
        <w:numPr>
          <w:ilvl w:val="0"/>
          <w:numId w:val="9"/>
        </w:numPr>
        <w:spacing w:before="105" w:after="210" w:line="276" w:lineRule="auto"/>
        <w:jc w:val="both"/>
        <w:rPr>
          <w:rFonts w:ascii="Arial" w:eastAsia="inter" w:hAnsi="Arial" w:cs="Arial"/>
          <w:color w:val="000000" w:themeColor="text1"/>
          <w:sz w:val="22"/>
          <w:szCs w:val="22"/>
        </w:rPr>
      </w:pPr>
      <w:r w:rsidRPr="00C05F99">
        <w:rPr>
          <w:rFonts w:ascii="Arial" w:eastAsia="inter" w:hAnsi="Arial" w:cs="Arial"/>
          <w:b/>
          <w:color w:val="000000" w:themeColor="text1"/>
          <w:sz w:val="22"/>
          <w:szCs w:val="22"/>
        </w:rPr>
        <w:t>Análisis de Recursos Minables, Producción y Valor</w:t>
      </w:r>
      <w:r w:rsidR="00C05F99" w:rsidRPr="00C05F99">
        <w:rPr>
          <w:rFonts w:ascii="Arial" w:eastAsia="inter" w:hAnsi="Arial" w:cs="Arial"/>
          <w:b/>
          <w:color w:val="000000" w:themeColor="text1"/>
          <w:sz w:val="22"/>
          <w:szCs w:val="22"/>
        </w:rPr>
        <w:t xml:space="preserve"> : </w:t>
      </w:r>
      <w:r w:rsidRPr="00C05F99">
        <w:rPr>
          <w:rFonts w:ascii="Arial" w:eastAsia="inter" w:hAnsi="Arial" w:cs="Arial"/>
          <w:color w:val="000000" w:themeColor="text1"/>
          <w:sz w:val="22"/>
          <w:szCs w:val="22"/>
        </w:rPr>
        <w:t>Se utiliza un diagrama tridimensional para analizar estratégicamente las interacciones entre el volumen de recursos minables, la tasa de producción y el valor generado —sea económico, ambiental u operacional—. Esta herramienta ayuda a identificar cómo el aume</w:t>
      </w:r>
      <w:r w:rsidR="003C036B">
        <w:rPr>
          <w:rFonts w:ascii="Arial" w:eastAsia="inter" w:hAnsi="Arial" w:cs="Arial"/>
          <w:color w:val="000000" w:themeColor="text1"/>
          <w:sz w:val="22"/>
          <w:szCs w:val="22"/>
        </w:rPr>
        <w:t>f</w:t>
      </w:r>
      <w:r w:rsidRPr="00C05F99">
        <w:rPr>
          <w:rFonts w:ascii="Arial" w:eastAsia="inter" w:hAnsi="Arial" w:cs="Arial"/>
          <w:color w:val="000000" w:themeColor="text1"/>
          <w:sz w:val="22"/>
          <w:szCs w:val="22"/>
        </w:rPr>
        <w:t>nto del volumen de recursos y la producción pueden maximizar el valor, pero también resalta restricciones clave como la capacidad de la presa de relaves y los límites de propiedad. El enfoque respalda la toma de decisiones integral para optimizar el valor del activo y asegurar la sostenibilidad del proyecto en diversos escenarios operativos.</w:t>
      </w:r>
      <w:r w:rsidR="003C036B">
        <w:rPr>
          <w:rFonts w:ascii="Arial" w:eastAsia="inter" w:hAnsi="Arial" w:cs="Arial"/>
          <w:color w:val="000000" w:themeColor="text1"/>
          <w:sz w:val="22"/>
          <w:szCs w:val="22"/>
        </w:rPr>
        <w:t xml:space="preserve"> Ver la siguiente figura :</w:t>
      </w:r>
    </w:p>
    <w:p w14:paraId="7FB932B3" w14:textId="32552506" w:rsidR="009E41E0" w:rsidRPr="005329E0" w:rsidRDefault="00173A42" w:rsidP="00952338">
      <w:pPr>
        <w:keepNext/>
        <w:spacing w:after="210" w:line="276" w:lineRule="auto"/>
        <w:jc w:val="both"/>
        <w:rPr>
          <w:rFonts w:ascii="Arial" w:hAnsi="Arial" w:cs="Arial"/>
          <w:color w:val="000000" w:themeColor="text1"/>
          <w:sz w:val="22"/>
          <w:szCs w:val="22"/>
        </w:rPr>
      </w:pPr>
      <w:r w:rsidRPr="005329E0">
        <w:rPr>
          <w:rFonts w:ascii="Arial" w:hAnsi="Arial" w:cs="Arial"/>
          <w:noProof/>
          <w:color w:val="000000" w:themeColor="text1"/>
          <w:sz w:val="22"/>
          <w:szCs w:val="22"/>
        </w:rPr>
        <w:drawing>
          <wp:inline distT="0" distB="0" distL="0" distR="0" wp14:anchorId="1D7C1756" wp14:editId="099AFC66">
            <wp:extent cx="3298336" cy="2025410"/>
            <wp:effectExtent l="0" t="0" r="0" b="0"/>
            <wp:docPr id="132039529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21309" cy="2039517"/>
                    </a:xfrm>
                    <a:prstGeom prst="rect">
                      <a:avLst/>
                    </a:prstGeom>
                    <a:noFill/>
                  </pic:spPr>
                </pic:pic>
              </a:graphicData>
            </a:graphic>
          </wp:inline>
        </w:drawing>
      </w:r>
    </w:p>
    <w:p w14:paraId="7EDAFFB3" w14:textId="1C881200" w:rsidR="009E41E0" w:rsidRPr="005329E0" w:rsidRDefault="009E41E0" w:rsidP="00952338">
      <w:pPr>
        <w:pStyle w:val="Caption"/>
        <w:spacing w:line="276" w:lineRule="auto"/>
        <w:jc w:val="both"/>
        <w:rPr>
          <w:rFonts w:ascii="Arial" w:hAnsi="Arial" w:cs="Arial"/>
          <w:color w:val="000000" w:themeColor="text1"/>
          <w:sz w:val="22"/>
          <w:szCs w:val="22"/>
        </w:rPr>
      </w:pPr>
      <w:r w:rsidRPr="005329E0">
        <w:rPr>
          <w:rFonts w:ascii="Arial" w:hAnsi="Arial" w:cs="Arial"/>
          <w:color w:val="000000" w:themeColor="text1"/>
          <w:sz w:val="22"/>
          <w:szCs w:val="22"/>
        </w:rPr>
        <w:t xml:space="preserve">Figura </w:t>
      </w:r>
      <w:r w:rsidRPr="005329E0">
        <w:rPr>
          <w:rFonts w:ascii="Arial" w:hAnsi="Arial" w:cs="Arial"/>
          <w:color w:val="000000" w:themeColor="text1"/>
          <w:sz w:val="22"/>
          <w:szCs w:val="22"/>
        </w:rPr>
        <w:fldChar w:fldCharType="begin"/>
      </w:r>
      <w:r w:rsidRPr="005329E0">
        <w:rPr>
          <w:rFonts w:ascii="Arial" w:hAnsi="Arial" w:cs="Arial"/>
          <w:color w:val="000000" w:themeColor="text1"/>
          <w:sz w:val="22"/>
          <w:szCs w:val="22"/>
        </w:rPr>
        <w:instrText xml:space="preserve"> SEQ Figura \* ARABIC </w:instrText>
      </w:r>
      <w:r w:rsidRPr="005329E0">
        <w:rPr>
          <w:rFonts w:ascii="Arial" w:hAnsi="Arial" w:cs="Arial"/>
          <w:color w:val="000000" w:themeColor="text1"/>
          <w:sz w:val="22"/>
          <w:szCs w:val="22"/>
        </w:rPr>
        <w:fldChar w:fldCharType="separate"/>
      </w:r>
      <w:r w:rsidR="00982A1E">
        <w:rPr>
          <w:rFonts w:ascii="Arial" w:hAnsi="Arial" w:cs="Arial"/>
          <w:noProof/>
          <w:color w:val="000000" w:themeColor="text1"/>
          <w:sz w:val="22"/>
          <w:szCs w:val="22"/>
        </w:rPr>
        <w:t>3</w:t>
      </w:r>
      <w:r w:rsidRPr="005329E0">
        <w:rPr>
          <w:rFonts w:ascii="Arial" w:hAnsi="Arial" w:cs="Arial"/>
          <w:color w:val="000000" w:themeColor="text1"/>
          <w:sz w:val="22"/>
          <w:szCs w:val="22"/>
        </w:rPr>
        <w:fldChar w:fldCharType="end"/>
      </w:r>
      <w:r w:rsidRPr="005329E0">
        <w:rPr>
          <w:rFonts w:ascii="Arial" w:hAnsi="Arial" w:cs="Arial"/>
          <w:color w:val="000000" w:themeColor="text1"/>
          <w:sz w:val="22"/>
          <w:szCs w:val="22"/>
        </w:rPr>
        <w:t xml:space="preserve">  Optimización de valor : Interacción entre Volumen de Recursos, Tasa de Producción y Restricciones Clave</w:t>
      </w:r>
    </w:p>
    <w:p w14:paraId="32906DD7" w14:textId="77777777" w:rsidR="009E41E0" w:rsidRPr="00C05F99" w:rsidRDefault="009E41E0" w:rsidP="00952338">
      <w:pPr>
        <w:pStyle w:val="Caption"/>
        <w:spacing w:line="276" w:lineRule="auto"/>
        <w:jc w:val="both"/>
        <w:rPr>
          <w:rFonts w:ascii="Arial" w:eastAsia="inter" w:hAnsi="Arial" w:cs="Arial"/>
          <w:i w:val="0"/>
          <w:iCs w:val="0"/>
          <w:color w:val="000000" w:themeColor="text1"/>
          <w:sz w:val="22"/>
          <w:szCs w:val="22"/>
          <w:u w:val="single"/>
        </w:rPr>
      </w:pPr>
      <w:r w:rsidRPr="00C05F99">
        <w:rPr>
          <w:rFonts w:ascii="Arial" w:eastAsia="inter" w:hAnsi="Arial" w:cs="Arial"/>
          <w:b/>
          <w:i w:val="0"/>
          <w:iCs w:val="0"/>
          <w:color w:val="000000" w:themeColor="text1"/>
          <w:sz w:val="22"/>
          <w:szCs w:val="22"/>
          <w:u w:val="single"/>
        </w:rPr>
        <w:t>Beneficios Económicos y Operacionales</w:t>
      </w:r>
    </w:p>
    <w:p w14:paraId="69D295AA" w14:textId="77777777" w:rsidR="009E41E0" w:rsidRPr="00C05F99" w:rsidRDefault="009E41E0" w:rsidP="00952338">
      <w:pPr>
        <w:spacing w:before="315" w:after="105" w:line="276" w:lineRule="auto"/>
        <w:ind w:left="-30"/>
        <w:jc w:val="both"/>
        <w:rPr>
          <w:rFonts w:ascii="Arial" w:hAnsi="Arial" w:cs="Arial"/>
          <w:i/>
          <w:iCs/>
          <w:color w:val="000000" w:themeColor="text1"/>
          <w:sz w:val="22"/>
          <w:szCs w:val="22"/>
        </w:rPr>
      </w:pPr>
      <w:r w:rsidRPr="00C05F99">
        <w:rPr>
          <w:rFonts w:ascii="Arial" w:eastAsia="inter" w:hAnsi="Arial" w:cs="Arial"/>
          <w:b/>
          <w:i/>
          <w:iCs/>
          <w:color w:val="000000" w:themeColor="text1"/>
          <w:sz w:val="22"/>
          <w:szCs w:val="22"/>
        </w:rPr>
        <w:t>Perspectiva de los Impulsores de Valor Convencionales</w:t>
      </w:r>
    </w:p>
    <w:p w14:paraId="4EC47C50" w14:textId="5633275B" w:rsidR="009E41E0" w:rsidRPr="005329E0" w:rsidRDefault="009E41E0" w:rsidP="00952338">
      <w:pPr>
        <w:spacing w:after="210" w:line="276" w:lineRule="auto"/>
        <w:jc w:val="both"/>
        <w:rPr>
          <w:rFonts w:ascii="Arial" w:eastAsia="inter" w:hAnsi="Arial" w:cs="Arial"/>
          <w:color w:val="000000" w:themeColor="text1"/>
          <w:sz w:val="22"/>
          <w:szCs w:val="22"/>
        </w:rPr>
      </w:pPr>
      <w:r w:rsidRPr="005329E0">
        <w:rPr>
          <w:rFonts w:ascii="Arial" w:eastAsia="inter" w:hAnsi="Arial" w:cs="Arial"/>
          <w:color w:val="000000" w:themeColor="text1"/>
          <w:sz w:val="22"/>
          <w:szCs w:val="22"/>
        </w:rPr>
        <w:t xml:space="preserve">La </w:t>
      </w:r>
      <w:r w:rsidR="003C036B">
        <w:rPr>
          <w:rFonts w:ascii="Arial" w:eastAsia="inter" w:hAnsi="Arial" w:cs="Arial"/>
          <w:color w:val="000000" w:themeColor="text1"/>
          <w:sz w:val="22"/>
          <w:szCs w:val="22"/>
        </w:rPr>
        <w:fldChar w:fldCharType="begin"/>
      </w:r>
      <w:r w:rsidR="003C036B">
        <w:rPr>
          <w:rFonts w:ascii="Arial" w:eastAsia="inter" w:hAnsi="Arial" w:cs="Arial"/>
          <w:color w:val="000000" w:themeColor="text1"/>
          <w:sz w:val="22"/>
          <w:szCs w:val="22"/>
        </w:rPr>
        <w:instrText xml:space="preserve"> REF _Ref202453576 \h </w:instrText>
      </w:r>
      <w:r w:rsidR="00952338">
        <w:rPr>
          <w:rFonts w:ascii="Arial" w:eastAsia="inter" w:hAnsi="Arial" w:cs="Arial"/>
          <w:color w:val="000000" w:themeColor="text1"/>
          <w:sz w:val="22"/>
          <w:szCs w:val="22"/>
        </w:rPr>
        <w:instrText xml:space="preserve"> \* MERGEFORMAT </w:instrText>
      </w:r>
      <w:r w:rsidR="003C036B">
        <w:rPr>
          <w:rFonts w:ascii="Arial" w:eastAsia="inter" w:hAnsi="Arial" w:cs="Arial"/>
          <w:color w:val="000000" w:themeColor="text1"/>
          <w:sz w:val="22"/>
          <w:szCs w:val="22"/>
        </w:rPr>
      </w:r>
      <w:r w:rsidR="003C036B">
        <w:rPr>
          <w:rFonts w:ascii="Arial" w:eastAsia="inter" w:hAnsi="Arial" w:cs="Arial"/>
          <w:color w:val="000000" w:themeColor="text1"/>
          <w:sz w:val="22"/>
          <w:szCs w:val="22"/>
        </w:rPr>
        <w:fldChar w:fldCharType="separate"/>
      </w:r>
      <w:r w:rsidR="00982A1E" w:rsidRPr="00C05F99">
        <w:t xml:space="preserve">Figura </w:t>
      </w:r>
      <w:r w:rsidR="00982A1E">
        <w:rPr>
          <w:noProof/>
        </w:rPr>
        <w:t>8</w:t>
      </w:r>
      <w:r w:rsidR="003C036B">
        <w:rPr>
          <w:rFonts w:ascii="Arial" w:eastAsia="inter" w:hAnsi="Arial" w:cs="Arial"/>
          <w:color w:val="000000" w:themeColor="text1"/>
          <w:sz w:val="22"/>
          <w:szCs w:val="22"/>
        </w:rPr>
        <w:fldChar w:fldCharType="end"/>
      </w:r>
      <w:r w:rsidR="003C036B">
        <w:rPr>
          <w:rFonts w:ascii="Arial" w:eastAsia="inter" w:hAnsi="Arial" w:cs="Arial"/>
          <w:color w:val="000000" w:themeColor="text1"/>
          <w:sz w:val="22"/>
          <w:szCs w:val="22"/>
        </w:rPr>
        <w:t xml:space="preserve"> muestra </w:t>
      </w:r>
      <w:r w:rsidRPr="005329E0">
        <w:rPr>
          <w:rFonts w:ascii="Arial" w:eastAsia="inter" w:hAnsi="Arial" w:cs="Arial"/>
          <w:color w:val="000000" w:themeColor="text1"/>
          <w:sz w:val="22"/>
          <w:szCs w:val="22"/>
        </w:rPr>
        <w:t xml:space="preserve">los principales impulsores de valor convencionales de Antamina desde una perspectiva financiera. En el escenario actual, la cantidad de recurso mineral que puede ser utilizada depende directamente del capital que la empresa decida invertir (Capex), tanto en nuevas inversiones (Capex de Crecimiento) como en el mantenimiento de operaciones existentes (Capex de Sostenimiento). Esto genera un equilibrio necesario </w:t>
      </w:r>
      <w:r w:rsidRPr="005329E0">
        <w:rPr>
          <w:rFonts w:ascii="Arial" w:eastAsia="inter" w:hAnsi="Arial" w:cs="Arial"/>
          <w:color w:val="000000" w:themeColor="text1"/>
          <w:sz w:val="22"/>
          <w:szCs w:val="22"/>
        </w:rPr>
        <w:lastRenderedPageBreak/>
        <w:t>para determinar el escenario óptimo que maximice el valor del activo existente.</w:t>
      </w:r>
    </w:p>
    <w:p w14:paraId="74EA4F78" w14:textId="77777777" w:rsidR="009E41E0" w:rsidRPr="00C05F99" w:rsidRDefault="009E41E0" w:rsidP="00952338">
      <w:pPr>
        <w:spacing w:before="315" w:after="105" w:line="276" w:lineRule="auto"/>
        <w:ind w:left="-30"/>
        <w:jc w:val="both"/>
        <w:rPr>
          <w:rFonts w:ascii="Arial" w:hAnsi="Arial" w:cs="Arial"/>
          <w:i/>
          <w:iCs/>
          <w:color w:val="000000" w:themeColor="text1"/>
          <w:sz w:val="22"/>
          <w:szCs w:val="22"/>
        </w:rPr>
      </w:pPr>
      <w:r w:rsidRPr="00C05F99">
        <w:rPr>
          <w:rFonts w:ascii="Arial" w:eastAsia="inter" w:hAnsi="Arial" w:cs="Arial"/>
          <w:b/>
          <w:i/>
          <w:iCs/>
          <w:color w:val="000000" w:themeColor="text1"/>
          <w:sz w:val="22"/>
          <w:szCs w:val="22"/>
        </w:rPr>
        <w:t>Impacto del Commingling en los Impulsores de Valor Financieros</w:t>
      </w:r>
    </w:p>
    <w:p w14:paraId="5BF7B59D" w14:textId="0379A6DA" w:rsidR="009E41E0" w:rsidRPr="005329E0" w:rsidRDefault="009E41E0" w:rsidP="00952338">
      <w:pPr>
        <w:spacing w:after="210" w:line="276" w:lineRule="auto"/>
        <w:jc w:val="both"/>
        <w:rPr>
          <w:rFonts w:ascii="Arial" w:eastAsia="inter" w:hAnsi="Arial" w:cs="Arial"/>
          <w:color w:val="000000" w:themeColor="text1"/>
          <w:sz w:val="22"/>
          <w:szCs w:val="22"/>
        </w:rPr>
      </w:pPr>
      <w:r w:rsidRPr="005329E0">
        <w:rPr>
          <w:rFonts w:ascii="Arial" w:eastAsia="inter" w:hAnsi="Arial" w:cs="Arial"/>
          <w:color w:val="000000" w:themeColor="text1"/>
          <w:sz w:val="22"/>
          <w:szCs w:val="22"/>
        </w:rPr>
        <w:t>Desde la perspectiva financiera, la adopción del commingling entre los impulsores de valor de Antamina elimina restricciones sobre los recursos minerales al aumentar la capacidad de almacenamiento de relaves, permitiendo el uso de nuevos depósitos y la expansión del volumen de recursos utilizables. Como resultado, se extiende la vida operativa de la mina y se incrementa el valor del activo. Respecto al uso de depósitos, la implementación del commingling tiene el potencial de reducir la necesidad de depósitos ubicados en zonas kársticas, que demandan un significativo gasto de capital (Capex). Esto puede llevar a una reducción de hasta el 30 % en la inversión inicial en escenarios que comparan enfoques con y sin commingling. Este ahorro se logra mediante la integración de infraestructuras antes separadas en un solo sistema, optimizando el uso del área disponible en los depósitos de la Extensión Este y priorizando el uso de sistemas mecanizados sobre métodos convencionales de acarreo con camiones.</w:t>
      </w:r>
      <w:r w:rsidR="003C036B">
        <w:rPr>
          <w:rFonts w:ascii="Arial" w:eastAsia="inter" w:hAnsi="Arial" w:cs="Arial"/>
          <w:color w:val="000000" w:themeColor="text1"/>
          <w:sz w:val="22"/>
          <w:szCs w:val="22"/>
        </w:rPr>
        <w:t xml:space="preserve"> Ver </w:t>
      </w:r>
      <w:r w:rsidR="003C036B">
        <w:rPr>
          <w:rFonts w:ascii="Arial" w:eastAsia="inter" w:hAnsi="Arial" w:cs="Arial"/>
          <w:color w:val="000000" w:themeColor="text1"/>
          <w:sz w:val="22"/>
          <w:szCs w:val="22"/>
        </w:rPr>
        <w:fldChar w:fldCharType="begin"/>
      </w:r>
      <w:r w:rsidR="003C036B">
        <w:rPr>
          <w:rFonts w:ascii="Arial" w:eastAsia="inter" w:hAnsi="Arial" w:cs="Arial"/>
          <w:color w:val="000000" w:themeColor="text1"/>
          <w:sz w:val="22"/>
          <w:szCs w:val="22"/>
        </w:rPr>
        <w:instrText xml:space="preserve"> REF _Ref202453608 \h </w:instrText>
      </w:r>
      <w:r w:rsidR="00952338">
        <w:rPr>
          <w:rFonts w:ascii="Arial" w:eastAsia="inter" w:hAnsi="Arial" w:cs="Arial"/>
          <w:color w:val="000000" w:themeColor="text1"/>
          <w:sz w:val="22"/>
          <w:szCs w:val="22"/>
        </w:rPr>
        <w:instrText xml:space="preserve"> \* MERGEFORMAT </w:instrText>
      </w:r>
      <w:r w:rsidR="003C036B">
        <w:rPr>
          <w:rFonts w:ascii="Arial" w:eastAsia="inter" w:hAnsi="Arial" w:cs="Arial"/>
          <w:color w:val="000000" w:themeColor="text1"/>
          <w:sz w:val="22"/>
          <w:szCs w:val="22"/>
        </w:rPr>
      </w:r>
      <w:r w:rsidR="003C036B">
        <w:rPr>
          <w:rFonts w:ascii="Arial" w:eastAsia="inter" w:hAnsi="Arial" w:cs="Arial"/>
          <w:color w:val="000000" w:themeColor="text1"/>
          <w:sz w:val="22"/>
          <w:szCs w:val="22"/>
        </w:rPr>
        <w:fldChar w:fldCharType="separate"/>
      </w:r>
      <w:r w:rsidR="00982A1E" w:rsidRPr="00C05F99">
        <w:t xml:space="preserve">Figura </w:t>
      </w:r>
      <w:r w:rsidR="00982A1E">
        <w:rPr>
          <w:noProof/>
        </w:rPr>
        <w:t>9</w:t>
      </w:r>
      <w:r w:rsidR="00982A1E" w:rsidRPr="00C05F99">
        <w:t xml:space="preserve"> Impulsares de Valor en Antamina : Perspectiva Financiera con Commingling.</w:t>
      </w:r>
      <w:r w:rsidR="003C036B">
        <w:rPr>
          <w:rFonts w:ascii="Arial" w:eastAsia="inter" w:hAnsi="Arial" w:cs="Arial"/>
          <w:color w:val="000000" w:themeColor="text1"/>
          <w:sz w:val="22"/>
          <w:szCs w:val="22"/>
        </w:rPr>
        <w:fldChar w:fldCharType="end"/>
      </w:r>
    </w:p>
    <w:p w14:paraId="4D645BD1" w14:textId="77777777" w:rsidR="009E41E0" w:rsidRPr="005329E0" w:rsidRDefault="009E41E0" w:rsidP="00952338">
      <w:pPr>
        <w:spacing w:after="210" w:line="276" w:lineRule="auto"/>
        <w:jc w:val="both"/>
        <w:rPr>
          <w:rFonts w:ascii="Arial" w:hAnsi="Arial" w:cs="Arial"/>
          <w:color w:val="000000" w:themeColor="text1"/>
          <w:sz w:val="22"/>
          <w:szCs w:val="22"/>
        </w:rPr>
      </w:pPr>
      <w:r w:rsidRPr="005329E0">
        <w:rPr>
          <w:rFonts w:ascii="Arial" w:eastAsia="inter" w:hAnsi="Arial" w:cs="Arial"/>
          <w:color w:val="000000" w:themeColor="text1"/>
          <w:sz w:val="22"/>
          <w:szCs w:val="22"/>
        </w:rPr>
        <w:t>La optimización del uso del terreno representa otro beneficio económico importante, especialmente relevante en ubicaciones montañosas como Antamina, donde el terreno disponible para instalaciones mineras es limitado. El commingling permite la creación de depósitos con una huella menor en comparación con instalaciones separadas, liberando terreno para otros usos productivos o reduciendo la necesidad de adquirir más terreno.</w:t>
      </w:r>
    </w:p>
    <w:p w14:paraId="1E23463B" w14:textId="77777777" w:rsidR="009E41E0" w:rsidRPr="009D2D67" w:rsidRDefault="009E41E0" w:rsidP="00952338">
      <w:pPr>
        <w:spacing w:before="315" w:after="105" w:line="276" w:lineRule="auto"/>
        <w:ind w:left="-30"/>
        <w:rPr>
          <w:rFonts w:ascii="Arial" w:hAnsi="Arial" w:cs="Arial"/>
          <w:color w:val="000000" w:themeColor="text1"/>
          <w:sz w:val="22"/>
          <w:szCs w:val="22"/>
          <w:u w:val="single"/>
        </w:rPr>
      </w:pPr>
      <w:r w:rsidRPr="009D2D67">
        <w:rPr>
          <w:rFonts w:ascii="Arial" w:eastAsia="inter" w:hAnsi="Arial" w:cs="Arial"/>
          <w:b/>
          <w:color w:val="000000" w:themeColor="text1"/>
          <w:sz w:val="22"/>
          <w:szCs w:val="22"/>
          <w:u w:val="single"/>
        </w:rPr>
        <w:t>Alineamiento con Estándares GISTM y Sostenibilidad</w:t>
      </w:r>
    </w:p>
    <w:p w14:paraId="4A4A1A8D" w14:textId="77777777" w:rsidR="009E41E0" w:rsidRDefault="009E41E0" w:rsidP="00952338">
      <w:pPr>
        <w:spacing w:after="210" w:line="276" w:lineRule="auto"/>
        <w:jc w:val="both"/>
        <w:rPr>
          <w:rFonts w:ascii="Arial" w:eastAsia="inter" w:hAnsi="Arial" w:cs="Arial"/>
          <w:color w:val="000000" w:themeColor="text1"/>
          <w:sz w:val="22"/>
          <w:szCs w:val="22"/>
        </w:rPr>
      </w:pPr>
      <w:r w:rsidRPr="005329E0">
        <w:rPr>
          <w:rFonts w:ascii="Arial" w:eastAsia="inter" w:hAnsi="Arial" w:cs="Arial"/>
          <w:color w:val="000000" w:themeColor="text1"/>
          <w:sz w:val="22"/>
          <w:szCs w:val="22"/>
        </w:rPr>
        <w:t xml:space="preserve">La integración del commingling en la planificación minera refuerza el cumplimiento con el Estándar Global de la Industria para la Gestión de Relaves (GISTM), al facilitar una gestión más segura y sostenible de los materiales de desecho. El GISTM exige la planificación, construcción, operación y cierre de instalaciones de relaves con enfoque en </w:t>
      </w:r>
      <w:r w:rsidRPr="005329E0">
        <w:rPr>
          <w:rFonts w:ascii="Arial" w:eastAsia="inter" w:hAnsi="Arial" w:cs="Arial"/>
          <w:color w:val="000000" w:themeColor="text1"/>
          <w:sz w:val="22"/>
          <w:szCs w:val="22"/>
        </w:rPr>
        <w:t>la reducción de riesgos y monitoreo continuo durante todo el ciclo de vida. El commingling contribuye a este objetivo al mejorar la estabilidad geotécnica y geoquímica de los depósitos, reduciendo el riesgo de fallas y la generación de drenaje ácido, lo que a su vez disminuye el impacto ambiental y los costos de tratamiento a largo plazo. Además, la consolidación de instalaciones mediante commingling reduce la huella ambiental y facilita la supervisión y el control, alineándose con los principios de sostenibilidad y responsabilidad social en la industria minera.</w:t>
      </w:r>
    </w:p>
    <w:p w14:paraId="7F1B82EC" w14:textId="77777777" w:rsidR="00952338" w:rsidRPr="005329E0" w:rsidRDefault="00952338" w:rsidP="00952338">
      <w:pPr>
        <w:spacing w:after="210" w:line="276" w:lineRule="auto"/>
        <w:jc w:val="both"/>
        <w:rPr>
          <w:rFonts w:ascii="Arial" w:hAnsi="Arial" w:cs="Arial"/>
          <w:color w:val="000000" w:themeColor="text1"/>
          <w:sz w:val="22"/>
          <w:szCs w:val="22"/>
        </w:rPr>
      </w:pPr>
    </w:p>
    <w:p w14:paraId="17E97A40" w14:textId="77777777" w:rsidR="009E41E0" w:rsidRPr="009D2D67" w:rsidRDefault="009E41E0" w:rsidP="00952338">
      <w:pPr>
        <w:spacing w:before="315" w:after="105" w:line="276" w:lineRule="auto"/>
        <w:ind w:left="-30"/>
        <w:jc w:val="both"/>
        <w:rPr>
          <w:rFonts w:ascii="Arial" w:hAnsi="Arial" w:cs="Arial"/>
          <w:color w:val="000000" w:themeColor="text1"/>
          <w:sz w:val="22"/>
          <w:szCs w:val="22"/>
          <w:u w:val="single"/>
        </w:rPr>
      </w:pPr>
      <w:r w:rsidRPr="009D2D67">
        <w:rPr>
          <w:rFonts w:ascii="Arial" w:eastAsia="inter" w:hAnsi="Arial" w:cs="Arial"/>
          <w:b/>
          <w:color w:val="000000" w:themeColor="text1"/>
          <w:sz w:val="22"/>
          <w:szCs w:val="22"/>
          <w:u w:val="single"/>
        </w:rPr>
        <w:t>Lecciones Aprendidas y Desafíos</w:t>
      </w:r>
    </w:p>
    <w:p w14:paraId="7303B9B8" w14:textId="77777777" w:rsidR="009E41E0" w:rsidRPr="005329E0" w:rsidRDefault="009E41E0" w:rsidP="00952338">
      <w:pPr>
        <w:spacing w:after="210" w:line="276" w:lineRule="auto"/>
        <w:jc w:val="both"/>
        <w:rPr>
          <w:rFonts w:ascii="Arial" w:hAnsi="Arial" w:cs="Arial"/>
          <w:color w:val="000000" w:themeColor="text1"/>
          <w:sz w:val="22"/>
          <w:szCs w:val="22"/>
        </w:rPr>
      </w:pPr>
      <w:r w:rsidRPr="005329E0">
        <w:rPr>
          <w:rFonts w:ascii="Arial" w:eastAsia="inter" w:hAnsi="Arial" w:cs="Arial"/>
          <w:color w:val="000000" w:themeColor="text1"/>
          <w:sz w:val="22"/>
          <w:szCs w:val="22"/>
        </w:rPr>
        <w:t>Entre las principales lecciones aprendidas y desafíos de la implementación del commingling en la planificación minera en Antamina, destacan:</w:t>
      </w:r>
    </w:p>
    <w:p w14:paraId="70F8CB31" w14:textId="77777777" w:rsidR="009E41E0" w:rsidRPr="005329E0" w:rsidRDefault="009E41E0" w:rsidP="00952338">
      <w:pPr>
        <w:numPr>
          <w:ilvl w:val="0"/>
          <w:numId w:val="10"/>
        </w:numPr>
        <w:spacing w:before="105" w:after="105" w:line="276" w:lineRule="auto"/>
        <w:jc w:val="both"/>
        <w:rPr>
          <w:rFonts w:ascii="Arial" w:hAnsi="Arial" w:cs="Arial"/>
          <w:color w:val="000000" w:themeColor="text1"/>
          <w:sz w:val="22"/>
          <w:szCs w:val="22"/>
        </w:rPr>
      </w:pPr>
      <w:r w:rsidRPr="005329E0">
        <w:rPr>
          <w:rFonts w:ascii="Arial" w:eastAsia="inter" w:hAnsi="Arial" w:cs="Arial"/>
          <w:color w:val="000000" w:themeColor="text1"/>
          <w:sz w:val="22"/>
          <w:szCs w:val="22"/>
        </w:rPr>
        <w:t>Operaciones a gran escala y mecanización: El commingling es principalmente viable en operaciones mecanizadas de gran volumen, donde es posible lograr una mezcla homogénea y controlada de materiales. Sin embargo, la magnitud de toneladas de desmonte y relaves en Antamina implica un nuevo desafío, nunca antes visto.</w:t>
      </w:r>
    </w:p>
    <w:p w14:paraId="139800AD" w14:textId="77777777" w:rsidR="009E41E0" w:rsidRPr="005329E0" w:rsidRDefault="009E41E0" w:rsidP="00952338">
      <w:pPr>
        <w:numPr>
          <w:ilvl w:val="0"/>
          <w:numId w:val="10"/>
        </w:numPr>
        <w:spacing w:before="105" w:after="105" w:line="276" w:lineRule="auto"/>
        <w:jc w:val="both"/>
        <w:rPr>
          <w:rFonts w:ascii="Arial" w:hAnsi="Arial" w:cs="Arial"/>
          <w:color w:val="000000" w:themeColor="text1"/>
          <w:sz w:val="22"/>
          <w:szCs w:val="22"/>
        </w:rPr>
      </w:pPr>
      <w:r w:rsidRPr="005329E0">
        <w:rPr>
          <w:rFonts w:ascii="Arial" w:eastAsia="inter" w:hAnsi="Arial" w:cs="Arial"/>
          <w:color w:val="000000" w:themeColor="text1"/>
          <w:sz w:val="22"/>
          <w:szCs w:val="22"/>
        </w:rPr>
        <w:t>Planificación flexible y pruebas piloto: Es esencial incluir áreas para pruebas piloto en los planes de corto y mediano plazo, permitiendo ajustar los parámetros de mezcla según la variabilidad de los materiales.</w:t>
      </w:r>
    </w:p>
    <w:p w14:paraId="495EB9A6" w14:textId="77777777" w:rsidR="009E41E0" w:rsidRPr="005329E0" w:rsidRDefault="009E41E0" w:rsidP="00952338">
      <w:pPr>
        <w:numPr>
          <w:ilvl w:val="0"/>
          <w:numId w:val="10"/>
        </w:numPr>
        <w:spacing w:before="105" w:after="105" w:line="276" w:lineRule="auto"/>
        <w:jc w:val="both"/>
        <w:rPr>
          <w:rFonts w:ascii="Arial" w:hAnsi="Arial" w:cs="Arial"/>
          <w:color w:val="000000" w:themeColor="text1"/>
          <w:sz w:val="22"/>
          <w:szCs w:val="22"/>
        </w:rPr>
      </w:pPr>
      <w:r w:rsidRPr="005329E0">
        <w:rPr>
          <w:rFonts w:ascii="Arial" w:eastAsia="inter" w:hAnsi="Arial" w:cs="Arial"/>
          <w:color w:val="000000" w:themeColor="text1"/>
          <w:sz w:val="22"/>
          <w:szCs w:val="22"/>
        </w:rPr>
        <w:t>Comunicación regulatoria: La aceptación tecnológica requiere identificar precedentes y trabajar estrechamente con las autoridades para desarrollar marcos regulatorios adecuados.</w:t>
      </w:r>
    </w:p>
    <w:p w14:paraId="292AF741" w14:textId="7B58876D" w:rsidR="00E77D13" w:rsidRPr="005329E0" w:rsidRDefault="009E41E0" w:rsidP="00952338">
      <w:pPr>
        <w:numPr>
          <w:ilvl w:val="0"/>
          <w:numId w:val="10"/>
        </w:numPr>
        <w:spacing w:before="105" w:after="105" w:line="276" w:lineRule="auto"/>
        <w:jc w:val="both"/>
        <w:rPr>
          <w:rFonts w:ascii="Arial" w:hAnsi="Arial" w:cs="Arial"/>
          <w:color w:val="000000" w:themeColor="text1"/>
          <w:sz w:val="22"/>
          <w:szCs w:val="22"/>
        </w:rPr>
      </w:pPr>
      <w:r w:rsidRPr="005329E0">
        <w:rPr>
          <w:rFonts w:ascii="Arial" w:eastAsia="inter" w:hAnsi="Arial" w:cs="Arial"/>
          <w:color w:val="000000" w:themeColor="text1"/>
          <w:sz w:val="22"/>
          <w:szCs w:val="22"/>
        </w:rPr>
        <w:t>Gestión del cambio organizacional: La transición al commingling implica desafíos en la capacitación del personal y la adaptación de los procesos operativos, especialmente en operaciones maduras.</w:t>
      </w:r>
    </w:p>
    <w:p w14:paraId="002C7898" w14:textId="77777777" w:rsidR="00E77D13" w:rsidRPr="005329E0" w:rsidRDefault="00E77D13" w:rsidP="00952338">
      <w:pPr>
        <w:spacing w:line="276" w:lineRule="auto"/>
        <w:ind w:firstLine="142"/>
        <w:jc w:val="both"/>
        <w:rPr>
          <w:rFonts w:ascii="Arial" w:hAnsi="Arial" w:cs="Arial"/>
          <w:color w:val="000000" w:themeColor="text1"/>
          <w:sz w:val="22"/>
          <w:szCs w:val="22"/>
          <w:lang w:val="es-PE"/>
        </w:rPr>
      </w:pPr>
    </w:p>
    <w:p w14:paraId="451B031C" w14:textId="7C0B87A6" w:rsidR="008C3927" w:rsidRPr="005329E0" w:rsidRDefault="00EC5D28" w:rsidP="00952338">
      <w:pPr>
        <w:pStyle w:val="ListParagraph"/>
        <w:numPr>
          <w:ilvl w:val="0"/>
          <w:numId w:val="11"/>
        </w:numPr>
        <w:spacing w:line="276" w:lineRule="auto"/>
        <w:ind w:left="270" w:hanging="270"/>
        <w:jc w:val="both"/>
        <w:rPr>
          <w:rFonts w:ascii="Arial" w:hAnsi="Arial" w:cs="Arial"/>
          <w:b/>
          <w:color w:val="000000" w:themeColor="text1"/>
          <w:sz w:val="22"/>
          <w:szCs w:val="22"/>
          <w:lang w:val="es-PE"/>
        </w:rPr>
      </w:pPr>
      <w:r w:rsidRPr="005329E0">
        <w:rPr>
          <w:rFonts w:ascii="Arial" w:hAnsi="Arial" w:cs="Arial"/>
          <w:b/>
          <w:color w:val="000000" w:themeColor="text1"/>
          <w:sz w:val="22"/>
          <w:szCs w:val="22"/>
          <w:lang w:val="es-PE"/>
        </w:rPr>
        <w:t>Conclusiones</w:t>
      </w:r>
    </w:p>
    <w:p w14:paraId="6B3F984E" w14:textId="77777777" w:rsidR="00EF6399" w:rsidRDefault="00EF6399" w:rsidP="00EF6399">
      <w:pPr>
        <w:pStyle w:val="ListParagraph"/>
        <w:numPr>
          <w:ilvl w:val="0"/>
          <w:numId w:val="14"/>
        </w:numPr>
        <w:spacing w:line="276" w:lineRule="auto"/>
        <w:jc w:val="both"/>
        <w:rPr>
          <w:rFonts w:ascii="Arial" w:eastAsia="inter" w:hAnsi="Arial" w:cs="Arial"/>
          <w:color w:val="000000" w:themeColor="text1"/>
          <w:sz w:val="22"/>
          <w:szCs w:val="22"/>
        </w:rPr>
      </w:pPr>
      <w:r w:rsidRPr="00EF6399">
        <w:rPr>
          <w:rFonts w:ascii="Arial" w:eastAsia="inter" w:hAnsi="Arial" w:cs="Arial"/>
          <w:color w:val="000000" w:themeColor="text1"/>
          <w:sz w:val="22"/>
          <w:szCs w:val="22"/>
        </w:rPr>
        <w:t xml:space="preserve">La discusión y análisis comparativo de casos en la implementación del commingling en Antamina ha permitido identificar y seleccionar alternativas </w:t>
      </w:r>
      <w:r w:rsidRPr="00EF6399">
        <w:rPr>
          <w:rFonts w:ascii="Arial" w:eastAsia="inter" w:hAnsi="Arial" w:cs="Arial"/>
          <w:color w:val="000000" w:themeColor="text1"/>
          <w:sz w:val="22"/>
          <w:szCs w:val="22"/>
        </w:rPr>
        <w:lastRenderedPageBreak/>
        <w:t>estratégicas que maximizan el valor económico, ambiental y social del proyecto.</w:t>
      </w:r>
    </w:p>
    <w:p w14:paraId="122127F2" w14:textId="4EE967CA" w:rsidR="00EF6399" w:rsidRPr="00EF6399" w:rsidRDefault="00EF6399" w:rsidP="00EF6399">
      <w:pPr>
        <w:pStyle w:val="ListParagraph"/>
        <w:numPr>
          <w:ilvl w:val="0"/>
          <w:numId w:val="14"/>
        </w:numPr>
        <w:spacing w:line="276" w:lineRule="auto"/>
        <w:jc w:val="both"/>
        <w:rPr>
          <w:rFonts w:ascii="Arial" w:eastAsia="inter" w:hAnsi="Arial" w:cs="Arial"/>
          <w:color w:val="000000" w:themeColor="text1"/>
          <w:sz w:val="22"/>
          <w:szCs w:val="22"/>
        </w:rPr>
      </w:pPr>
      <w:r w:rsidRPr="00EF6399">
        <w:rPr>
          <w:rFonts w:ascii="Arial" w:eastAsia="inter" w:hAnsi="Arial" w:cs="Arial"/>
          <w:color w:val="000000" w:themeColor="text1"/>
          <w:sz w:val="22"/>
          <w:szCs w:val="22"/>
        </w:rPr>
        <w:t>El uso de árboles de decisión y la evaluación de escenarios han facilitado la toma de decisiones informada, considerando tanto la viabilidad técnica y económica como las restricciones regulatorias y ambientales.</w:t>
      </w:r>
    </w:p>
    <w:p w14:paraId="0DE6B913" w14:textId="77777777" w:rsidR="00EF6399" w:rsidRPr="00EF6399" w:rsidRDefault="00EF6399" w:rsidP="00EF6399">
      <w:pPr>
        <w:pStyle w:val="ListParagraph"/>
        <w:numPr>
          <w:ilvl w:val="0"/>
          <w:numId w:val="14"/>
        </w:numPr>
        <w:spacing w:line="276" w:lineRule="auto"/>
        <w:jc w:val="both"/>
        <w:rPr>
          <w:rFonts w:ascii="Arial" w:eastAsia="inter" w:hAnsi="Arial" w:cs="Arial"/>
          <w:color w:val="000000" w:themeColor="text1"/>
          <w:sz w:val="22"/>
          <w:szCs w:val="22"/>
        </w:rPr>
      </w:pPr>
      <w:r w:rsidRPr="00EF6399">
        <w:rPr>
          <w:rFonts w:ascii="Arial" w:eastAsia="inter" w:hAnsi="Arial" w:cs="Arial"/>
          <w:color w:val="000000" w:themeColor="text1"/>
          <w:sz w:val="22"/>
          <w:szCs w:val="22"/>
        </w:rPr>
        <w:t>La integración del commingling en la planificación estratégica ha demostrado ser una herramienta clave para optimizar la gestión de desmonte y relaves, logrando una reducción significativa de costos de capital (hasta un 30%), una mayor eficiencia en el uso del terreno y una extensión de la vida útil del depósito de relaves. Este enfoque ha permitido, además, alinear la operación con los estándares internacionales de sostenibilidad (GISTM) y fortalecer la gestión de riesgos, contribuyendo a la continuidad operativa y la reducción del impacto ambiental a largo plazo.</w:t>
      </w:r>
    </w:p>
    <w:p w14:paraId="5A4EE2AB" w14:textId="073CACCB" w:rsidR="002D1C36" w:rsidRPr="00EF6399" w:rsidRDefault="00EF6399" w:rsidP="00EF6399">
      <w:pPr>
        <w:pStyle w:val="ListParagraph"/>
        <w:numPr>
          <w:ilvl w:val="0"/>
          <w:numId w:val="14"/>
        </w:numPr>
        <w:spacing w:line="276" w:lineRule="auto"/>
        <w:jc w:val="both"/>
        <w:rPr>
          <w:rFonts w:ascii="Arial" w:eastAsia="inter" w:hAnsi="Arial" w:cs="Arial"/>
          <w:color w:val="000000" w:themeColor="text1"/>
          <w:sz w:val="22"/>
          <w:szCs w:val="22"/>
        </w:rPr>
      </w:pPr>
      <w:r w:rsidRPr="00EF6399">
        <w:rPr>
          <w:rFonts w:ascii="Arial" w:eastAsia="inter" w:hAnsi="Arial" w:cs="Arial"/>
          <w:color w:val="000000" w:themeColor="text1"/>
          <w:sz w:val="22"/>
          <w:szCs w:val="22"/>
        </w:rPr>
        <w:t>La experiencia en Antamina evidencia que la discusión estructurada de casos y la aplicación de metodologías comparativas son fundamentales para el planeamiento estratégico, ya que permiten anticipar desafíos, validar soluciones mediante pruebas piloto y ajustar parámetros operativos en función de resultados reales. Así, el commingling se consolida como una práctica transformadora en la minería moderna, promoviendo decisiones más robustas y sostenibles para el desarrollo de activos mineros de larga vida</w:t>
      </w:r>
    </w:p>
    <w:p w14:paraId="78EA8F93" w14:textId="77777777" w:rsidR="00EF6399" w:rsidRDefault="00EF6399" w:rsidP="00EF6399">
      <w:pPr>
        <w:spacing w:line="276" w:lineRule="auto"/>
        <w:jc w:val="both"/>
        <w:rPr>
          <w:rFonts w:ascii="Arial" w:eastAsia="inter" w:hAnsi="Arial" w:cs="Arial"/>
          <w:color w:val="000000" w:themeColor="text1"/>
          <w:sz w:val="22"/>
          <w:szCs w:val="22"/>
        </w:rPr>
      </w:pPr>
    </w:p>
    <w:p w14:paraId="7828ECAB" w14:textId="77777777" w:rsidR="00EF6399" w:rsidRPr="005329E0" w:rsidRDefault="00EF6399" w:rsidP="00EF6399">
      <w:pPr>
        <w:spacing w:line="276" w:lineRule="auto"/>
        <w:jc w:val="both"/>
        <w:rPr>
          <w:rFonts w:ascii="Arial" w:hAnsi="Arial" w:cs="Arial"/>
          <w:color w:val="000000" w:themeColor="text1"/>
          <w:sz w:val="22"/>
          <w:szCs w:val="22"/>
          <w:lang w:val="es-PE"/>
        </w:rPr>
      </w:pPr>
    </w:p>
    <w:p w14:paraId="0346E950" w14:textId="4E891586" w:rsidR="006178C0" w:rsidRPr="005329E0" w:rsidRDefault="00180629" w:rsidP="00952338">
      <w:pPr>
        <w:pStyle w:val="ListParagraph"/>
        <w:numPr>
          <w:ilvl w:val="0"/>
          <w:numId w:val="11"/>
        </w:numPr>
        <w:spacing w:line="276" w:lineRule="auto"/>
        <w:ind w:left="270" w:hanging="270"/>
        <w:jc w:val="both"/>
        <w:rPr>
          <w:rFonts w:ascii="Arial" w:hAnsi="Arial" w:cs="Arial"/>
          <w:b/>
          <w:color w:val="000000" w:themeColor="text1"/>
          <w:sz w:val="22"/>
          <w:szCs w:val="22"/>
          <w:lang w:val="es-PE"/>
        </w:rPr>
      </w:pPr>
      <w:r w:rsidRPr="005329E0">
        <w:rPr>
          <w:rFonts w:ascii="Arial" w:hAnsi="Arial" w:cs="Arial"/>
          <w:b/>
          <w:color w:val="000000" w:themeColor="text1"/>
          <w:sz w:val="22"/>
          <w:szCs w:val="22"/>
          <w:lang w:val="es-PE"/>
        </w:rPr>
        <w:t>Referencias bibliográficas</w:t>
      </w:r>
    </w:p>
    <w:p w14:paraId="52714C79" w14:textId="77777777" w:rsidR="006178C0" w:rsidRPr="005329E0" w:rsidRDefault="006178C0" w:rsidP="00952338">
      <w:pPr>
        <w:spacing w:line="276" w:lineRule="auto"/>
        <w:jc w:val="both"/>
        <w:rPr>
          <w:rFonts w:ascii="Arial" w:hAnsi="Arial" w:cs="Arial"/>
          <w:b/>
          <w:color w:val="000000" w:themeColor="text1"/>
          <w:sz w:val="22"/>
          <w:szCs w:val="22"/>
          <w:lang w:val="es-PE"/>
        </w:rPr>
      </w:pPr>
    </w:p>
    <w:p w14:paraId="74C76A49" w14:textId="77777777" w:rsidR="00BD29F3" w:rsidRPr="005329E0" w:rsidRDefault="00BD29F3" w:rsidP="00952338">
      <w:pPr>
        <w:pStyle w:val="References"/>
        <w:spacing w:line="276" w:lineRule="auto"/>
        <w:jc w:val="both"/>
        <w:rPr>
          <w:rFonts w:ascii="Arial" w:hAnsi="Arial" w:cs="Arial"/>
          <w:color w:val="000000" w:themeColor="text1"/>
          <w:sz w:val="22"/>
          <w:szCs w:val="22"/>
          <w:lang w:val="en-CA"/>
        </w:rPr>
      </w:pPr>
      <w:r w:rsidRPr="005329E0">
        <w:rPr>
          <w:rFonts w:ascii="Arial" w:hAnsi="Arial" w:cs="Arial"/>
          <w:color w:val="000000" w:themeColor="text1"/>
          <w:sz w:val="22"/>
          <w:szCs w:val="22"/>
          <w:lang w:val="en-CA"/>
        </w:rPr>
        <w:t xml:space="preserve">Boshoff, J. et al. (2023). </w:t>
      </w:r>
      <w:r w:rsidRPr="005329E0">
        <w:rPr>
          <w:rFonts w:ascii="Arial" w:hAnsi="Arial" w:cs="Arial"/>
          <w:i/>
          <w:color w:val="000000" w:themeColor="text1"/>
          <w:sz w:val="22"/>
          <w:szCs w:val="22"/>
          <w:lang w:val="en-CA"/>
        </w:rPr>
        <w:t>A case study on the commingling of tailings and waste rock at a Brownfields open cast mine in Ghana.</w:t>
      </w:r>
      <w:r w:rsidRPr="005329E0">
        <w:rPr>
          <w:rFonts w:ascii="Arial" w:hAnsi="Arial" w:cs="Arial"/>
          <w:color w:val="000000" w:themeColor="text1"/>
          <w:sz w:val="22"/>
          <w:szCs w:val="22"/>
          <w:lang w:val="en-CA"/>
        </w:rPr>
        <w:t xml:space="preserve"> University of Alberta.</w:t>
      </w:r>
    </w:p>
    <w:p w14:paraId="214579C4" w14:textId="77777777" w:rsidR="00BD29F3" w:rsidRPr="005329E0" w:rsidRDefault="00BD29F3" w:rsidP="00952338">
      <w:pPr>
        <w:pStyle w:val="References"/>
        <w:spacing w:line="276" w:lineRule="auto"/>
        <w:jc w:val="both"/>
        <w:rPr>
          <w:rFonts w:ascii="Arial" w:hAnsi="Arial" w:cs="Arial"/>
          <w:color w:val="000000" w:themeColor="text1"/>
          <w:sz w:val="22"/>
          <w:szCs w:val="22"/>
          <w:lang w:val="es-PE"/>
        </w:rPr>
      </w:pPr>
      <w:r w:rsidRPr="005329E0">
        <w:rPr>
          <w:rFonts w:ascii="Arial" w:hAnsi="Arial" w:cs="Arial"/>
          <w:color w:val="000000" w:themeColor="text1"/>
          <w:sz w:val="22"/>
          <w:szCs w:val="22"/>
          <w:lang w:val="en-CA"/>
        </w:rPr>
        <w:t xml:space="preserve">Burden, R., &amp; Wilson, G. W. (2023). </w:t>
      </w:r>
      <w:r w:rsidRPr="005329E0">
        <w:rPr>
          <w:rFonts w:ascii="Arial" w:hAnsi="Arial" w:cs="Arial"/>
          <w:i/>
          <w:color w:val="000000" w:themeColor="text1"/>
          <w:sz w:val="22"/>
          <w:szCs w:val="22"/>
          <w:lang w:val="en-CA"/>
        </w:rPr>
        <w:t>Commingling of waste rock and tailings to improve “dry stack” performance: Design and evaluation of mixtures.</w:t>
      </w:r>
      <w:r w:rsidRPr="005329E0">
        <w:rPr>
          <w:rFonts w:ascii="Arial" w:hAnsi="Arial" w:cs="Arial"/>
          <w:color w:val="000000" w:themeColor="text1"/>
          <w:sz w:val="22"/>
          <w:szCs w:val="22"/>
          <w:lang w:val="en-CA"/>
        </w:rPr>
        <w:t xml:space="preserve"> </w:t>
      </w:r>
      <w:r w:rsidRPr="005329E0">
        <w:rPr>
          <w:rFonts w:ascii="Arial" w:hAnsi="Arial" w:cs="Arial"/>
          <w:color w:val="000000" w:themeColor="text1"/>
          <w:sz w:val="22"/>
          <w:szCs w:val="22"/>
          <w:lang w:val="es-PE"/>
        </w:rPr>
        <w:t>Minerals, 13(2), 295.</w:t>
      </w:r>
    </w:p>
    <w:p w14:paraId="015D28CD" w14:textId="77777777" w:rsidR="00BD29F3" w:rsidRPr="005329E0" w:rsidRDefault="00BD29F3" w:rsidP="00952338">
      <w:pPr>
        <w:pStyle w:val="References"/>
        <w:spacing w:line="276" w:lineRule="auto"/>
        <w:jc w:val="both"/>
        <w:rPr>
          <w:rFonts w:ascii="Arial" w:hAnsi="Arial" w:cs="Arial"/>
          <w:color w:val="000000" w:themeColor="text1"/>
          <w:sz w:val="22"/>
          <w:szCs w:val="22"/>
          <w:lang w:val="en-CA"/>
        </w:rPr>
      </w:pPr>
      <w:r w:rsidRPr="005329E0">
        <w:rPr>
          <w:rFonts w:ascii="Arial" w:hAnsi="Arial" w:cs="Arial"/>
          <w:color w:val="000000" w:themeColor="text1"/>
          <w:sz w:val="22"/>
          <w:szCs w:val="22"/>
          <w:lang w:val="es-PE"/>
        </w:rPr>
        <w:t xml:space="preserve">Deza, N., &amp; Montes, K. (2022). </w:t>
      </w:r>
      <w:r w:rsidRPr="005329E0">
        <w:rPr>
          <w:rFonts w:ascii="Arial" w:hAnsi="Arial" w:cs="Arial"/>
          <w:i/>
          <w:color w:val="000000" w:themeColor="text1"/>
          <w:sz w:val="22"/>
          <w:szCs w:val="22"/>
          <w:lang w:val="es-PE"/>
        </w:rPr>
        <w:t>Mecanización del desmonte en Compañía Minera Antamina: Propuesta para capturar el valor tangible e intangible de la mecanización</w:t>
      </w:r>
      <w:r w:rsidRPr="005329E0">
        <w:rPr>
          <w:rFonts w:ascii="Arial" w:hAnsi="Arial" w:cs="Arial"/>
          <w:color w:val="000000" w:themeColor="text1"/>
          <w:sz w:val="22"/>
          <w:szCs w:val="22"/>
          <w:lang w:val="es-PE"/>
        </w:rPr>
        <w:t xml:space="preserve">. </w:t>
      </w:r>
      <w:r w:rsidRPr="005329E0">
        <w:rPr>
          <w:rFonts w:ascii="Arial" w:hAnsi="Arial" w:cs="Arial"/>
          <w:color w:val="000000" w:themeColor="text1"/>
          <w:sz w:val="22"/>
          <w:szCs w:val="22"/>
          <w:lang w:val="en-CA"/>
        </w:rPr>
        <w:t>Compañía Minera Antamina.</w:t>
      </w:r>
    </w:p>
    <w:p w14:paraId="6DF2F6B8" w14:textId="77777777" w:rsidR="00BD29F3" w:rsidRPr="005329E0" w:rsidRDefault="00BD29F3" w:rsidP="00952338">
      <w:pPr>
        <w:pStyle w:val="References"/>
        <w:spacing w:line="276" w:lineRule="auto"/>
        <w:jc w:val="both"/>
        <w:rPr>
          <w:rFonts w:ascii="Arial" w:hAnsi="Arial" w:cs="Arial"/>
          <w:color w:val="000000" w:themeColor="text1"/>
          <w:sz w:val="22"/>
          <w:szCs w:val="22"/>
          <w:lang w:val="en-CA"/>
        </w:rPr>
      </w:pPr>
      <w:r w:rsidRPr="005329E0">
        <w:rPr>
          <w:rFonts w:ascii="Arial" w:hAnsi="Arial" w:cs="Arial"/>
          <w:color w:val="000000" w:themeColor="text1"/>
          <w:sz w:val="22"/>
          <w:szCs w:val="22"/>
          <w:lang w:val="en-CA"/>
        </w:rPr>
        <w:t>Green Policy Platform. (2024). </w:t>
      </w:r>
      <w:r w:rsidRPr="005329E0">
        <w:rPr>
          <w:rFonts w:ascii="Arial" w:hAnsi="Arial" w:cs="Arial"/>
          <w:i/>
          <w:color w:val="000000" w:themeColor="text1"/>
          <w:sz w:val="22"/>
          <w:szCs w:val="22"/>
          <w:lang w:val="en-CA"/>
        </w:rPr>
        <w:t>Knowledge Gaps Report: Environmental Aspects of Tailings Management</w:t>
      </w:r>
      <w:r w:rsidRPr="005329E0">
        <w:rPr>
          <w:rFonts w:ascii="Arial" w:hAnsi="Arial" w:cs="Arial"/>
          <w:color w:val="000000" w:themeColor="text1"/>
          <w:sz w:val="22"/>
          <w:szCs w:val="22"/>
          <w:lang w:val="en-CA"/>
        </w:rPr>
        <w:t> (January 2024).</w:t>
      </w:r>
    </w:p>
    <w:p w14:paraId="1CEFDE2B" w14:textId="77777777" w:rsidR="00BD29F3" w:rsidRPr="005329E0" w:rsidRDefault="00BD29F3" w:rsidP="00952338">
      <w:pPr>
        <w:pStyle w:val="References"/>
        <w:spacing w:line="276" w:lineRule="auto"/>
        <w:jc w:val="both"/>
        <w:rPr>
          <w:rFonts w:ascii="Arial" w:hAnsi="Arial" w:cs="Arial"/>
          <w:color w:val="000000" w:themeColor="text1"/>
          <w:sz w:val="22"/>
          <w:szCs w:val="22"/>
          <w:lang w:val="en-CA"/>
        </w:rPr>
      </w:pPr>
      <w:r w:rsidRPr="005329E0">
        <w:rPr>
          <w:rFonts w:ascii="Arial" w:hAnsi="Arial" w:cs="Arial"/>
          <w:color w:val="000000" w:themeColor="text1"/>
          <w:sz w:val="22"/>
          <w:szCs w:val="22"/>
          <w:lang w:val="en-CA"/>
        </w:rPr>
        <w:t>ICMM. (2020). </w:t>
      </w:r>
      <w:r w:rsidRPr="005329E0">
        <w:rPr>
          <w:rFonts w:ascii="Arial" w:hAnsi="Arial" w:cs="Arial"/>
          <w:i/>
          <w:color w:val="000000" w:themeColor="text1"/>
          <w:sz w:val="22"/>
          <w:szCs w:val="22"/>
          <w:lang w:val="en-CA"/>
        </w:rPr>
        <w:t>New global industry standard on tailings management. International Council on Mining and Metals.</w:t>
      </w:r>
    </w:p>
    <w:p w14:paraId="392AD73C" w14:textId="77777777" w:rsidR="00BD29F3" w:rsidRPr="005329E0" w:rsidRDefault="00BD29F3" w:rsidP="00952338">
      <w:pPr>
        <w:pStyle w:val="References"/>
        <w:spacing w:line="276" w:lineRule="auto"/>
        <w:jc w:val="both"/>
        <w:rPr>
          <w:rFonts w:ascii="Arial" w:hAnsi="Arial" w:cs="Arial"/>
          <w:color w:val="000000" w:themeColor="text1"/>
          <w:sz w:val="22"/>
          <w:szCs w:val="22"/>
          <w:lang w:val="en-CA"/>
        </w:rPr>
      </w:pPr>
      <w:r w:rsidRPr="005329E0">
        <w:rPr>
          <w:rFonts w:ascii="Arial" w:hAnsi="Arial" w:cs="Arial"/>
          <w:color w:val="000000" w:themeColor="text1"/>
          <w:sz w:val="22"/>
          <w:szCs w:val="22"/>
          <w:lang w:val="en-CA"/>
        </w:rPr>
        <w:t>Ulrich, B. &amp; Coffin, J. (2015). </w:t>
      </w:r>
      <w:r w:rsidRPr="005329E0">
        <w:rPr>
          <w:rFonts w:ascii="Arial" w:hAnsi="Arial" w:cs="Arial"/>
          <w:i/>
          <w:color w:val="000000" w:themeColor="text1"/>
          <w:sz w:val="22"/>
          <w:szCs w:val="22"/>
          <w:lang w:val="en-CA"/>
        </w:rPr>
        <w:t>TMW 2015 – Combined Tailings and Mine Waste.</w:t>
      </w:r>
    </w:p>
    <w:p w14:paraId="3B8FFACE" w14:textId="77777777" w:rsidR="00BD29F3" w:rsidRPr="005329E0" w:rsidRDefault="00BD29F3" w:rsidP="00952338">
      <w:pPr>
        <w:pStyle w:val="References"/>
        <w:spacing w:line="276" w:lineRule="auto"/>
        <w:jc w:val="both"/>
        <w:rPr>
          <w:rFonts w:ascii="Arial" w:hAnsi="Arial" w:cs="Arial"/>
          <w:color w:val="000000" w:themeColor="text1"/>
          <w:sz w:val="22"/>
          <w:szCs w:val="22"/>
          <w:lang w:val="en-CA"/>
        </w:rPr>
      </w:pPr>
      <w:r w:rsidRPr="005329E0">
        <w:rPr>
          <w:rFonts w:ascii="Arial" w:hAnsi="Arial" w:cs="Arial"/>
          <w:color w:val="000000" w:themeColor="text1"/>
          <w:sz w:val="22"/>
          <w:szCs w:val="22"/>
          <w:lang w:val="en-CA"/>
        </w:rPr>
        <w:t xml:space="preserve">Minemax. (2015). </w:t>
      </w:r>
      <w:r w:rsidRPr="005329E0">
        <w:rPr>
          <w:rFonts w:ascii="Arial" w:hAnsi="Arial" w:cs="Arial"/>
          <w:i/>
          <w:color w:val="000000" w:themeColor="text1"/>
          <w:sz w:val="22"/>
          <w:szCs w:val="22"/>
          <w:lang w:val="en-CA"/>
        </w:rPr>
        <w:t>Why mine planning is all about collaboration. Minemax News.</w:t>
      </w:r>
    </w:p>
    <w:p w14:paraId="1D957ACB" w14:textId="77777777" w:rsidR="00BD29F3" w:rsidRDefault="00BD29F3" w:rsidP="00952338">
      <w:pPr>
        <w:pStyle w:val="References"/>
        <w:spacing w:line="276" w:lineRule="auto"/>
        <w:jc w:val="both"/>
        <w:rPr>
          <w:rFonts w:ascii="Arial" w:hAnsi="Arial" w:cs="Arial"/>
          <w:i/>
          <w:color w:val="000000" w:themeColor="text1"/>
          <w:sz w:val="22"/>
          <w:szCs w:val="22"/>
          <w:lang w:val="en-CA"/>
        </w:rPr>
      </w:pPr>
      <w:r w:rsidRPr="005329E0">
        <w:rPr>
          <w:rFonts w:ascii="Arial" w:hAnsi="Arial" w:cs="Arial"/>
          <w:color w:val="000000" w:themeColor="text1"/>
          <w:sz w:val="22"/>
          <w:szCs w:val="22"/>
          <w:lang w:val="en-CA"/>
        </w:rPr>
        <w:t>Wheaton Precious Metals. (2015). </w:t>
      </w:r>
      <w:r w:rsidRPr="005329E0">
        <w:rPr>
          <w:rFonts w:ascii="Arial" w:hAnsi="Arial" w:cs="Arial"/>
          <w:i/>
          <w:color w:val="000000" w:themeColor="text1"/>
          <w:sz w:val="22"/>
          <w:szCs w:val="22"/>
          <w:lang w:val="en-CA"/>
        </w:rPr>
        <w:t>Antamina Project overview.</w:t>
      </w:r>
    </w:p>
    <w:p w14:paraId="38632FED" w14:textId="77777777" w:rsidR="00C72C9D" w:rsidRPr="00C72C9D" w:rsidRDefault="00C72C9D" w:rsidP="00952338">
      <w:pPr>
        <w:spacing w:after="210" w:line="276" w:lineRule="auto"/>
        <w:jc w:val="both"/>
        <w:rPr>
          <w:rFonts w:ascii="Arial" w:eastAsia="inter" w:hAnsi="Arial" w:cs="Arial"/>
          <w:b/>
          <w:bCs/>
          <w:color w:val="000000" w:themeColor="text1"/>
          <w:sz w:val="22"/>
          <w:szCs w:val="22"/>
        </w:rPr>
      </w:pPr>
    </w:p>
    <w:p w14:paraId="663CFFE7" w14:textId="0BB6766E" w:rsidR="00E52D07" w:rsidRDefault="009A467F" w:rsidP="00952338">
      <w:pPr>
        <w:spacing w:after="210" w:line="276" w:lineRule="auto"/>
        <w:jc w:val="both"/>
        <w:rPr>
          <w:rFonts w:ascii="Arial" w:eastAsia="inter" w:hAnsi="Arial" w:cs="Arial"/>
          <w:color w:val="000000" w:themeColor="text1"/>
          <w:sz w:val="22"/>
          <w:szCs w:val="22"/>
        </w:rPr>
      </w:pPr>
      <w:r w:rsidRPr="00C72C9D">
        <w:rPr>
          <w:rFonts w:ascii="Arial" w:eastAsia="inter" w:hAnsi="Arial" w:cs="Arial"/>
          <w:b/>
          <w:bCs/>
          <w:color w:val="000000" w:themeColor="text1"/>
          <w:sz w:val="22"/>
          <w:szCs w:val="22"/>
        </w:rPr>
        <w:t xml:space="preserve">Nombre completo del autor: </w:t>
      </w:r>
      <w:r w:rsidRPr="00C72C9D">
        <w:rPr>
          <w:rFonts w:ascii="Arial" w:eastAsia="inter" w:hAnsi="Arial" w:cs="Arial"/>
          <w:color w:val="000000" w:themeColor="text1"/>
          <w:sz w:val="22"/>
          <w:szCs w:val="22"/>
        </w:rPr>
        <w:t>Christa Quiroz Cotrina</w:t>
      </w:r>
      <w:r w:rsidR="00C72C9D" w:rsidRPr="00C72C9D">
        <w:rPr>
          <w:rFonts w:ascii="Arial" w:eastAsia="inter" w:hAnsi="Arial" w:cs="Arial"/>
          <w:color w:val="000000" w:themeColor="text1"/>
          <w:sz w:val="22"/>
          <w:szCs w:val="22"/>
        </w:rPr>
        <w:br/>
      </w:r>
      <w:r w:rsidR="00E52D07" w:rsidRPr="00C72C9D">
        <w:rPr>
          <w:rFonts w:ascii="Arial" w:eastAsia="inter" w:hAnsi="Arial" w:cs="Arial"/>
          <w:color w:val="000000" w:themeColor="text1"/>
          <w:sz w:val="22"/>
          <w:szCs w:val="22"/>
        </w:rPr>
        <w:t xml:space="preserve">Ingeniera Senior de </w:t>
      </w:r>
      <w:r w:rsidR="00C72C9D">
        <w:rPr>
          <w:rFonts w:ascii="Arial" w:eastAsia="inter" w:hAnsi="Arial" w:cs="Arial"/>
          <w:color w:val="000000" w:themeColor="text1"/>
          <w:sz w:val="22"/>
          <w:szCs w:val="22"/>
        </w:rPr>
        <w:t xml:space="preserve">Planeamiento </w:t>
      </w:r>
      <w:r w:rsidR="00E52D07" w:rsidRPr="00C72C9D">
        <w:rPr>
          <w:rFonts w:ascii="Arial" w:eastAsia="inter" w:hAnsi="Arial" w:cs="Arial"/>
          <w:color w:val="000000" w:themeColor="text1"/>
          <w:sz w:val="22"/>
          <w:szCs w:val="22"/>
        </w:rPr>
        <w:t>Largo Plazo en Antamina. Ingeniera de minas con más de 10 años de experiencia. Cuenta con una Maestría en Gestión Minera y colegiada en Ingeniería de Minas.</w:t>
      </w:r>
    </w:p>
    <w:p w14:paraId="52577843" w14:textId="77777777" w:rsidR="00EE5B78" w:rsidRPr="00C72C9D" w:rsidRDefault="00EE5B78" w:rsidP="00952338">
      <w:pPr>
        <w:spacing w:after="210" w:line="276" w:lineRule="auto"/>
        <w:jc w:val="both"/>
        <w:rPr>
          <w:rFonts w:ascii="Arial" w:eastAsia="inter" w:hAnsi="Arial" w:cs="Arial"/>
          <w:b/>
          <w:bCs/>
          <w:color w:val="000000" w:themeColor="text1"/>
          <w:sz w:val="22"/>
          <w:szCs w:val="22"/>
        </w:rPr>
      </w:pPr>
    </w:p>
    <w:p w14:paraId="472CAF48" w14:textId="41E19AB3" w:rsidR="00EE5B78" w:rsidRDefault="009A467F" w:rsidP="00952338">
      <w:pPr>
        <w:spacing w:after="210" w:line="276" w:lineRule="auto"/>
        <w:jc w:val="both"/>
        <w:rPr>
          <w:rFonts w:ascii="Arial" w:eastAsia="inter" w:hAnsi="Arial" w:cs="Arial"/>
          <w:color w:val="000000" w:themeColor="text1"/>
          <w:sz w:val="22"/>
          <w:szCs w:val="22"/>
        </w:rPr>
      </w:pPr>
      <w:r w:rsidRPr="00C72C9D">
        <w:rPr>
          <w:rFonts w:ascii="Arial" w:eastAsia="inter" w:hAnsi="Arial" w:cs="Arial"/>
          <w:b/>
          <w:bCs/>
          <w:color w:val="000000" w:themeColor="text1"/>
          <w:sz w:val="22"/>
          <w:szCs w:val="22"/>
        </w:rPr>
        <w:t>Nombre completo del coautor (1):</w:t>
      </w:r>
      <w:r w:rsidRPr="00E52D07">
        <w:rPr>
          <w:rFonts w:ascii="Arial" w:eastAsia="inter" w:hAnsi="Arial" w:cs="Arial"/>
          <w:color w:val="000000" w:themeColor="text1"/>
          <w:sz w:val="22"/>
          <w:szCs w:val="22"/>
        </w:rPr>
        <w:t xml:space="preserve"> Fernando Ángeles Baron</w:t>
      </w:r>
    </w:p>
    <w:p w14:paraId="1E846B01" w14:textId="20DBE0DD" w:rsidR="00E52D07" w:rsidRDefault="00E52D07" w:rsidP="00952338">
      <w:pPr>
        <w:spacing w:after="210" w:line="276" w:lineRule="auto"/>
        <w:jc w:val="both"/>
        <w:rPr>
          <w:rFonts w:ascii="Arial" w:eastAsia="inter" w:hAnsi="Arial" w:cs="Arial"/>
          <w:color w:val="000000" w:themeColor="text1"/>
          <w:sz w:val="22"/>
          <w:szCs w:val="22"/>
        </w:rPr>
      </w:pPr>
      <w:r w:rsidRPr="00E52D07">
        <w:rPr>
          <w:rFonts w:ascii="Arial" w:eastAsia="inter" w:hAnsi="Arial" w:cs="Arial"/>
          <w:color w:val="000000" w:themeColor="text1"/>
          <w:sz w:val="22"/>
          <w:szCs w:val="22"/>
        </w:rPr>
        <w:t xml:space="preserve">Superintendente de </w:t>
      </w:r>
      <w:r w:rsidR="00C72C9D">
        <w:rPr>
          <w:rFonts w:ascii="Arial" w:eastAsia="inter" w:hAnsi="Arial" w:cs="Arial"/>
          <w:color w:val="000000" w:themeColor="text1"/>
          <w:sz w:val="22"/>
          <w:szCs w:val="22"/>
        </w:rPr>
        <w:t>Planeamiento</w:t>
      </w:r>
      <w:r w:rsidRPr="00E52D07">
        <w:rPr>
          <w:rFonts w:ascii="Arial" w:eastAsia="inter" w:hAnsi="Arial" w:cs="Arial"/>
          <w:color w:val="000000" w:themeColor="text1"/>
          <w:sz w:val="22"/>
          <w:szCs w:val="22"/>
        </w:rPr>
        <w:t xml:space="preserve"> Largo Plazo en Antamina. Ingeniero de minas con más de 20 años de experiencia. Posee el grado de Magíster en Ingeniería y el título de Ingeniero de Minas.</w:t>
      </w:r>
    </w:p>
    <w:p w14:paraId="68CAB652" w14:textId="77777777" w:rsidR="00EE5B78" w:rsidRPr="00E52D07" w:rsidRDefault="00EE5B78" w:rsidP="00952338">
      <w:pPr>
        <w:spacing w:after="210" w:line="276" w:lineRule="auto"/>
        <w:jc w:val="both"/>
        <w:rPr>
          <w:rFonts w:ascii="Arial" w:eastAsia="inter" w:hAnsi="Arial" w:cs="Arial"/>
          <w:color w:val="000000" w:themeColor="text1"/>
          <w:sz w:val="22"/>
          <w:szCs w:val="22"/>
        </w:rPr>
      </w:pPr>
    </w:p>
    <w:p w14:paraId="0E9D7108" w14:textId="51E044B3" w:rsidR="008B48C8" w:rsidRPr="00C72C9D" w:rsidRDefault="009A467F" w:rsidP="00952338">
      <w:pPr>
        <w:spacing w:after="210" w:line="276" w:lineRule="auto"/>
        <w:jc w:val="both"/>
        <w:rPr>
          <w:rFonts w:ascii="Arial" w:eastAsia="inter" w:hAnsi="Arial" w:cs="Arial"/>
          <w:color w:val="000000" w:themeColor="text1"/>
          <w:sz w:val="22"/>
          <w:szCs w:val="22"/>
        </w:rPr>
      </w:pPr>
      <w:r w:rsidRPr="00C72C9D">
        <w:rPr>
          <w:rFonts w:ascii="Arial" w:eastAsia="inter" w:hAnsi="Arial" w:cs="Arial"/>
          <w:b/>
          <w:bCs/>
          <w:color w:val="000000" w:themeColor="text1"/>
          <w:sz w:val="22"/>
          <w:szCs w:val="22"/>
        </w:rPr>
        <w:t>Nombre completo del coautor (2):</w:t>
      </w:r>
      <w:r w:rsidRPr="00C72C9D">
        <w:rPr>
          <w:rFonts w:ascii="Arial" w:eastAsia="inter" w:hAnsi="Arial" w:cs="Arial"/>
          <w:color w:val="000000" w:themeColor="text1"/>
          <w:sz w:val="22"/>
          <w:szCs w:val="22"/>
        </w:rPr>
        <w:t xml:space="preserve"> Olimpia Cabrera</w:t>
      </w:r>
      <w:r w:rsidR="004D7180" w:rsidRPr="00C72C9D">
        <w:rPr>
          <w:rFonts w:ascii="Arial" w:eastAsia="inter" w:hAnsi="Arial" w:cs="Arial"/>
          <w:color w:val="000000" w:themeColor="text1"/>
          <w:sz w:val="22"/>
          <w:szCs w:val="22"/>
        </w:rPr>
        <w:br/>
        <w:t>Gerente</w:t>
      </w:r>
      <w:r w:rsidR="00E52D07" w:rsidRPr="00C72C9D">
        <w:rPr>
          <w:rFonts w:ascii="Arial" w:eastAsia="inter" w:hAnsi="Arial" w:cs="Arial"/>
          <w:color w:val="000000" w:themeColor="text1"/>
          <w:sz w:val="22"/>
          <w:szCs w:val="22"/>
        </w:rPr>
        <w:t xml:space="preserve"> de Gobernanza de Relaves</w:t>
      </w:r>
      <w:r w:rsidR="004D7180" w:rsidRPr="00C72C9D">
        <w:rPr>
          <w:rFonts w:ascii="Arial" w:eastAsia="inter" w:hAnsi="Arial" w:cs="Arial"/>
          <w:color w:val="000000" w:themeColor="text1"/>
          <w:sz w:val="22"/>
          <w:szCs w:val="22"/>
        </w:rPr>
        <w:t xml:space="preserve"> en Antamina</w:t>
      </w:r>
      <w:r w:rsidR="00E52D07" w:rsidRPr="00C72C9D">
        <w:rPr>
          <w:rFonts w:ascii="Arial" w:eastAsia="inter" w:hAnsi="Arial" w:cs="Arial"/>
          <w:color w:val="000000" w:themeColor="text1"/>
          <w:sz w:val="22"/>
          <w:szCs w:val="22"/>
        </w:rPr>
        <w:t>. Ingeniera civil con más de 20 años de experiencia. Cuenta con una Maestría en Administración de Negocios.</w:t>
      </w:r>
    </w:p>
    <w:p w14:paraId="2F1F88CC" w14:textId="77777777" w:rsidR="00F37C25" w:rsidRDefault="00F37C25">
      <w:pPr>
        <w:rPr>
          <w:rFonts w:ascii="Arial" w:hAnsi="Arial" w:cs="Arial"/>
          <w:b/>
          <w:sz w:val="22"/>
          <w:szCs w:val="22"/>
          <w:lang w:val="es-PE"/>
        </w:rPr>
      </w:pPr>
      <w:r>
        <w:rPr>
          <w:rFonts w:ascii="Arial" w:hAnsi="Arial" w:cs="Arial"/>
          <w:b/>
          <w:sz w:val="22"/>
          <w:szCs w:val="22"/>
          <w:lang w:val="es-PE"/>
        </w:rPr>
        <w:br w:type="page"/>
      </w:r>
    </w:p>
    <w:p w14:paraId="59A1560E" w14:textId="77777777" w:rsidR="008B5AF2" w:rsidRDefault="008B5AF2" w:rsidP="005329E0">
      <w:pPr>
        <w:jc w:val="both"/>
        <w:rPr>
          <w:rFonts w:ascii="Arial" w:hAnsi="Arial" w:cs="Arial"/>
          <w:b/>
          <w:sz w:val="22"/>
          <w:szCs w:val="22"/>
          <w:lang w:val="es-PE"/>
        </w:rPr>
        <w:sectPr w:rsidR="008B5AF2" w:rsidSect="00D34811">
          <w:type w:val="continuous"/>
          <w:pgSz w:w="11900" w:h="16840"/>
          <w:pgMar w:top="1134" w:right="680" w:bottom="964" w:left="851" w:header="680" w:footer="567" w:gutter="0"/>
          <w:cols w:num="2" w:space="397"/>
          <w:docGrid w:linePitch="360"/>
        </w:sectPr>
      </w:pPr>
    </w:p>
    <w:p w14:paraId="2A007C82" w14:textId="248F78F1" w:rsidR="008B48C8" w:rsidRPr="00F37C25" w:rsidRDefault="00F025B2" w:rsidP="005329E0">
      <w:pPr>
        <w:jc w:val="both"/>
        <w:rPr>
          <w:rFonts w:ascii="Arial" w:hAnsi="Arial" w:cs="Arial"/>
          <w:b/>
          <w:sz w:val="22"/>
          <w:szCs w:val="22"/>
          <w:lang w:val="es-PE"/>
        </w:rPr>
      </w:pPr>
      <w:r w:rsidRPr="00F37C25">
        <w:rPr>
          <w:rFonts w:ascii="Arial" w:hAnsi="Arial" w:cs="Arial"/>
          <w:b/>
          <w:sz w:val="22"/>
          <w:szCs w:val="22"/>
          <w:lang w:val="es-PE"/>
        </w:rPr>
        <w:lastRenderedPageBreak/>
        <w:t xml:space="preserve">8. </w:t>
      </w:r>
      <w:r w:rsidR="008B48C8" w:rsidRPr="00F37C25">
        <w:rPr>
          <w:rFonts w:ascii="Arial" w:hAnsi="Arial" w:cs="Arial"/>
          <w:b/>
          <w:sz w:val="22"/>
          <w:szCs w:val="22"/>
          <w:lang w:val="es-PE"/>
        </w:rPr>
        <w:t xml:space="preserve">Ilustraciones </w:t>
      </w:r>
      <w:r w:rsidR="00180629" w:rsidRPr="00F37C25">
        <w:rPr>
          <w:rFonts w:ascii="Arial" w:hAnsi="Arial" w:cs="Arial"/>
          <w:b/>
          <w:sz w:val="22"/>
          <w:szCs w:val="22"/>
          <w:lang w:val="es-PE"/>
        </w:rPr>
        <w:t>/ Imágenes</w:t>
      </w:r>
      <w:r w:rsidRPr="00F37C25">
        <w:rPr>
          <w:rFonts w:ascii="Arial" w:hAnsi="Arial" w:cs="Arial"/>
          <w:b/>
          <w:sz w:val="22"/>
          <w:szCs w:val="22"/>
          <w:lang w:val="es-PE"/>
        </w:rPr>
        <w:t xml:space="preserve"> / Tablas</w:t>
      </w:r>
    </w:p>
    <w:p w14:paraId="217478D4" w14:textId="77777777" w:rsidR="00904E24" w:rsidRDefault="00904E24" w:rsidP="005329E0">
      <w:pPr>
        <w:ind w:left="142" w:hanging="142"/>
        <w:jc w:val="both"/>
        <w:rPr>
          <w:rFonts w:ascii="Arial" w:hAnsi="Arial" w:cs="Arial"/>
          <w:b/>
          <w:color w:val="EE0000"/>
          <w:sz w:val="22"/>
          <w:szCs w:val="22"/>
          <w:lang w:val="es-PE"/>
        </w:rPr>
      </w:pPr>
    </w:p>
    <w:p w14:paraId="38FE5728" w14:textId="2A7DEB6F" w:rsidR="00AD1CD4" w:rsidRPr="005329E0" w:rsidRDefault="00CE1E46" w:rsidP="00AD1CD4">
      <w:pPr>
        <w:keepNext/>
        <w:jc w:val="both"/>
        <w:rPr>
          <w:rFonts w:ascii="Arial" w:hAnsi="Arial" w:cs="Arial"/>
          <w:color w:val="000000" w:themeColor="text1"/>
          <w:sz w:val="22"/>
          <w:szCs w:val="22"/>
        </w:rPr>
      </w:pPr>
      <w:r w:rsidRPr="00CE1E46">
        <w:rPr>
          <w:rFonts w:ascii="Arial" w:hAnsi="Arial" w:cs="Arial"/>
          <w:color w:val="000000" w:themeColor="text1"/>
          <w:sz w:val="22"/>
          <w:szCs w:val="22"/>
        </w:rPr>
        <w:drawing>
          <wp:inline distT="0" distB="0" distL="0" distR="0" wp14:anchorId="3BBDCCC7" wp14:editId="2461E51E">
            <wp:extent cx="6584315" cy="3305595"/>
            <wp:effectExtent l="0" t="0" r="6985" b="9525"/>
            <wp:docPr id="989157876"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57876" name="Picture 1" descr="A white sheet with black text&#10;&#10;AI-generated content may be incorrect."/>
                    <pic:cNvPicPr/>
                  </pic:nvPicPr>
                  <pic:blipFill rotWithShape="1">
                    <a:blip r:embed="rId20"/>
                    <a:srcRect r="762"/>
                    <a:stretch>
                      <a:fillRect/>
                    </a:stretch>
                  </pic:blipFill>
                  <pic:spPr bwMode="auto">
                    <a:xfrm>
                      <a:off x="0" y="0"/>
                      <a:ext cx="6585152" cy="3306015"/>
                    </a:xfrm>
                    <a:prstGeom prst="rect">
                      <a:avLst/>
                    </a:prstGeom>
                    <a:ln>
                      <a:noFill/>
                    </a:ln>
                    <a:extLst>
                      <a:ext uri="{53640926-AAD7-44D8-BBD7-CCE9431645EC}">
                        <a14:shadowObscured xmlns:a14="http://schemas.microsoft.com/office/drawing/2010/main"/>
                      </a:ext>
                    </a:extLst>
                  </pic:spPr>
                </pic:pic>
              </a:graphicData>
            </a:graphic>
          </wp:inline>
        </w:drawing>
      </w:r>
    </w:p>
    <w:p w14:paraId="10625D1F" w14:textId="60599783" w:rsidR="00AD1CD4" w:rsidRDefault="00AD1CD4" w:rsidP="00AD1CD4">
      <w:pPr>
        <w:pStyle w:val="Caption"/>
        <w:jc w:val="center"/>
      </w:pPr>
      <w:bookmarkStart w:id="1" w:name="_Ref202453055"/>
      <w:r w:rsidRPr="00A234DA">
        <w:t xml:space="preserve">Figura </w:t>
      </w:r>
      <w:r w:rsidRPr="00A234DA">
        <w:fldChar w:fldCharType="begin"/>
      </w:r>
      <w:r w:rsidRPr="00A234DA">
        <w:instrText xml:space="preserve"> SEQ Figura \* ARABIC </w:instrText>
      </w:r>
      <w:r w:rsidRPr="00A234DA">
        <w:fldChar w:fldCharType="separate"/>
      </w:r>
      <w:r w:rsidR="00982A1E">
        <w:rPr>
          <w:noProof/>
        </w:rPr>
        <w:t>4</w:t>
      </w:r>
      <w:r w:rsidRPr="00A234DA">
        <w:fldChar w:fldCharType="end"/>
      </w:r>
      <w:r w:rsidRPr="00A234DA">
        <w:t xml:space="preserve"> Visión estratégica del efoque de planificación minera con commingling</w:t>
      </w:r>
      <w:bookmarkEnd w:id="1"/>
    </w:p>
    <w:p w14:paraId="0F8AA466" w14:textId="77777777" w:rsidR="00AD1CD4" w:rsidRDefault="00AD1CD4" w:rsidP="00AD1CD4"/>
    <w:p w14:paraId="0EB5037A" w14:textId="77777777" w:rsidR="008B5AF2" w:rsidRPr="00AD1CD4" w:rsidRDefault="008B5AF2" w:rsidP="00AD1CD4"/>
    <w:p w14:paraId="543F5ABA" w14:textId="56980E29" w:rsidR="00AD1CD4" w:rsidRPr="005329E0" w:rsidRDefault="004C27D6" w:rsidP="00AD1CD4">
      <w:pPr>
        <w:keepNext/>
        <w:spacing w:after="210"/>
        <w:jc w:val="both"/>
        <w:rPr>
          <w:rFonts w:ascii="Arial" w:hAnsi="Arial" w:cs="Arial"/>
          <w:color w:val="000000" w:themeColor="text1"/>
          <w:sz w:val="22"/>
          <w:szCs w:val="22"/>
        </w:rPr>
      </w:pPr>
      <w:r w:rsidRPr="004C27D6">
        <w:rPr>
          <w:rFonts w:ascii="Arial" w:hAnsi="Arial" w:cs="Arial"/>
          <w:color w:val="000000" w:themeColor="text1"/>
          <w:sz w:val="22"/>
          <w:szCs w:val="22"/>
        </w:rPr>
        <w:drawing>
          <wp:inline distT="0" distB="0" distL="0" distR="0" wp14:anchorId="226424D8" wp14:editId="16026F80">
            <wp:extent cx="6584315" cy="3398520"/>
            <wp:effectExtent l="0" t="0" r="6985" b="0"/>
            <wp:docPr id="13255019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01997" name="Picture 1" descr="A screenshot of a computer&#10;&#10;AI-generated content may be incorrect."/>
                    <pic:cNvPicPr/>
                  </pic:nvPicPr>
                  <pic:blipFill>
                    <a:blip r:embed="rId21"/>
                    <a:stretch>
                      <a:fillRect/>
                    </a:stretch>
                  </pic:blipFill>
                  <pic:spPr>
                    <a:xfrm>
                      <a:off x="0" y="0"/>
                      <a:ext cx="6584315" cy="3398520"/>
                    </a:xfrm>
                    <a:prstGeom prst="rect">
                      <a:avLst/>
                    </a:prstGeom>
                  </pic:spPr>
                </pic:pic>
              </a:graphicData>
            </a:graphic>
          </wp:inline>
        </w:drawing>
      </w:r>
    </w:p>
    <w:p w14:paraId="1D8865B8" w14:textId="774F2B49" w:rsidR="00AD1CD4" w:rsidRDefault="00AD1CD4" w:rsidP="00AD1CD4">
      <w:pPr>
        <w:pStyle w:val="Caption"/>
        <w:jc w:val="center"/>
      </w:pPr>
      <w:bookmarkStart w:id="2" w:name="_Ref202453111"/>
      <w:r w:rsidRPr="005B47EC">
        <w:t xml:space="preserve">Figura </w:t>
      </w:r>
      <w:r w:rsidRPr="005B47EC">
        <w:fldChar w:fldCharType="begin"/>
      </w:r>
      <w:r w:rsidRPr="005B47EC">
        <w:instrText xml:space="preserve"> SEQ Figura \* ARABIC </w:instrText>
      </w:r>
      <w:r w:rsidRPr="005B47EC">
        <w:fldChar w:fldCharType="separate"/>
      </w:r>
      <w:r w:rsidR="00982A1E">
        <w:rPr>
          <w:noProof/>
        </w:rPr>
        <w:t>5</w:t>
      </w:r>
      <w:r w:rsidRPr="005B47EC">
        <w:fldChar w:fldCharType="end"/>
      </w:r>
      <w:r w:rsidRPr="005B47EC">
        <w:t xml:space="preserve"> Árbol de decisión para la planificación estratégica de largo plazo</w:t>
      </w:r>
      <w:bookmarkEnd w:id="2"/>
    </w:p>
    <w:p w14:paraId="28491A7B" w14:textId="77777777" w:rsidR="00AD1CD4" w:rsidRDefault="00AD1CD4" w:rsidP="00AD1CD4"/>
    <w:p w14:paraId="20E26E2B" w14:textId="10414D25" w:rsidR="00AD1CD4" w:rsidRPr="005329E0" w:rsidRDefault="00626289" w:rsidP="00AD1CD4">
      <w:pPr>
        <w:keepNext/>
        <w:spacing w:after="210"/>
        <w:jc w:val="both"/>
        <w:rPr>
          <w:rFonts w:ascii="Arial" w:hAnsi="Arial" w:cs="Arial"/>
          <w:color w:val="000000" w:themeColor="text1"/>
          <w:sz w:val="22"/>
          <w:szCs w:val="22"/>
        </w:rPr>
      </w:pPr>
      <w:r w:rsidRPr="00626289">
        <w:rPr>
          <w:rFonts w:ascii="Arial" w:hAnsi="Arial" w:cs="Arial"/>
          <w:color w:val="000000" w:themeColor="text1"/>
          <w:sz w:val="22"/>
          <w:szCs w:val="22"/>
        </w:rPr>
        <w:lastRenderedPageBreak/>
        <w:drawing>
          <wp:inline distT="0" distB="0" distL="0" distR="0" wp14:anchorId="3439355F" wp14:editId="6B4E514C">
            <wp:extent cx="6584315" cy="3083560"/>
            <wp:effectExtent l="0" t="0" r="6985" b="2540"/>
            <wp:docPr id="1850861044" name="Picture 1" descr="A diagram of 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61044" name="Picture 1" descr="A diagram of a diagram of a product&#10;&#10;AI-generated content may be incorrect."/>
                    <pic:cNvPicPr/>
                  </pic:nvPicPr>
                  <pic:blipFill>
                    <a:blip r:embed="rId22"/>
                    <a:stretch>
                      <a:fillRect/>
                    </a:stretch>
                  </pic:blipFill>
                  <pic:spPr>
                    <a:xfrm>
                      <a:off x="0" y="0"/>
                      <a:ext cx="6584315" cy="3083560"/>
                    </a:xfrm>
                    <a:prstGeom prst="rect">
                      <a:avLst/>
                    </a:prstGeom>
                  </pic:spPr>
                </pic:pic>
              </a:graphicData>
            </a:graphic>
          </wp:inline>
        </w:drawing>
      </w:r>
    </w:p>
    <w:p w14:paraId="29A92D4E" w14:textId="58E0EADD" w:rsidR="00AD1CD4" w:rsidRDefault="00AD1CD4" w:rsidP="00AD1CD4">
      <w:pPr>
        <w:pStyle w:val="Caption"/>
        <w:jc w:val="center"/>
      </w:pPr>
      <w:bookmarkStart w:id="3" w:name="_Ref202453141"/>
      <w:bookmarkStart w:id="4" w:name="_Ref202454005"/>
      <w:r w:rsidRPr="00BB6A7A">
        <w:t xml:space="preserve">Figura </w:t>
      </w:r>
      <w:r w:rsidRPr="00BB6A7A">
        <w:fldChar w:fldCharType="begin"/>
      </w:r>
      <w:r w:rsidRPr="00BB6A7A">
        <w:instrText xml:space="preserve"> SEQ Figura \* ARABIC </w:instrText>
      </w:r>
      <w:r w:rsidRPr="00BB6A7A">
        <w:fldChar w:fldCharType="separate"/>
      </w:r>
      <w:r w:rsidR="00982A1E">
        <w:rPr>
          <w:noProof/>
        </w:rPr>
        <w:t>6</w:t>
      </w:r>
      <w:r w:rsidRPr="00BB6A7A">
        <w:fldChar w:fldCharType="end"/>
      </w:r>
      <w:bookmarkEnd w:id="4"/>
      <w:r w:rsidRPr="00BB6A7A">
        <w:t xml:space="preserve"> Transformación de la gestión de relaves. Evolución del proceso Convenciocal al Commingling</w:t>
      </w:r>
      <w:bookmarkEnd w:id="3"/>
    </w:p>
    <w:p w14:paraId="7CD3B8F5" w14:textId="77777777" w:rsidR="008B5AF2" w:rsidRDefault="008B5AF2" w:rsidP="008B5AF2"/>
    <w:p w14:paraId="749E6A60" w14:textId="77777777" w:rsidR="008B5AF2" w:rsidRPr="008B5AF2" w:rsidRDefault="008B5AF2" w:rsidP="008B5AF2"/>
    <w:p w14:paraId="2F3E4451" w14:textId="686697DA" w:rsidR="00790944" w:rsidRPr="005329E0" w:rsidRDefault="0049249C" w:rsidP="00790944">
      <w:pPr>
        <w:spacing w:after="210"/>
        <w:jc w:val="both"/>
        <w:rPr>
          <w:rFonts w:ascii="Arial" w:eastAsia="inter" w:hAnsi="Arial" w:cs="Arial"/>
          <w:color w:val="000000" w:themeColor="text1"/>
          <w:sz w:val="22"/>
          <w:szCs w:val="22"/>
        </w:rPr>
      </w:pPr>
      <w:r>
        <w:rPr>
          <w:rFonts w:ascii="Arial" w:eastAsia="inter" w:hAnsi="Arial" w:cs="Arial"/>
          <w:noProof/>
          <w:color w:val="000000" w:themeColor="text1"/>
          <w:sz w:val="22"/>
          <w:szCs w:val="22"/>
        </w:rPr>
        <w:drawing>
          <wp:inline distT="0" distB="0" distL="0" distR="0" wp14:anchorId="4897A572" wp14:editId="77355751">
            <wp:extent cx="6457950" cy="3541150"/>
            <wp:effectExtent l="0" t="0" r="0" b="2540"/>
            <wp:docPr id="7176676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74582" cy="3550270"/>
                    </a:xfrm>
                    <a:prstGeom prst="rect">
                      <a:avLst/>
                    </a:prstGeom>
                    <a:noFill/>
                  </pic:spPr>
                </pic:pic>
              </a:graphicData>
            </a:graphic>
          </wp:inline>
        </w:drawing>
      </w:r>
    </w:p>
    <w:p w14:paraId="02CFA009" w14:textId="20ABB9D2" w:rsidR="00790944" w:rsidRDefault="00790944" w:rsidP="00790944">
      <w:pPr>
        <w:pStyle w:val="Caption"/>
        <w:jc w:val="center"/>
      </w:pPr>
      <w:bookmarkStart w:id="5" w:name="_Ref202453532"/>
      <w:bookmarkStart w:id="6" w:name="_Ref202453544"/>
      <w:r w:rsidRPr="004769D2">
        <w:t xml:space="preserve">Figura </w:t>
      </w:r>
      <w:r w:rsidRPr="004769D2">
        <w:fldChar w:fldCharType="begin"/>
      </w:r>
      <w:r w:rsidRPr="004769D2">
        <w:instrText xml:space="preserve"> SEQ Figura \* ARABIC </w:instrText>
      </w:r>
      <w:r w:rsidRPr="004769D2">
        <w:fldChar w:fldCharType="separate"/>
      </w:r>
      <w:r w:rsidR="00982A1E">
        <w:rPr>
          <w:noProof/>
        </w:rPr>
        <w:t>7</w:t>
      </w:r>
      <w:r w:rsidRPr="004769D2">
        <w:fldChar w:fldCharType="end"/>
      </w:r>
      <w:bookmarkEnd w:id="6"/>
      <w:r w:rsidRPr="004769D2">
        <w:t xml:space="preserve"> Curva de densidad seca vs proporciónóptima de mezcla para commingling</w:t>
      </w:r>
      <w:bookmarkEnd w:id="5"/>
    </w:p>
    <w:p w14:paraId="423C74E7" w14:textId="3CBFECEF" w:rsidR="003C036B" w:rsidRPr="005329E0" w:rsidRDefault="00A92689" w:rsidP="003C036B">
      <w:pPr>
        <w:spacing w:after="210"/>
        <w:jc w:val="both"/>
        <w:rPr>
          <w:rFonts w:ascii="Arial" w:eastAsia="inter" w:hAnsi="Arial" w:cs="Arial"/>
          <w:color w:val="000000" w:themeColor="text1"/>
          <w:sz w:val="22"/>
          <w:szCs w:val="22"/>
        </w:rPr>
      </w:pPr>
      <w:r w:rsidRPr="004A7A1D">
        <w:rPr>
          <w:rFonts w:ascii="Arial" w:eastAsia="inter" w:hAnsi="Arial" w:cs="Arial"/>
          <w:color w:val="000000" w:themeColor="text1"/>
          <w:sz w:val="22"/>
          <w:szCs w:val="22"/>
        </w:rPr>
        <w:lastRenderedPageBreak/>
        <w:drawing>
          <wp:inline distT="0" distB="0" distL="0" distR="0" wp14:anchorId="29F1676A" wp14:editId="5436A98C">
            <wp:extent cx="6584315" cy="3592830"/>
            <wp:effectExtent l="0" t="0" r="6985" b="7620"/>
            <wp:docPr id="34348625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86255" name="Picture 1" descr="A diagram of a company&#10;&#10;AI-generated content may be incorrect."/>
                    <pic:cNvPicPr/>
                  </pic:nvPicPr>
                  <pic:blipFill>
                    <a:blip r:embed="rId24"/>
                    <a:stretch>
                      <a:fillRect/>
                    </a:stretch>
                  </pic:blipFill>
                  <pic:spPr>
                    <a:xfrm>
                      <a:off x="0" y="0"/>
                      <a:ext cx="6584315" cy="3592830"/>
                    </a:xfrm>
                    <a:prstGeom prst="rect">
                      <a:avLst/>
                    </a:prstGeom>
                  </pic:spPr>
                </pic:pic>
              </a:graphicData>
            </a:graphic>
          </wp:inline>
        </w:drawing>
      </w:r>
    </w:p>
    <w:p w14:paraId="245DACB1" w14:textId="7E53B2F7" w:rsidR="003C036B" w:rsidRDefault="003C036B" w:rsidP="003C036B">
      <w:pPr>
        <w:pStyle w:val="Caption"/>
        <w:jc w:val="center"/>
      </w:pPr>
      <w:bookmarkStart w:id="7" w:name="_Ref202453576"/>
      <w:r w:rsidRPr="00C05F99">
        <w:t xml:space="preserve">Figura </w:t>
      </w:r>
      <w:r w:rsidRPr="00C05F99">
        <w:fldChar w:fldCharType="begin"/>
      </w:r>
      <w:r w:rsidRPr="00C05F99">
        <w:instrText xml:space="preserve"> SEQ Figura \* ARABIC </w:instrText>
      </w:r>
      <w:r w:rsidRPr="00C05F99">
        <w:fldChar w:fldCharType="separate"/>
      </w:r>
      <w:r w:rsidR="00982A1E">
        <w:rPr>
          <w:noProof/>
        </w:rPr>
        <w:t>8</w:t>
      </w:r>
      <w:r w:rsidRPr="00C05F99">
        <w:fldChar w:fldCharType="end"/>
      </w:r>
      <w:bookmarkEnd w:id="7"/>
      <w:r w:rsidRPr="00C05F99">
        <w:t xml:space="preserve"> Impulsadores de Valor Convencionales en Antamina : Perspectiva Financiera (Sin Commingling)</w:t>
      </w:r>
    </w:p>
    <w:p w14:paraId="209713BC" w14:textId="71A62E42" w:rsidR="008B5AF2" w:rsidRPr="008B5AF2" w:rsidRDefault="00164D5C" w:rsidP="008B5AF2">
      <w:r w:rsidRPr="00164D5C">
        <w:drawing>
          <wp:inline distT="0" distB="0" distL="0" distR="0" wp14:anchorId="0F499709" wp14:editId="521CAAF5">
            <wp:extent cx="6584315" cy="3307080"/>
            <wp:effectExtent l="0" t="0" r="6985" b="7620"/>
            <wp:docPr id="201836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66717" name=""/>
                    <pic:cNvPicPr/>
                  </pic:nvPicPr>
                  <pic:blipFill>
                    <a:blip r:embed="rId25"/>
                    <a:stretch>
                      <a:fillRect/>
                    </a:stretch>
                  </pic:blipFill>
                  <pic:spPr>
                    <a:xfrm>
                      <a:off x="0" y="0"/>
                      <a:ext cx="6584315" cy="3307080"/>
                    </a:xfrm>
                    <a:prstGeom prst="rect">
                      <a:avLst/>
                    </a:prstGeom>
                  </pic:spPr>
                </pic:pic>
              </a:graphicData>
            </a:graphic>
          </wp:inline>
        </w:drawing>
      </w:r>
    </w:p>
    <w:p w14:paraId="30792B36" w14:textId="447E684C" w:rsidR="003C036B" w:rsidRPr="005329E0" w:rsidRDefault="003C036B" w:rsidP="003C036B">
      <w:pPr>
        <w:spacing w:after="210"/>
        <w:jc w:val="both"/>
        <w:rPr>
          <w:rFonts w:ascii="Arial" w:eastAsia="inter" w:hAnsi="Arial" w:cs="Arial"/>
          <w:color w:val="000000" w:themeColor="text1"/>
          <w:sz w:val="22"/>
          <w:szCs w:val="22"/>
        </w:rPr>
      </w:pPr>
    </w:p>
    <w:p w14:paraId="337B8E0F" w14:textId="0B6030FB" w:rsidR="003C036B" w:rsidRPr="00C05F99" w:rsidRDefault="003C036B" w:rsidP="003C036B">
      <w:pPr>
        <w:pStyle w:val="Caption"/>
        <w:jc w:val="center"/>
      </w:pPr>
      <w:bookmarkStart w:id="8" w:name="_Ref202453605"/>
      <w:bookmarkStart w:id="9" w:name="_Ref202453608"/>
      <w:r w:rsidRPr="00C05F99">
        <w:t xml:space="preserve">Figura </w:t>
      </w:r>
      <w:r w:rsidRPr="00C05F99">
        <w:fldChar w:fldCharType="begin"/>
      </w:r>
      <w:r w:rsidRPr="00C05F99">
        <w:instrText xml:space="preserve"> SEQ Figura \* ARABIC </w:instrText>
      </w:r>
      <w:r w:rsidRPr="00C05F99">
        <w:fldChar w:fldCharType="separate"/>
      </w:r>
      <w:r w:rsidR="00982A1E">
        <w:rPr>
          <w:noProof/>
        </w:rPr>
        <w:t>9</w:t>
      </w:r>
      <w:r w:rsidRPr="00C05F99">
        <w:fldChar w:fldCharType="end"/>
      </w:r>
      <w:bookmarkEnd w:id="8"/>
      <w:r w:rsidRPr="00C05F99">
        <w:t xml:space="preserve"> Impulsa</w:t>
      </w:r>
      <w:r w:rsidR="004A7A1D">
        <w:t>do</w:t>
      </w:r>
      <w:r w:rsidRPr="00C05F99">
        <w:t>res de Valor en Antamina : Perspectiva Financiera con Commingling.</w:t>
      </w:r>
      <w:bookmarkEnd w:id="9"/>
    </w:p>
    <w:p w14:paraId="1610E308" w14:textId="77777777" w:rsidR="00AD1CD4" w:rsidRPr="00AD1CD4" w:rsidRDefault="00AD1CD4" w:rsidP="00AD1CD4"/>
    <w:p w14:paraId="1D6F3D5E" w14:textId="77777777" w:rsidR="008B5AF2" w:rsidRDefault="008B5AF2" w:rsidP="005329E0">
      <w:pPr>
        <w:ind w:left="142" w:hanging="142"/>
        <w:jc w:val="both"/>
        <w:rPr>
          <w:rFonts w:ascii="Arial" w:hAnsi="Arial" w:cs="Arial"/>
          <w:b/>
          <w:color w:val="EE0000"/>
          <w:sz w:val="22"/>
          <w:szCs w:val="22"/>
          <w:lang w:val="es-PE"/>
        </w:rPr>
        <w:sectPr w:rsidR="008B5AF2" w:rsidSect="008B5AF2">
          <w:type w:val="continuous"/>
          <w:pgSz w:w="11900" w:h="16840"/>
          <w:pgMar w:top="1134" w:right="680" w:bottom="964" w:left="851" w:header="680" w:footer="567" w:gutter="0"/>
          <w:cols w:space="397"/>
          <w:docGrid w:linePitch="360"/>
        </w:sectPr>
      </w:pPr>
    </w:p>
    <w:p w14:paraId="35AFEC05" w14:textId="77777777" w:rsidR="00AD1CD4" w:rsidRPr="005329E0" w:rsidRDefault="00AD1CD4" w:rsidP="005329E0">
      <w:pPr>
        <w:ind w:left="142" w:hanging="142"/>
        <w:jc w:val="both"/>
        <w:rPr>
          <w:rFonts w:ascii="Arial" w:hAnsi="Arial" w:cs="Arial"/>
          <w:b/>
          <w:color w:val="EE0000"/>
          <w:sz w:val="22"/>
          <w:szCs w:val="22"/>
          <w:lang w:val="es-PE"/>
        </w:rPr>
      </w:pPr>
    </w:p>
    <w:p w14:paraId="60352002" w14:textId="77777777" w:rsidR="00651282" w:rsidRPr="005329E0" w:rsidRDefault="00651282" w:rsidP="005329E0">
      <w:pPr>
        <w:ind w:left="142" w:hanging="142"/>
        <w:jc w:val="both"/>
        <w:rPr>
          <w:rFonts w:ascii="Arial" w:hAnsi="Arial" w:cs="Arial"/>
          <w:b/>
          <w:color w:val="000000" w:themeColor="text1"/>
          <w:sz w:val="22"/>
          <w:szCs w:val="22"/>
          <w:lang w:val="es-PE"/>
        </w:rPr>
      </w:pPr>
    </w:p>
    <w:p w14:paraId="0813D59F" w14:textId="77777777" w:rsidR="00651282" w:rsidRPr="005329E0" w:rsidRDefault="00651282" w:rsidP="005329E0">
      <w:pPr>
        <w:ind w:left="142" w:hanging="142"/>
        <w:jc w:val="both"/>
        <w:rPr>
          <w:rFonts w:ascii="Arial" w:hAnsi="Arial" w:cs="Arial"/>
          <w:b/>
          <w:color w:val="000000" w:themeColor="text1"/>
          <w:sz w:val="22"/>
          <w:szCs w:val="22"/>
          <w:lang w:val="es-PE"/>
        </w:rPr>
      </w:pPr>
    </w:p>
    <w:p w14:paraId="4D011DC2" w14:textId="77777777" w:rsidR="00651282" w:rsidRPr="005329E0" w:rsidRDefault="00651282" w:rsidP="005329E0">
      <w:pPr>
        <w:ind w:left="142" w:hanging="142"/>
        <w:jc w:val="both"/>
        <w:rPr>
          <w:rFonts w:ascii="Arial" w:hAnsi="Arial" w:cs="Arial"/>
          <w:b/>
          <w:color w:val="000000" w:themeColor="text1"/>
          <w:sz w:val="22"/>
          <w:szCs w:val="22"/>
          <w:lang w:val="es-PE"/>
        </w:rPr>
      </w:pPr>
    </w:p>
    <w:p w14:paraId="1FA9DED2" w14:textId="77777777" w:rsidR="00651282" w:rsidRPr="005329E0" w:rsidRDefault="00651282" w:rsidP="005329E0">
      <w:pPr>
        <w:ind w:left="142" w:hanging="142"/>
        <w:jc w:val="both"/>
        <w:rPr>
          <w:rFonts w:ascii="Arial" w:hAnsi="Arial" w:cs="Arial"/>
          <w:b/>
          <w:color w:val="000000" w:themeColor="text1"/>
          <w:sz w:val="22"/>
          <w:szCs w:val="22"/>
          <w:lang w:val="es-PE"/>
        </w:rPr>
      </w:pPr>
    </w:p>
    <w:p w14:paraId="739D32AD" w14:textId="77777777" w:rsidR="00651282" w:rsidRPr="005329E0" w:rsidRDefault="00651282" w:rsidP="005329E0">
      <w:pPr>
        <w:ind w:left="142" w:hanging="142"/>
        <w:jc w:val="both"/>
        <w:rPr>
          <w:rFonts w:ascii="Arial" w:hAnsi="Arial" w:cs="Arial"/>
          <w:b/>
          <w:color w:val="000000" w:themeColor="text1"/>
          <w:sz w:val="22"/>
          <w:szCs w:val="22"/>
          <w:lang w:val="es-PE"/>
        </w:rPr>
      </w:pPr>
    </w:p>
    <w:p w14:paraId="6258183A" w14:textId="77777777" w:rsidR="00651282" w:rsidRPr="005329E0" w:rsidRDefault="00651282" w:rsidP="005329E0">
      <w:pPr>
        <w:ind w:left="142" w:hanging="142"/>
        <w:jc w:val="both"/>
        <w:rPr>
          <w:rFonts w:ascii="Arial" w:hAnsi="Arial" w:cs="Arial"/>
          <w:b/>
          <w:color w:val="000000" w:themeColor="text1"/>
          <w:sz w:val="22"/>
          <w:szCs w:val="22"/>
          <w:lang w:val="es-PE"/>
        </w:rPr>
      </w:pPr>
    </w:p>
    <w:p w14:paraId="789F9B5D" w14:textId="77777777" w:rsidR="00651282" w:rsidRPr="005329E0" w:rsidRDefault="00651282" w:rsidP="005329E0">
      <w:pPr>
        <w:ind w:left="142" w:hanging="142"/>
        <w:jc w:val="both"/>
        <w:rPr>
          <w:rFonts w:ascii="Arial" w:hAnsi="Arial" w:cs="Arial"/>
          <w:b/>
          <w:color w:val="000000" w:themeColor="text1"/>
          <w:sz w:val="22"/>
          <w:szCs w:val="22"/>
          <w:lang w:val="es-PE"/>
        </w:rPr>
      </w:pPr>
    </w:p>
    <w:sectPr w:rsidR="00651282" w:rsidRPr="005329E0"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039E2" w14:textId="77777777" w:rsidR="00215B74" w:rsidRDefault="00215B74" w:rsidP="004D469A">
      <w:r>
        <w:separator/>
      </w:r>
    </w:p>
  </w:endnote>
  <w:endnote w:type="continuationSeparator" w:id="0">
    <w:p w14:paraId="43BA6E96" w14:textId="77777777" w:rsidR="00215B74" w:rsidRDefault="00215B74"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inter">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02E443E0" w14:textId="77777777" w:rsidR="00E915D1"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F6AB6" w14:textId="77777777" w:rsidR="00215B74" w:rsidRDefault="00215B74" w:rsidP="004D469A">
      <w:r>
        <w:separator/>
      </w:r>
    </w:p>
  </w:footnote>
  <w:footnote w:type="continuationSeparator" w:id="0">
    <w:p w14:paraId="49F0E686" w14:textId="77777777" w:rsidR="00215B74" w:rsidRDefault="00215B74"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Header"/>
      <w:framePr w:wrap="around" w:vAnchor="text" w:hAnchor="margin" w:xAlign="outside"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70CFA293" w14:textId="77777777" w:rsidR="00E915D1"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Header"/>
      <w:ind w:right="360" w:firstLine="360"/>
      <w:jc w:val="center"/>
      <w:rPr>
        <w:sz w:val="18"/>
      </w:rPr>
    </w:pPr>
    <w:r>
      <w:rPr>
        <w:sz w:val="18"/>
      </w:rPr>
      <w:t>XVIII Congreso Peruano de Geología</w:t>
    </w:r>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59AA"/>
    <w:multiLevelType w:val="hybridMultilevel"/>
    <w:tmpl w:val="2418388C"/>
    <w:lvl w:ilvl="0" w:tplc="A266A192">
      <w:start w:val="1"/>
      <w:numFmt w:val="bullet"/>
      <w:lvlText w:val=""/>
      <w:lvlJc w:val="left"/>
      <w:pPr>
        <w:tabs>
          <w:tab w:val="num" w:pos="900"/>
        </w:tabs>
        <w:ind w:left="540" w:hanging="360"/>
      </w:pPr>
      <w:rPr>
        <w:rFonts w:ascii="Symbol" w:hAnsi="Symbol" w:hint="default"/>
      </w:rPr>
    </w:lvl>
    <w:lvl w:ilvl="1" w:tplc="E23CC90E">
      <w:numFmt w:val="decimal"/>
      <w:lvlText w:val=""/>
      <w:lvlJc w:val="left"/>
    </w:lvl>
    <w:lvl w:ilvl="2" w:tplc="C0FAD29E">
      <w:numFmt w:val="decimal"/>
      <w:lvlText w:val=""/>
      <w:lvlJc w:val="left"/>
    </w:lvl>
    <w:lvl w:ilvl="3" w:tplc="8124DDD6">
      <w:numFmt w:val="decimal"/>
      <w:lvlText w:val=""/>
      <w:lvlJc w:val="left"/>
    </w:lvl>
    <w:lvl w:ilvl="4" w:tplc="1C7ACC9C">
      <w:numFmt w:val="decimal"/>
      <w:lvlText w:val=""/>
      <w:lvlJc w:val="left"/>
    </w:lvl>
    <w:lvl w:ilvl="5" w:tplc="F642E2A6">
      <w:numFmt w:val="decimal"/>
      <w:lvlText w:val=""/>
      <w:lvlJc w:val="left"/>
    </w:lvl>
    <w:lvl w:ilvl="6" w:tplc="78BE7B94">
      <w:numFmt w:val="decimal"/>
      <w:lvlText w:val=""/>
      <w:lvlJc w:val="left"/>
    </w:lvl>
    <w:lvl w:ilvl="7" w:tplc="5B2C0F3C">
      <w:numFmt w:val="decimal"/>
      <w:lvlText w:val=""/>
      <w:lvlJc w:val="left"/>
    </w:lvl>
    <w:lvl w:ilvl="8" w:tplc="F56007F2">
      <w:numFmt w:val="decimal"/>
      <w:lvlText w:val=""/>
      <w:lvlJc w:val="left"/>
    </w:lvl>
  </w:abstractNum>
  <w:abstractNum w:abstractNumId="1" w15:restartNumberingAfterBreak="0">
    <w:nsid w:val="0F3A55CC"/>
    <w:multiLevelType w:val="hybridMultilevel"/>
    <w:tmpl w:val="9536C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C81F0B"/>
    <w:multiLevelType w:val="hybridMultilevel"/>
    <w:tmpl w:val="2B106E92"/>
    <w:lvl w:ilvl="0" w:tplc="4844DBA6">
      <w:start w:val="1"/>
      <w:numFmt w:val="bullet"/>
      <w:lvlText w:val=""/>
      <w:lvlJc w:val="left"/>
      <w:pPr>
        <w:tabs>
          <w:tab w:val="num" w:pos="900"/>
        </w:tabs>
        <w:ind w:left="540" w:hanging="360"/>
      </w:pPr>
      <w:rPr>
        <w:rFonts w:ascii="Symbol" w:hAnsi="Symbol" w:hint="default"/>
      </w:rPr>
    </w:lvl>
    <w:lvl w:ilvl="1" w:tplc="FFAAC184">
      <w:numFmt w:val="decimal"/>
      <w:lvlText w:val=""/>
      <w:lvlJc w:val="left"/>
    </w:lvl>
    <w:lvl w:ilvl="2" w:tplc="6D7E119C">
      <w:numFmt w:val="decimal"/>
      <w:lvlText w:val=""/>
      <w:lvlJc w:val="left"/>
    </w:lvl>
    <w:lvl w:ilvl="3" w:tplc="FC169046">
      <w:numFmt w:val="decimal"/>
      <w:lvlText w:val=""/>
      <w:lvlJc w:val="left"/>
    </w:lvl>
    <w:lvl w:ilvl="4" w:tplc="738A07EC">
      <w:numFmt w:val="decimal"/>
      <w:lvlText w:val=""/>
      <w:lvlJc w:val="left"/>
    </w:lvl>
    <w:lvl w:ilvl="5" w:tplc="400C7E78">
      <w:numFmt w:val="decimal"/>
      <w:lvlText w:val=""/>
      <w:lvlJc w:val="left"/>
    </w:lvl>
    <w:lvl w:ilvl="6" w:tplc="5BF2CB30">
      <w:numFmt w:val="decimal"/>
      <w:lvlText w:val=""/>
      <w:lvlJc w:val="left"/>
    </w:lvl>
    <w:lvl w:ilvl="7" w:tplc="7EF0454A">
      <w:numFmt w:val="decimal"/>
      <w:lvlText w:val=""/>
      <w:lvlJc w:val="left"/>
    </w:lvl>
    <w:lvl w:ilvl="8" w:tplc="A1944DD6">
      <w:numFmt w:val="decimal"/>
      <w:lvlText w:val=""/>
      <w:lvlJc w:val="left"/>
    </w:lvl>
  </w:abstractNum>
  <w:abstractNum w:abstractNumId="3" w15:restartNumberingAfterBreak="0">
    <w:nsid w:val="2DA977B8"/>
    <w:multiLevelType w:val="hybridMultilevel"/>
    <w:tmpl w:val="5B5E9812"/>
    <w:lvl w:ilvl="0" w:tplc="57ACF792">
      <w:start w:val="1"/>
      <w:numFmt w:val="bullet"/>
      <w:lvlText w:val=""/>
      <w:lvlJc w:val="left"/>
      <w:pPr>
        <w:tabs>
          <w:tab w:val="num" w:pos="900"/>
        </w:tabs>
        <w:ind w:left="540" w:hanging="360"/>
      </w:pPr>
      <w:rPr>
        <w:rFonts w:ascii="Symbol" w:hAnsi="Symbol" w:hint="default"/>
      </w:rPr>
    </w:lvl>
    <w:lvl w:ilvl="1" w:tplc="653E8F9E">
      <w:numFmt w:val="decimal"/>
      <w:lvlText w:val=""/>
      <w:lvlJc w:val="left"/>
    </w:lvl>
    <w:lvl w:ilvl="2" w:tplc="185605AE">
      <w:numFmt w:val="decimal"/>
      <w:lvlText w:val=""/>
      <w:lvlJc w:val="left"/>
    </w:lvl>
    <w:lvl w:ilvl="3" w:tplc="21D431BE">
      <w:numFmt w:val="decimal"/>
      <w:lvlText w:val=""/>
      <w:lvlJc w:val="left"/>
    </w:lvl>
    <w:lvl w:ilvl="4" w:tplc="91EA2F44">
      <w:numFmt w:val="decimal"/>
      <w:lvlText w:val=""/>
      <w:lvlJc w:val="left"/>
    </w:lvl>
    <w:lvl w:ilvl="5" w:tplc="8B887E44">
      <w:numFmt w:val="decimal"/>
      <w:lvlText w:val=""/>
      <w:lvlJc w:val="left"/>
    </w:lvl>
    <w:lvl w:ilvl="6" w:tplc="52CE26FC">
      <w:numFmt w:val="decimal"/>
      <w:lvlText w:val=""/>
      <w:lvlJc w:val="left"/>
    </w:lvl>
    <w:lvl w:ilvl="7" w:tplc="146E2688">
      <w:numFmt w:val="decimal"/>
      <w:lvlText w:val=""/>
      <w:lvlJc w:val="left"/>
    </w:lvl>
    <w:lvl w:ilvl="8" w:tplc="874C1052">
      <w:numFmt w:val="decimal"/>
      <w:lvlText w:val=""/>
      <w:lvlJc w:val="left"/>
    </w:lvl>
  </w:abstractNum>
  <w:abstractNum w:abstractNumId="4" w15:restartNumberingAfterBreak="0">
    <w:nsid w:val="34067F21"/>
    <w:multiLevelType w:val="hybridMultilevel"/>
    <w:tmpl w:val="EE0CF0EA"/>
    <w:lvl w:ilvl="0" w:tplc="0409000F">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42502D"/>
    <w:multiLevelType w:val="hybridMultilevel"/>
    <w:tmpl w:val="37645028"/>
    <w:lvl w:ilvl="0" w:tplc="77B84082">
      <w:start w:val="1"/>
      <w:numFmt w:val="bullet"/>
      <w:lvlText w:val=""/>
      <w:lvlJc w:val="left"/>
      <w:pPr>
        <w:tabs>
          <w:tab w:val="num" w:pos="900"/>
        </w:tabs>
        <w:ind w:left="540" w:hanging="360"/>
      </w:pPr>
      <w:rPr>
        <w:rFonts w:ascii="Symbol" w:hAnsi="Symbol" w:hint="default"/>
      </w:rPr>
    </w:lvl>
    <w:lvl w:ilvl="1" w:tplc="15282396">
      <w:numFmt w:val="decimal"/>
      <w:lvlText w:val=""/>
      <w:lvlJc w:val="left"/>
    </w:lvl>
    <w:lvl w:ilvl="2" w:tplc="9CE22488">
      <w:numFmt w:val="decimal"/>
      <w:lvlText w:val=""/>
      <w:lvlJc w:val="left"/>
    </w:lvl>
    <w:lvl w:ilvl="3" w:tplc="C5BA1350">
      <w:numFmt w:val="decimal"/>
      <w:lvlText w:val=""/>
      <w:lvlJc w:val="left"/>
    </w:lvl>
    <w:lvl w:ilvl="4" w:tplc="3EE2BE54">
      <w:numFmt w:val="decimal"/>
      <w:lvlText w:val=""/>
      <w:lvlJc w:val="left"/>
    </w:lvl>
    <w:lvl w:ilvl="5" w:tplc="28B4F4C6">
      <w:numFmt w:val="decimal"/>
      <w:lvlText w:val=""/>
      <w:lvlJc w:val="left"/>
    </w:lvl>
    <w:lvl w:ilvl="6" w:tplc="0BA89D8E">
      <w:numFmt w:val="decimal"/>
      <w:lvlText w:val=""/>
      <w:lvlJc w:val="left"/>
    </w:lvl>
    <w:lvl w:ilvl="7" w:tplc="C814616C">
      <w:numFmt w:val="decimal"/>
      <w:lvlText w:val=""/>
      <w:lvlJc w:val="left"/>
    </w:lvl>
    <w:lvl w:ilvl="8" w:tplc="FD58B414">
      <w:numFmt w:val="decimal"/>
      <w:lvlText w:val=""/>
      <w:lvlJc w:val="left"/>
    </w:lvl>
  </w:abstractNum>
  <w:abstractNum w:abstractNumId="6" w15:restartNumberingAfterBreak="0">
    <w:nsid w:val="3F027262"/>
    <w:multiLevelType w:val="hybridMultilevel"/>
    <w:tmpl w:val="D30ABC12"/>
    <w:lvl w:ilvl="0" w:tplc="75AE3042">
      <w:start w:val="1"/>
      <w:numFmt w:val="bullet"/>
      <w:lvlText w:val=""/>
      <w:lvlJc w:val="left"/>
      <w:pPr>
        <w:tabs>
          <w:tab w:val="num" w:pos="900"/>
        </w:tabs>
        <w:ind w:left="540" w:hanging="360"/>
      </w:pPr>
      <w:rPr>
        <w:rFonts w:ascii="Symbol" w:hAnsi="Symbol" w:hint="default"/>
      </w:rPr>
    </w:lvl>
    <w:lvl w:ilvl="1" w:tplc="B300AAC0">
      <w:numFmt w:val="decimal"/>
      <w:lvlText w:val=""/>
      <w:lvlJc w:val="left"/>
    </w:lvl>
    <w:lvl w:ilvl="2" w:tplc="1E565394">
      <w:numFmt w:val="decimal"/>
      <w:lvlText w:val=""/>
      <w:lvlJc w:val="left"/>
    </w:lvl>
    <w:lvl w:ilvl="3" w:tplc="EEA6FA9E">
      <w:numFmt w:val="decimal"/>
      <w:lvlText w:val=""/>
      <w:lvlJc w:val="left"/>
    </w:lvl>
    <w:lvl w:ilvl="4" w:tplc="099C0A32">
      <w:numFmt w:val="decimal"/>
      <w:lvlText w:val=""/>
      <w:lvlJc w:val="left"/>
    </w:lvl>
    <w:lvl w:ilvl="5" w:tplc="7CDEF0A2">
      <w:numFmt w:val="decimal"/>
      <w:lvlText w:val=""/>
      <w:lvlJc w:val="left"/>
    </w:lvl>
    <w:lvl w:ilvl="6" w:tplc="0A048CC6">
      <w:numFmt w:val="decimal"/>
      <w:lvlText w:val=""/>
      <w:lvlJc w:val="left"/>
    </w:lvl>
    <w:lvl w:ilvl="7" w:tplc="FCE0DFF8">
      <w:numFmt w:val="decimal"/>
      <w:lvlText w:val=""/>
      <w:lvlJc w:val="left"/>
    </w:lvl>
    <w:lvl w:ilvl="8" w:tplc="BD084CF6">
      <w:numFmt w:val="decimal"/>
      <w:lvlText w:val=""/>
      <w:lvlJc w:val="left"/>
    </w:lvl>
  </w:abstractNum>
  <w:abstractNum w:abstractNumId="7" w15:restartNumberingAfterBreak="0">
    <w:nsid w:val="52294086"/>
    <w:multiLevelType w:val="hybridMultilevel"/>
    <w:tmpl w:val="36A001AA"/>
    <w:lvl w:ilvl="0" w:tplc="2208EDD6">
      <w:start w:val="1"/>
      <w:numFmt w:val="bullet"/>
      <w:lvlText w:val=""/>
      <w:lvlJc w:val="left"/>
      <w:pPr>
        <w:tabs>
          <w:tab w:val="num" w:pos="900"/>
        </w:tabs>
        <w:ind w:left="540" w:hanging="360"/>
      </w:pPr>
      <w:rPr>
        <w:rFonts w:ascii="Symbol" w:hAnsi="Symbol" w:hint="default"/>
      </w:rPr>
    </w:lvl>
    <w:lvl w:ilvl="1" w:tplc="E36AD7A8">
      <w:numFmt w:val="decimal"/>
      <w:lvlText w:val=""/>
      <w:lvlJc w:val="left"/>
    </w:lvl>
    <w:lvl w:ilvl="2" w:tplc="CA7C7B24">
      <w:numFmt w:val="decimal"/>
      <w:lvlText w:val=""/>
      <w:lvlJc w:val="left"/>
    </w:lvl>
    <w:lvl w:ilvl="3" w:tplc="B9E86804">
      <w:numFmt w:val="decimal"/>
      <w:lvlText w:val=""/>
      <w:lvlJc w:val="left"/>
    </w:lvl>
    <w:lvl w:ilvl="4" w:tplc="D174FDB4">
      <w:numFmt w:val="decimal"/>
      <w:lvlText w:val=""/>
      <w:lvlJc w:val="left"/>
    </w:lvl>
    <w:lvl w:ilvl="5" w:tplc="72C20F70">
      <w:numFmt w:val="decimal"/>
      <w:lvlText w:val=""/>
      <w:lvlJc w:val="left"/>
    </w:lvl>
    <w:lvl w:ilvl="6" w:tplc="AB3E1D70">
      <w:numFmt w:val="decimal"/>
      <w:lvlText w:val=""/>
      <w:lvlJc w:val="left"/>
    </w:lvl>
    <w:lvl w:ilvl="7" w:tplc="CFC06D68">
      <w:numFmt w:val="decimal"/>
      <w:lvlText w:val=""/>
      <w:lvlJc w:val="left"/>
    </w:lvl>
    <w:lvl w:ilvl="8" w:tplc="ACD27346">
      <w:numFmt w:val="decimal"/>
      <w:lvlText w:val=""/>
      <w:lvlJc w:val="left"/>
    </w:lvl>
  </w:abstractNum>
  <w:abstractNum w:abstractNumId="8" w15:restartNumberingAfterBreak="0">
    <w:nsid w:val="5596327F"/>
    <w:multiLevelType w:val="hybridMultilevel"/>
    <w:tmpl w:val="BFE2BF8A"/>
    <w:lvl w:ilvl="0" w:tplc="88FC92FC">
      <w:start w:val="1"/>
      <w:numFmt w:val="bullet"/>
      <w:lvlText w:val=""/>
      <w:lvlJc w:val="left"/>
      <w:pPr>
        <w:tabs>
          <w:tab w:val="num" w:pos="900"/>
        </w:tabs>
        <w:ind w:left="540" w:hanging="360"/>
      </w:pPr>
      <w:rPr>
        <w:rFonts w:ascii="Symbol" w:hAnsi="Symbol" w:hint="default"/>
      </w:rPr>
    </w:lvl>
    <w:lvl w:ilvl="1" w:tplc="359E7738">
      <w:numFmt w:val="decimal"/>
      <w:lvlText w:val=""/>
      <w:lvlJc w:val="left"/>
    </w:lvl>
    <w:lvl w:ilvl="2" w:tplc="2E82A276">
      <w:numFmt w:val="decimal"/>
      <w:lvlText w:val=""/>
      <w:lvlJc w:val="left"/>
    </w:lvl>
    <w:lvl w:ilvl="3" w:tplc="36B895C6">
      <w:numFmt w:val="decimal"/>
      <w:lvlText w:val=""/>
      <w:lvlJc w:val="left"/>
    </w:lvl>
    <w:lvl w:ilvl="4" w:tplc="46663872">
      <w:numFmt w:val="decimal"/>
      <w:lvlText w:val=""/>
      <w:lvlJc w:val="left"/>
    </w:lvl>
    <w:lvl w:ilvl="5" w:tplc="DFDA37D0">
      <w:numFmt w:val="decimal"/>
      <w:lvlText w:val=""/>
      <w:lvlJc w:val="left"/>
    </w:lvl>
    <w:lvl w:ilvl="6" w:tplc="95FC88A2">
      <w:numFmt w:val="decimal"/>
      <w:lvlText w:val=""/>
      <w:lvlJc w:val="left"/>
    </w:lvl>
    <w:lvl w:ilvl="7" w:tplc="3284491E">
      <w:numFmt w:val="decimal"/>
      <w:lvlText w:val=""/>
      <w:lvlJc w:val="left"/>
    </w:lvl>
    <w:lvl w:ilvl="8" w:tplc="5B903EBA">
      <w:numFmt w:val="decimal"/>
      <w:lvlText w:val=""/>
      <w:lvlJc w:val="left"/>
    </w:lvl>
  </w:abstractNum>
  <w:abstractNum w:abstractNumId="9"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C56CA7"/>
    <w:multiLevelType w:val="hybridMultilevel"/>
    <w:tmpl w:val="40F0C128"/>
    <w:lvl w:ilvl="0" w:tplc="A1B40C88">
      <w:start w:val="1"/>
      <w:numFmt w:val="bullet"/>
      <w:lvlText w:val=""/>
      <w:lvlJc w:val="left"/>
      <w:pPr>
        <w:tabs>
          <w:tab w:val="num" w:pos="900"/>
        </w:tabs>
        <w:ind w:left="540" w:hanging="360"/>
      </w:pPr>
      <w:rPr>
        <w:rFonts w:ascii="Symbol" w:hAnsi="Symbol" w:hint="default"/>
      </w:rPr>
    </w:lvl>
    <w:lvl w:ilvl="1" w:tplc="0E784F0E">
      <w:numFmt w:val="decimal"/>
      <w:lvlText w:val=""/>
      <w:lvlJc w:val="left"/>
    </w:lvl>
    <w:lvl w:ilvl="2" w:tplc="21D41F82">
      <w:numFmt w:val="decimal"/>
      <w:lvlText w:val=""/>
      <w:lvlJc w:val="left"/>
    </w:lvl>
    <w:lvl w:ilvl="3" w:tplc="201C27B2">
      <w:numFmt w:val="decimal"/>
      <w:lvlText w:val=""/>
      <w:lvlJc w:val="left"/>
    </w:lvl>
    <w:lvl w:ilvl="4" w:tplc="2506E476">
      <w:numFmt w:val="decimal"/>
      <w:lvlText w:val=""/>
      <w:lvlJc w:val="left"/>
    </w:lvl>
    <w:lvl w:ilvl="5" w:tplc="04D0EAC0">
      <w:numFmt w:val="decimal"/>
      <w:lvlText w:val=""/>
      <w:lvlJc w:val="left"/>
    </w:lvl>
    <w:lvl w:ilvl="6" w:tplc="74D469EA">
      <w:numFmt w:val="decimal"/>
      <w:lvlText w:val=""/>
      <w:lvlJc w:val="left"/>
    </w:lvl>
    <w:lvl w:ilvl="7" w:tplc="B5F622E6">
      <w:numFmt w:val="decimal"/>
      <w:lvlText w:val=""/>
      <w:lvlJc w:val="left"/>
    </w:lvl>
    <w:lvl w:ilvl="8" w:tplc="259048B2">
      <w:numFmt w:val="decimal"/>
      <w:lvlText w:val=""/>
      <w:lvlJc w:val="left"/>
    </w:lvl>
  </w:abstractNum>
  <w:abstractNum w:abstractNumId="11" w15:restartNumberingAfterBreak="0">
    <w:nsid w:val="629251C7"/>
    <w:multiLevelType w:val="hybridMultilevel"/>
    <w:tmpl w:val="E5B6F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1C1669"/>
    <w:multiLevelType w:val="hybridMultilevel"/>
    <w:tmpl w:val="1BF87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EEF12E5"/>
    <w:multiLevelType w:val="hybridMultilevel"/>
    <w:tmpl w:val="2E1EADDA"/>
    <w:lvl w:ilvl="0" w:tplc="F58A49FA">
      <w:start w:val="1"/>
      <w:numFmt w:val="bullet"/>
      <w:lvlText w:val=""/>
      <w:lvlJc w:val="left"/>
      <w:pPr>
        <w:tabs>
          <w:tab w:val="num" w:pos="900"/>
        </w:tabs>
        <w:ind w:left="540" w:hanging="360"/>
      </w:pPr>
      <w:rPr>
        <w:rFonts w:ascii="Symbol" w:hAnsi="Symbol" w:hint="default"/>
      </w:rPr>
    </w:lvl>
    <w:lvl w:ilvl="1" w:tplc="61CC4E3A">
      <w:numFmt w:val="decimal"/>
      <w:lvlText w:val=""/>
      <w:lvlJc w:val="left"/>
    </w:lvl>
    <w:lvl w:ilvl="2" w:tplc="8F541E8C">
      <w:numFmt w:val="decimal"/>
      <w:lvlText w:val=""/>
      <w:lvlJc w:val="left"/>
    </w:lvl>
    <w:lvl w:ilvl="3" w:tplc="49A2640E">
      <w:numFmt w:val="decimal"/>
      <w:lvlText w:val=""/>
      <w:lvlJc w:val="left"/>
    </w:lvl>
    <w:lvl w:ilvl="4" w:tplc="F7982C9C">
      <w:numFmt w:val="decimal"/>
      <w:lvlText w:val=""/>
      <w:lvlJc w:val="left"/>
    </w:lvl>
    <w:lvl w:ilvl="5" w:tplc="C04CA838">
      <w:numFmt w:val="decimal"/>
      <w:lvlText w:val=""/>
      <w:lvlJc w:val="left"/>
    </w:lvl>
    <w:lvl w:ilvl="6" w:tplc="13608D0E">
      <w:numFmt w:val="decimal"/>
      <w:lvlText w:val=""/>
      <w:lvlJc w:val="left"/>
    </w:lvl>
    <w:lvl w:ilvl="7" w:tplc="C60A05F4">
      <w:numFmt w:val="decimal"/>
      <w:lvlText w:val=""/>
      <w:lvlJc w:val="left"/>
    </w:lvl>
    <w:lvl w:ilvl="8" w:tplc="A6F6BC2A">
      <w:numFmt w:val="decimal"/>
      <w:lvlText w:val=""/>
      <w:lvlJc w:val="left"/>
    </w:lvl>
  </w:abstractNum>
  <w:num w:numId="1" w16cid:durableId="2045447244">
    <w:abstractNumId w:val="9"/>
  </w:num>
  <w:num w:numId="2" w16cid:durableId="1514109381">
    <w:abstractNumId w:val="10"/>
  </w:num>
  <w:num w:numId="3" w16cid:durableId="590503583">
    <w:abstractNumId w:val="8"/>
  </w:num>
  <w:num w:numId="4" w16cid:durableId="1546679074">
    <w:abstractNumId w:val="3"/>
  </w:num>
  <w:num w:numId="5" w16cid:durableId="65349927">
    <w:abstractNumId w:val="6"/>
  </w:num>
  <w:num w:numId="6" w16cid:durableId="1951467632">
    <w:abstractNumId w:val="2"/>
  </w:num>
  <w:num w:numId="7" w16cid:durableId="1460487031">
    <w:abstractNumId w:val="5"/>
  </w:num>
  <w:num w:numId="8" w16cid:durableId="1267424411">
    <w:abstractNumId w:val="7"/>
  </w:num>
  <w:num w:numId="9" w16cid:durableId="779572351">
    <w:abstractNumId w:val="13"/>
  </w:num>
  <w:num w:numId="10" w16cid:durableId="845677609">
    <w:abstractNumId w:val="0"/>
  </w:num>
  <w:num w:numId="11" w16cid:durableId="1756393784">
    <w:abstractNumId w:val="4"/>
  </w:num>
  <w:num w:numId="12" w16cid:durableId="836966264">
    <w:abstractNumId w:val="12"/>
  </w:num>
  <w:num w:numId="13" w16cid:durableId="1231884886">
    <w:abstractNumId w:val="1"/>
  </w:num>
  <w:num w:numId="14" w16cid:durableId="5558982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12C97"/>
    <w:rsid w:val="0001729B"/>
    <w:rsid w:val="00025DD9"/>
    <w:rsid w:val="00025EFD"/>
    <w:rsid w:val="000270E6"/>
    <w:rsid w:val="00033FD0"/>
    <w:rsid w:val="000367C4"/>
    <w:rsid w:val="00047918"/>
    <w:rsid w:val="00047A63"/>
    <w:rsid w:val="00057373"/>
    <w:rsid w:val="00057A4F"/>
    <w:rsid w:val="000659DD"/>
    <w:rsid w:val="000703C0"/>
    <w:rsid w:val="000813FA"/>
    <w:rsid w:val="000814F4"/>
    <w:rsid w:val="00087879"/>
    <w:rsid w:val="0009392A"/>
    <w:rsid w:val="00094400"/>
    <w:rsid w:val="000A177C"/>
    <w:rsid w:val="000A599E"/>
    <w:rsid w:val="000A624F"/>
    <w:rsid w:val="000B39B6"/>
    <w:rsid w:val="000B54FF"/>
    <w:rsid w:val="000B788F"/>
    <w:rsid w:val="000D0B73"/>
    <w:rsid w:val="000D0D3A"/>
    <w:rsid w:val="000E010F"/>
    <w:rsid w:val="000F1E9E"/>
    <w:rsid w:val="000F3514"/>
    <w:rsid w:val="000F3DB9"/>
    <w:rsid w:val="000F4D3C"/>
    <w:rsid w:val="0010358F"/>
    <w:rsid w:val="00105E80"/>
    <w:rsid w:val="001165BD"/>
    <w:rsid w:val="00122588"/>
    <w:rsid w:val="00124375"/>
    <w:rsid w:val="0013392B"/>
    <w:rsid w:val="00134BD0"/>
    <w:rsid w:val="0013562B"/>
    <w:rsid w:val="001359E0"/>
    <w:rsid w:val="00140898"/>
    <w:rsid w:val="00145137"/>
    <w:rsid w:val="00155188"/>
    <w:rsid w:val="00156239"/>
    <w:rsid w:val="0016090B"/>
    <w:rsid w:val="00164D5C"/>
    <w:rsid w:val="00172373"/>
    <w:rsid w:val="00173A42"/>
    <w:rsid w:val="00177C6E"/>
    <w:rsid w:val="00180629"/>
    <w:rsid w:val="0018131B"/>
    <w:rsid w:val="00191841"/>
    <w:rsid w:val="001928B8"/>
    <w:rsid w:val="00193FA1"/>
    <w:rsid w:val="001A0FB6"/>
    <w:rsid w:val="001A607C"/>
    <w:rsid w:val="001B2427"/>
    <w:rsid w:val="001B3D61"/>
    <w:rsid w:val="001C1F3F"/>
    <w:rsid w:val="001C2546"/>
    <w:rsid w:val="001C3FC2"/>
    <w:rsid w:val="001D0826"/>
    <w:rsid w:val="001D0A0C"/>
    <w:rsid w:val="001D26B1"/>
    <w:rsid w:val="001D5AA2"/>
    <w:rsid w:val="001E1674"/>
    <w:rsid w:val="001E3277"/>
    <w:rsid w:val="001E59CE"/>
    <w:rsid w:val="001F29ED"/>
    <w:rsid w:val="001F63C4"/>
    <w:rsid w:val="001F7167"/>
    <w:rsid w:val="00202173"/>
    <w:rsid w:val="00205A18"/>
    <w:rsid w:val="002115E0"/>
    <w:rsid w:val="0021317E"/>
    <w:rsid w:val="00215B74"/>
    <w:rsid w:val="002201FE"/>
    <w:rsid w:val="00221E2B"/>
    <w:rsid w:val="002227BE"/>
    <w:rsid w:val="0022362A"/>
    <w:rsid w:val="00232224"/>
    <w:rsid w:val="0023475F"/>
    <w:rsid w:val="00235CC9"/>
    <w:rsid w:val="002419CB"/>
    <w:rsid w:val="00246115"/>
    <w:rsid w:val="00250308"/>
    <w:rsid w:val="002525E1"/>
    <w:rsid w:val="00252921"/>
    <w:rsid w:val="0025570A"/>
    <w:rsid w:val="002641B3"/>
    <w:rsid w:val="0026519B"/>
    <w:rsid w:val="00265989"/>
    <w:rsid w:val="00271D0A"/>
    <w:rsid w:val="002730B1"/>
    <w:rsid w:val="00273A78"/>
    <w:rsid w:val="00274ADE"/>
    <w:rsid w:val="002752B7"/>
    <w:rsid w:val="002A29DF"/>
    <w:rsid w:val="002A5DFE"/>
    <w:rsid w:val="002A766D"/>
    <w:rsid w:val="002A7D71"/>
    <w:rsid w:val="002B0536"/>
    <w:rsid w:val="002B0DBC"/>
    <w:rsid w:val="002B26C7"/>
    <w:rsid w:val="002B4233"/>
    <w:rsid w:val="002B5475"/>
    <w:rsid w:val="002B74E8"/>
    <w:rsid w:val="002C3EBB"/>
    <w:rsid w:val="002D1043"/>
    <w:rsid w:val="002D1C36"/>
    <w:rsid w:val="002D240B"/>
    <w:rsid w:val="002D4BDE"/>
    <w:rsid w:val="002E7E11"/>
    <w:rsid w:val="002F2073"/>
    <w:rsid w:val="002F5315"/>
    <w:rsid w:val="003030C6"/>
    <w:rsid w:val="00306749"/>
    <w:rsid w:val="00307578"/>
    <w:rsid w:val="00307E23"/>
    <w:rsid w:val="00314F9E"/>
    <w:rsid w:val="00324786"/>
    <w:rsid w:val="00334207"/>
    <w:rsid w:val="00337295"/>
    <w:rsid w:val="00340A88"/>
    <w:rsid w:val="00344C46"/>
    <w:rsid w:val="00354DFA"/>
    <w:rsid w:val="003608C3"/>
    <w:rsid w:val="00363841"/>
    <w:rsid w:val="003643B7"/>
    <w:rsid w:val="0036489F"/>
    <w:rsid w:val="00377F9F"/>
    <w:rsid w:val="00381D7F"/>
    <w:rsid w:val="00394469"/>
    <w:rsid w:val="003B66C8"/>
    <w:rsid w:val="003B6E44"/>
    <w:rsid w:val="003C036B"/>
    <w:rsid w:val="003C183F"/>
    <w:rsid w:val="003C6D44"/>
    <w:rsid w:val="003C6E67"/>
    <w:rsid w:val="003D01E8"/>
    <w:rsid w:val="003D16CE"/>
    <w:rsid w:val="003D271C"/>
    <w:rsid w:val="003D3A4A"/>
    <w:rsid w:val="003D454A"/>
    <w:rsid w:val="003F080D"/>
    <w:rsid w:val="003F6669"/>
    <w:rsid w:val="003F751D"/>
    <w:rsid w:val="00401F20"/>
    <w:rsid w:val="0040606A"/>
    <w:rsid w:val="00411858"/>
    <w:rsid w:val="00420261"/>
    <w:rsid w:val="004247C4"/>
    <w:rsid w:val="00427100"/>
    <w:rsid w:val="00433C6A"/>
    <w:rsid w:val="0043413E"/>
    <w:rsid w:val="00436119"/>
    <w:rsid w:val="004372CC"/>
    <w:rsid w:val="00437503"/>
    <w:rsid w:val="00441B34"/>
    <w:rsid w:val="00445BC3"/>
    <w:rsid w:val="00446E15"/>
    <w:rsid w:val="00447DDD"/>
    <w:rsid w:val="00454B41"/>
    <w:rsid w:val="00460D0B"/>
    <w:rsid w:val="00471DD6"/>
    <w:rsid w:val="004769D2"/>
    <w:rsid w:val="00486035"/>
    <w:rsid w:val="0048645D"/>
    <w:rsid w:val="0049249C"/>
    <w:rsid w:val="00493C85"/>
    <w:rsid w:val="004A163F"/>
    <w:rsid w:val="004A3665"/>
    <w:rsid w:val="004A532F"/>
    <w:rsid w:val="004A6B43"/>
    <w:rsid w:val="004A7A1D"/>
    <w:rsid w:val="004B1948"/>
    <w:rsid w:val="004B2907"/>
    <w:rsid w:val="004B2B74"/>
    <w:rsid w:val="004B4A18"/>
    <w:rsid w:val="004B4C0C"/>
    <w:rsid w:val="004B5FEB"/>
    <w:rsid w:val="004C27D6"/>
    <w:rsid w:val="004C3B69"/>
    <w:rsid w:val="004D0689"/>
    <w:rsid w:val="004D469A"/>
    <w:rsid w:val="004D59AC"/>
    <w:rsid w:val="004D7180"/>
    <w:rsid w:val="004E233B"/>
    <w:rsid w:val="00501F8F"/>
    <w:rsid w:val="005060D6"/>
    <w:rsid w:val="00506A75"/>
    <w:rsid w:val="00507B11"/>
    <w:rsid w:val="005118F8"/>
    <w:rsid w:val="00515A06"/>
    <w:rsid w:val="00515A8F"/>
    <w:rsid w:val="005218B6"/>
    <w:rsid w:val="00522C8C"/>
    <w:rsid w:val="005252E0"/>
    <w:rsid w:val="0053287C"/>
    <w:rsid w:val="005329E0"/>
    <w:rsid w:val="00540A0D"/>
    <w:rsid w:val="0054370C"/>
    <w:rsid w:val="005505E2"/>
    <w:rsid w:val="00551537"/>
    <w:rsid w:val="005631EB"/>
    <w:rsid w:val="005765D7"/>
    <w:rsid w:val="00595F99"/>
    <w:rsid w:val="00596AED"/>
    <w:rsid w:val="005A19AA"/>
    <w:rsid w:val="005A2D53"/>
    <w:rsid w:val="005A352B"/>
    <w:rsid w:val="005A6487"/>
    <w:rsid w:val="005A7B4A"/>
    <w:rsid w:val="005B08EB"/>
    <w:rsid w:val="005B47EC"/>
    <w:rsid w:val="005B6521"/>
    <w:rsid w:val="005D3069"/>
    <w:rsid w:val="005D62D8"/>
    <w:rsid w:val="005D673A"/>
    <w:rsid w:val="005E3684"/>
    <w:rsid w:val="005E4B07"/>
    <w:rsid w:val="005E5816"/>
    <w:rsid w:val="005E5FA0"/>
    <w:rsid w:val="006050E9"/>
    <w:rsid w:val="006121F1"/>
    <w:rsid w:val="00612CD7"/>
    <w:rsid w:val="00613338"/>
    <w:rsid w:val="006178C0"/>
    <w:rsid w:val="00622FDA"/>
    <w:rsid w:val="00626289"/>
    <w:rsid w:val="00631DC1"/>
    <w:rsid w:val="006423FA"/>
    <w:rsid w:val="006453CF"/>
    <w:rsid w:val="00645FA1"/>
    <w:rsid w:val="00650F70"/>
    <w:rsid w:val="00651282"/>
    <w:rsid w:val="0065178E"/>
    <w:rsid w:val="006535A5"/>
    <w:rsid w:val="00661FE9"/>
    <w:rsid w:val="00662D16"/>
    <w:rsid w:val="00663DAB"/>
    <w:rsid w:val="0066696F"/>
    <w:rsid w:val="00671435"/>
    <w:rsid w:val="006715A8"/>
    <w:rsid w:val="00671ED9"/>
    <w:rsid w:val="00676B5C"/>
    <w:rsid w:val="006833D8"/>
    <w:rsid w:val="006975E0"/>
    <w:rsid w:val="00697B0D"/>
    <w:rsid w:val="006A12C3"/>
    <w:rsid w:val="006A4B16"/>
    <w:rsid w:val="006B2105"/>
    <w:rsid w:val="006B3C1F"/>
    <w:rsid w:val="006C188D"/>
    <w:rsid w:val="006C61F9"/>
    <w:rsid w:val="006D0F12"/>
    <w:rsid w:val="006D1AB9"/>
    <w:rsid w:val="006D256B"/>
    <w:rsid w:val="006D301A"/>
    <w:rsid w:val="006E49B3"/>
    <w:rsid w:val="006E7E8B"/>
    <w:rsid w:val="006F1A74"/>
    <w:rsid w:val="006F2731"/>
    <w:rsid w:val="006F44D6"/>
    <w:rsid w:val="006F6A1B"/>
    <w:rsid w:val="006F7FF3"/>
    <w:rsid w:val="007060A7"/>
    <w:rsid w:val="00707530"/>
    <w:rsid w:val="00712097"/>
    <w:rsid w:val="007150A0"/>
    <w:rsid w:val="00720C40"/>
    <w:rsid w:val="00722FDD"/>
    <w:rsid w:val="0072535F"/>
    <w:rsid w:val="007373B8"/>
    <w:rsid w:val="00751F0F"/>
    <w:rsid w:val="00752B5E"/>
    <w:rsid w:val="00755D2F"/>
    <w:rsid w:val="0076262F"/>
    <w:rsid w:val="0076798A"/>
    <w:rsid w:val="00774E52"/>
    <w:rsid w:val="00776C1F"/>
    <w:rsid w:val="00781DC9"/>
    <w:rsid w:val="00790944"/>
    <w:rsid w:val="007937FD"/>
    <w:rsid w:val="007A1D98"/>
    <w:rsid w:val="007A2D1E"/>
    <w:rsid w:val="007A6CC5"/>
    <w:rsid w:val="007B0955"/>
    <w:rsid w:val="007B3E09"/>
    <w:rsid w:val="007B6BEA"/>
    <w:rsid w:val="007C23EB"/>
    <w:rsid w:val="007D2A73"/>
    <w:rsid w:val="007E09C4"/>
    <w:rsid w:val="007E4B11"/>
    <w:rsid w:val="007E7E5A"/>
    <w:rsid w:val="007F5F63"/>
    <w:rsid w:val="007F6430"/>
    <w:rsid w:val="00801EF5"/>
    <w:rsid w:val="00802608"/>
    <w:rsid w:val="008035E7"/>
    <w:rsid w:val="0080535A"/>
    <w:rsid w:val="00806B88"/>
    <w:rsid w:val="008206B5"/>
    <w:rsid w:val="0083236A"/>
    <w:rsid w:val="00833F1C"/>
    <w:rsid w:val="00835DC6"/>
    <w:rsid w:val="00836571"/>
    <w:rsid w:val="00837CF7"/>
    <w:rsid w:val="008401EB"/>
    <w:rsid w:val="008419E9"/>
    <w:rsid w:val="00845C03"/>
    <w:rsid w:val="00846114"/>
    <w:rsid w:val="00850712"/>
    <w:rsid w:val="00851A02"/>
    <w:rsid w:val="0085424E"/>
    <w:rsid w:val="00854AC0"/>
    <w:rsid w:val="008564A9"/>
    <w:rsid w:val="008621F2"/>
    <w:rsid w:val="00862476"/>
    <w:rsid w:val="00862C5C"/>
    <w:rsid w:val="0086519D"/>
    <w:rsid w:val="0086692A"/>
    <w:rsid w:val="0087565A"/>
    <w:rsid w:val="008764A7"/>
    <w:rsid w:val="008804AB"/>
    <w:rsid w:val="00882348"/>
    <w:rsid w:val="008849CD"/>
    <w:rsid w:val="008873AE"/>
    <w:rsid w:val="00892562"/>
    <w:rsid w:val="0089317E"/>
    <w:rsid w:val="008A0FE9"/>
    <w:rsid w:val="008B48C8"/>
    <w:rsid w:val="008B4958"/>
    <w:rsid w:val="008B5AF2"/>
    <w:rsid w:val="008C2B13"/>
    <w:rsid w:val="008C2CA6"/>
    <w:rsid w:val="008C3927"/>
    <w:rsid w:val="008D0A5D"/>
    <w:rsid w:val="008E3691"/>
    <w:rsid w:val="008E5A78"/>
    <w:rsid w:val="008E7DD4"/>
    <w:rsid w:val="00900A9A"/>
    <w:rsid w:val="00904E24"/>
    <w:rsid w:val="009148C8"/>
    <w:rsid w:val="00915EFB"/>
    <w:rsid w:val="0092063D"/>
    <w:rsid w:val="0092095F"/>
    <w:rsid w:val="00921E6B"/>
    <w:rsid w:val="00925068"/>
    <w:rsid w:val="00937C1F"/>
    <w:rsid w:val="00937D5D"/>
    <w:rsid w:val="009430D9"/>
    <w:rsid w:val="00943CA8"/>
    <w:rsid w:val="0094637C"/>
    <w:rsid w:val="00946B35"/>
    <w:rsid w:val="009514CE"/>
    <w:rsid w:val="00952338"/>
    <w:rsid w:val="00953566"/>
    <w:rsid w:val="009552B1"/>
    <w:rsid w:val="00972A81"/>
    <w:rsid w:val="00975533"/>
    <w:rsid w:val="00982A1E"/>
    <w:rsid w:val="00983287"/>
    <w:rsid w:val="00986E86"/>
    <w:rsid w:val="009A467F"/>
    <w:rsid w:val="009A68FA"/>
    <w:rsid w:val="009A6AEE"/>
    <w:rsid w:val="009B000C"/>
    <w:rsid w:val="009B19B2"/>
    <w:rsid w:val="009B7F54"/>
    <w:rsid w:val="009C732E"/>
    <w:rsid w:val="009D2D67"/>
    <w:rsid w:val="009D3326"/>
    <w:rsid w:val="009D7B7E"/>
    <w:rsid w:val="009E12DE"/>
    <w:rsid w:val="009E3508"/>
    <w:rsid w:val="009E414E"/>
    <w:rsid w:val="009E41E0"/>
    <w:rsid w:val="009F05BE"/>
    <w:rsid w:val="009F0CF1"/>
    <w:rsid w:val="00A05DB9"/>
    <w:rsid w:val="00A06D7F"/>
    <w:rsid w:val="00A07BCF"/>
    <w:rsid w:val="00A10265"/>
    <w:rsid w:val="00A110FF"/>
    <w:rsid w:val="00A12E29"/>
    <w:rsid w:val="00A14F68"/>
    <w:rsid w:val="00A201D7"/>
    <w:rsid w:val="00A234DA"/>
    <w:rsid w:val="00A25141"/>
    <w:rsid w:val="00A26DC7"/>
    <w:rsid w:val="00A27796"/>
    <w:rsid w:val="00A31B9B"/>
    <w:rsid w:val="00A400BF"/>
    <w:rsid w:val="00A41007"/>
    <w:rsid w:val="00A47944"/>
    <w:rsid w:val="00A534CB"/>
    <w:rsid w:val="00A63A13"/>
    <w:rsid w:val="00A63CF1"/>
    <w:rsid w:val="00A64A25"/>
    <w:rsid w:val="00A72724"/>
    <w:rsid w:val="00A73A38"/>
    <w:rsid w:val="00A779FB"/>
    <w:rsid w:val="00A80068"/>
    <w:rsid w:val="00A80AD4"/>
    <w:rsid w:val="00A92689"/>
    <w:rsid w:val="00A9689C"/>
    <w:rsid w:val="00AA73E2"/>
    <w:rsid w:val="00AB5936"/>
    <w:rsid w:val="00AC2476"/>
    <w:rsid w:val="00AC2EB4"/>
    <w:rsid w:val="00AC66CB"/>
    <w:rsid w:val="00AC6E71"/>
    <w:rsid w:val="00AD1CD4"/>
    <w:rsid w:val="00AD3647"/>
    <w:rsid w:val="00AD653F"/>
    <w:rsid w:val="00AE5825"/>
    <w:rsid w:val="00AE6C05"/>
    <w:rsid w:val="00AF2A3B"/>
    <w:rsid w:val="00AF3FFE"/>
    <w:rsid w:val="00AF51EF"/>
    <w:rsid w:val="00AF76AE"/>
    <w:rsid w:val="00B003D5"/>
    <w:rsid w:val="00B00ABA"/>
    <w:rsid w:val="00B07888"/>
    <w:rsid w:val="00B07C49"/>
    <w:rsid w:val="00B104C7"/>
    <w:rsid w:val="00B12D23"/>
    <w:rsid w:val="00B2308D"/>
    <w:rsid w:val="00B246F4"/>
    <w:rsid w:val="00B325CF"/>
    <w:rsid w:val="00B336A2"/>
    <w:rsid w:val="00B37EDA"/>
    <w:rsid w:val="00B47AF5"/>
    <w:rsid w:val="00B5095B"/>
    <w:rsid w:val="00B529EF"/>
    <w:rsid w:val="00B53F71"/>
    <w:rsid w:val="00B6461D"/>
    <w:rsid w:val="00B656AE"/>
    <w:rsid w:val="00B72B8F"/>
    <w:rsid w:val="00B72E92"/>
    <w:rsid w:val="00B748CD"/>
    <w:rsid w:val="00B773AA"/>
    <w:rsid w:val="00B87F71"/>
    <w:rsid w:val="00B93138"/>
    <w:rsid w:val="00B934E9"/>
    <w:rsid w:val="00B951F2"/>
    <w:rsid w:val="00BA086E"/>
    <w:rsid w:val="00BA1BA9"/>
    <w:rsid w:val="00BA65D9"/>
    <w:rsid w:val="00BB3E43"/>
    <w:rsid w:val="00BB5071"/>
    <w:rsid w:val="00BB6A7A"/>
    <w:rsid w:val="00BC2B2B"/>
    <w:rsid w:val="00BC3128"/>
    <w:rsid w:val="00BC4D43"/>
    <w:rsid w:val="00BD20B8"/>
    <w:rsid w:val="00BD29F3"/>
    <w:rsid w:val="00BD64D4"/>
    <w:rsid w:val="00BE35A6"/>
    <w:rsid w:val="00BF157E"/>
    <w:rsid w:val="00BF491E"/>
    <w:rsid w:val="00C05F99"/>
    <w:rsid w:val="00C14341"/>
    <w:rsid w:val="00C14419"/>
    <w:rsid w:val="00C17BFC"/>
    <w:rsid w:val="00C200FC"/>
    <w:rsid w:val="00C213BB"/>
    <w:rsid w:val="00C249F1"/>
    <w:rsid w:val="00C253B5"/>
    <w:rsid w:val="00C314C2"/>
    <w:rsid w:val="00C4175E"/>
    <w:rsid w:val="00C41CD8"/>
    <w:rsid w:val="00C72BA4"/>
    <w:rsid w:val="00C72C9D"/>
    <w:rsid w:val="00C740CB"/>
    <w:rsid w:val="00C85D14"/>
    <w:rsid w:val="00C90525"/>
    <w:rsid w:val="00C97728"/>
    <w:rsid w:val="00CA3055"/>
    <w:rsid w:val="00CA54CA"/>
    <w:rsid w:val="00CB18C0"/>
    <w:rsid w:val="00CB3683"/>
    <w:rsid w:val="00CB5B68"/>
    <w:rsid w:val="00CB609F"/>
    <w:rsid w:val="00CB642A"/>
    <w:rsid w:val="00CD05EA"/>
    <w:rsid w:val="00CD165F"/>
    <w:rsid w:val="00CD32FC"/>
    <w:rsid w:val="00CD49AC"/>
    <w:rsid w:val="00CD7946"/>
    <w:rsid w:val="00CE075D"/>
    <w:rsid w:val="00CE1E46"/>
    <w:rsid w:val="00CF3C91"/>
    <w:rsid w:val="00CF4D32"/>
    <w:rsid w:val="00CF544B"/>
    <w:rsid w:val="00CF6952"/>
    <w:rsid w:val="00D07BEB"/>
    <w:rsid w:val="00D2053B"/>
    <w:rsid w:val="00D30982"/>
    <w:rsid w:val="00D31811"/>
    <w:rsid w:val="00D3283E"/>
    <w:rsid w:val="00D34811"/>
    <w:rsid w:val="00D367CF"/>
    <w:rsid w:val="00D409A3"/>
    <w:rsid w:val="00D41F68"/>
    <w:rsid w:val="00D43A9D"/>
    <w:rsid w:val="00D47BFD"/>
    <w:rsid w:val="00D52E33"/>
    <w:rsid w:val="00D5647F"/>
    <w:rsid w:val="00D574EF"/>
    <w:rsid w:val="00D6136A"/>
    <w:rsid w:val="00D64FA0"/>
    <w:rsid w:val="00D673BD"/>
    <w:rsid w:val="00D7587E"/>
    <w:rsid w:val="00D75CDB"/>
    <w:rsid w:val="00D861F8"/>
    <w:rsid w:val="00D90E95"/>
    <w:rsid w:val="00D91BF7"/>
    <w:rsid w:val="00DA2ABC"/>
    <w:rsid w:val="00DA537C"/>
    <w:rsid w:val="00DA7E71"/>
    <w:rsid w:val="00DB480E"/>
    <w:rsid w:val="00DC43A7"/>
    <w:rsid w:val="00DD0E73"/>
    <w:rsid w:val="00DD120D"/>
    <w:rsid w:val="00DD4AA5"/>
    <w:rsid w:val="00DE7751"/>
    <w:rsid w:val="00DF024C"/>
    <w:rsid w:val="00DF7695"/>
    <w:rsid w:val="00E05783"/>
    <w:rsid w:val="00E10B46"/>
    <w:rsid w:val="00E15745"/>
    <w:rsid w:val="00E2132F"/>
    <w:rsid w:val="00E32E93"/>
    <w:rsid w:val="00E34AB3"/>
    <w:rsid w:val="00E40A60"/>
    <w:rsid w:val="00E4591B"/>
    <w:rsid w:val="00E46A59"/>
    <w:rsid w:val="00E50EFD"/>
    <w:rsid w:val="00E529E4"/>
    <w:rsid w:val="00E52D07"/>
    <w:rsid w:val="00E5511A"/>
    <w:rsid w:val="00E55565"/>
    <w:rsid w:val="00E62AC2"/>
    <w:rsid w:val="00E70586"/>
    <w:rsid w:val="00E724BB"/>
    <w:rsid w:val="00E755FF"/>
    <w:rsid w:val="00E77C97"/>
    <w:rsid w:val="00E77D13"/>
    <w:rsid w:val="00E81535"/>
    <w:rsid w:val="00E84004"/>
    <w:rsid w:val="00E8677B"/>
    <w:rsid w:val="00E90AB0"/>
    <w:rsid w:val="00E914DF"/>
    <w:rsid w:val="00E915D1"/>
    <w:rsid w:val="00EA481A"/>
    <w:rsid w:val="00EA6813"/>
    <w:rsid w:val="00EA7751"/>
    <w:rsid w:val="00EA7F98"/>
    <w:rsid w:val="00EB39B5"/>
    <w:rsid w:val="00EC052D"/>
    <w:rsid w:val="00EC130E"/>
    <w:rsid w:val="00EC4D6B"/>
    <w:rsid w:val="00EC5D28"/>
    <w:rsid w:val="00ED4000"/>
    <w:rsid w:val="00ED7973"/>
    <w:rsid w:val="00EE1ED2"/>
    <w:rsid w:val="00EE5B78"/>
    <w:rsid w:val="00EE71EA"/>
    <w:rsid w:val="00EE7E20"/>
    <w:rsid w:val="00EF4249"/>
    <w:rsid w:val="00EF6399"/>
    <w:rsid w:val="00EF7323"/>
    <w:rsid w:val="00F025B2"/>
    <w:rsid w:val="00F059CF"/>
    <w:rsid w:val="00F06E69"/>
    <w:rsid w:val="00F120BB"/>
    <w:rsid w:val="00F17BB0"/>
    <w:rsid w:val="00F241D4"/>
    <w:rsid w:val="00F26353"/>
    <w:rsid w:val="00F32336"/>
    <w:rsid w:val="00F37C25"/>
    <w:rsid w:val="00F40CD7"/>
    <w:rsid w:val="00F50DE2"/>
    <w:rsid w:val="00F5238F"/>
    <w:rsid w:val="00F54F9D"/>
    <w:rsid w:val="00F604D9"/>
    <w:rsid w:val="00F6079E"/>
    <w:rsid w:val="00F702E2"/>
    <w:rsid w:val="00F7409F"/>
    <w:rsid w:val="00F83459"/>
    <w:rsid w:val="00F857C3"/>
    <w:rsid w:val="00F87168"/>
    <w:rsid w:val="00F97600"/>
    <w:rsid w:val="00F97E1E"/>
    <w:rsid w:val="00FA3199"/>
    <w:rsid w:val="00FA76F1"/>
    <w:rsid w:val="00FC09ED"/>
    <w:rsid w:val="00FC20DA"/>
    <w:rsid w:val="00FC226C"/>
    <w:rsid w:val="00FC43DE"/>
    <w:rsid w:val="00FC6BCF"/>
    <w:rsid w:val="00FD49A6"/>
    <w:rsid w:val="00FD5C8D"/>
    <w:rsid w:val="00FD604E"/>
    <w:rsid w:val="00FD6A53"/>
    <w:rsid w:val="00FE13B5"/>
    <w:rsid w:val="00FE6F07"/>
    <w:rsid w:val="00FF05FF"/>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52CE5C"/>
  <w15:docId w15:val="{84B61BFF-09BE-4B72-9C7D-63ECBCEEC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character" w:styleId="UnresolvedMention">
    <w:name w:val="Unresolved Mention"/>
    <w:basedOn w:val="DefaultParagraphFont"/>
    <w:uiPriority w:val="99"/>
    <w:semiHidden/>
    <w:unhideWhenUsed/>
    <w:rsid w:val="00CF6952"/>
    <w:rPr>
      <w:color w:val="605E5C"/>
      <w:shd w:val="clear" w:color="auto" w:fill="E1DFDD"/>
    </w:rPr>
  </w:style>
  <w:style w:type="paragraph" w:styleId="Caption">
    <w:name w:val="caption"/>
    <w:basedOn w:val="Normal"/>
    <w:next w:val="Normal"/>
    <w:uiPriority w:val="35"/>
    <w:unhideWhenUsed/>
    <w:qFormat/>
    <w:rsid w:val="000367C4"/>
    <w:pPr>
      <w:spacing w:after="200"/>
    </w:pPr>
    <w:rPr>
      <w:i/>
      <w:iCs/>
      <w:color w:val="1F497D" w:themeColor="text2"/>
      <w:sz w:val="18"/>
      <w:szCs w:val="18"/>
    </w:rPr>
  </w:style>
  <w:style w:type="table" w:customStyle="1" w:styleId="NormalGrid">
    <w:name w:val="Normal Grid"/>
    <w:basedOn w:val="TableNormal"/>
    <w:uiPriority w:val="39"/>
    <w:rsid w:val="0065178E"/>
    <w:rPr>
      <w:rFonts w:ascii="Georgia" w:eastAsiaTheme="minorHAnsi" w:hAnsiTheme="minorHAnsi" w:cstheme="minorBidi"/>
      <w:sz w:val="21"/>
      <w:szCs w:val="22"/>
      <w:lang w:val="es-ES" w:eastAsia="en-US"/>
    </w:rPr>
    <w:tblPr>
      <w:tblCellMar>
        <w:top w:w="80" w:type="dxa"/>
        <w:left w:w="160" w:type="dxa"/>
        <w:bottom w:w="80" w:type="dxa"/>
        <w:right w:w="160" w:type="dxa"/>
      </w:tblCellMar>
    </w:tblPr>
  </w:style>
  <w:style w:type="paragraph" w:customStyle="1" w:styleId="References">
    <w:name w:val="References"/>
    <w:basedOn w:val="Normal"/>
    <w:qFormat/>
    <w:rsid w:val="00BD29F3"/>
    <w:pPr>
      <w:spacing w:after="120" w:line="360" w:lineRule="auto"/>
      <w:ind w:left="567" w:hanging="567"/>
    </w:pPr>
    <w:rPr>
      <w:rFonts w:ascii="Times New Roman" w:eastAsia="Times New Roman" w:hAnsi="Times New Roman"/>
      <w:sz w:val="20"/>
      <w:lang w:val="en-AU" w:eastAsia="en-US"/>
    </w:rPr>
  </w:style>
  <w:style w:type="paragraph" w:styleId="ListParagraph">
    <w:name w:val="List Paragraph"/>
    <w:basedOn w:val="Normal"/>
    <w:uiPriority w:val="34"/>
    <w:qFormat/>
    <w:rsid w:val="000F1E9E"/>
    <w:pPr>
      <w:ind w:left="720"/>
      <w:contextualSpacing/>
    </w:pPr>
  </w:style>
  <w:style w:type="character" w:styleId="CommentReference">
    <w:name w:val="annotation reference"/>
    <w:basedOn w:val="DefaultParagraphFont"/>
    <w:uiPriority w:val="99"/>
    <w:semiHidden/>
    <w:unhideWhenUsed/>
    <w:rsid w:val="00124375"/>
    <w:rPr>
      <w:sz w:val="16"/>
      <w:szCs w:val="16"/>
    </w:rPr>
  </w:style>
  <w:style w:type="paragraph" w:styleId="CommentText">
    <w:name w:val="annotation text"/>
    <w:basedOn w:val="Normal"/>
    <w:link w:val="CommentTextChar"/>
    <w:uiPriority w:val="99"/>
    <w:unhideWhenUsed/>
    <w:rsid w:val="00124375"/>
    <w:rPr>
      <w:sz w:val="20"/>
      <w:szCs w:val="20"/>
    </w:rPr>
  </w:style>
  <w:style w:type="character" w:customStyle="1" w:styleId="CommentTextChar">
    <w:name w:val="Comment Text Char"/>
    <w:basedOn w:val="DefaultParagraphFont"/>
    <w:link w:val="CommentText"/>
    <w:uiPriority w:val="99"/>
    <w:rsid w:val="00124375"/>
  </w:style>
  <w:style w:type="paragraph" w:styleId="CommentSubject">
    <w:name w:val="annotation subject"/>
    <w:basedOn w:val="CommentText"/>
    <w:next w:val="CommentText"/>
    <w:link w:val="CommentSubjectChar"/>
    <w:uiPriority w:val="99"/>
    <w:semiHidden/>
    <w:unhideWhenUsed/>
    <w:rsid w:val="00124375"/>
    <w:rPr>
      <w:b/>
      <w:bCs/>
    </w:rPr>
  </w:style>
  <w:style w:type="character" w:customStyle="1" w:styleId="CommentSubjectChar">
    <w:name w:val="Comment Subject Char"/>
    <w:basedOn w:val="CommentTextChar"/>
    <w:link w:val="CommentSubject"/>
    <w:uiPriority w:val="99"/>
    <w:semiHidden/>
    <w:rsid w:val="001243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chart" Target="charts/chart1.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webSettings" Target="webSettings.xml"/><Relationship Id="rId12" Type="http://schemas.openxmlformats.org/officeDocument/2006/relationships/hyperlink" Target="mailto:fangeles@antamina.com" TargetMode="External"/><Relationship Id="rId17" Type="http://schemas.openxmlformats.org/officeDocument/2006/relationships/image" Target="media/image1.png"/><Relationship Id="rId25"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ocabrera@antamina.com" TargetMode="External"/><Relationship Id="rId24" Type="http://schemas.openxmlformats.org/officeDocument/2006/relationships/image" Target="media/image7.png"/><Relationship Id="rId5" Type="http://schemas.openxmlformats.org/officeDocument/2006/relationships/styles" Target="styles.xml"/><Relationship Id="rId15" Type="http://schemas.openxmlformats.org/officeDocument/2006/relationships/footer" Target="footer1.xml"/><Relationship Id="rId23" Type="http://schemas.openxmlformats.org/officeDocument/2006/relationships/image" Target="media/image6.png"/><Relationship Id="rId10" Type="http://schemas.openxmlformats.org/officeDocument/2006/relationships/hyperlink" Target="mailto:cquirozc@antamina.com" TargetMode="External"/><Relationship Id="rId19"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2" Type="http://schemas.openxmlformats.org/officeDocument/2006/relationships/image" Target="media/image5.png"/><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embeddings/oleObject1.bin"/><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028431205782262"/>
          <c:y val="4.8629531388152077E-2"/>
          <c:w val="0.84470142050344177"/>
          <c:h val="0.82328821960915366"/>
        </c:manualLayout>
      </c:layout>
      <c:barChart>
        <c:barDir val="col"/>
        <c:grouping val="clustered"/>
        <c:varyColors val="0"/>
        <c:dLbls>
          <c:showLegendKey val="0"/>
          <c:showVal val="0"/>
          <c:showCatName val="0"/>
          <c:showSerName val="0"/>
          <c:showPercent val="0"/>
          <c:showBubbleSize val="0"/>
        </c:dLbls>
        <c:gapWidth val="150"/>
        <c:axId val="1508765199"/>
        <c:axId val="1328259183"/>
        <c:extLst>
          <c:ext xmlns:c15="http://schemas.microsoft.com/office/drawing/2012/chart" uri="{02D57815-91ED-43cb-92C2-25804820EDAC}">
            <c15:filteredBarSeries>
              <c15:ser>
                <c:idx val="3"/>
                <c:order val="2"/>
                <c:tx>
                  <c:strRef>
                    <c:extLst>
                      <c:ext uri="{02D57815-91ED-43cb-92C2-25804820EDAC}">
                        <c15:formulaRef>
                          <c15:sqref>'Graficas_consumo (2)'!$B$44</c15:sqref>
                        </c15:formulaRef>
                      </c:ext>
                    </c:extLst>
                    <c:strCache>
                      <c:ptCount val="1"/>
                      <c:pt idx="0">
                        <c:v>Filtrado (Convencional)</c:v>
                      </c:pt>
                    </c:strCache>
                  </c:strRef>
                </c:tx>
                <c:spPr>
                  <a:solidFill>
                    <a:srgbClr val="BFBFBF"/>
                  </a:solidFill>
                  <a:ln w="12700">
                    <a:noFill/>
                  </a:ln>
                  <a:effectLst/>
                </c:spPr>
                <c:invertIfNegative val="0"/>
                <c:val>
                  <c:numRef>
                    <c:extLst>
                      <c:ext uri="{02D57815-91ED-43cb-92C2-25804820EDAC}">
                        <c15:formulaRef>
                          <c15:sqref>'Graficas_consumo (2)'!$D$5:$W$5</c15:sqref>
                        </c15:formulaRef>
                      </c:ext>
                    </c:extLst>
                    <c:numCache>
                      <c:formatCode>General</c:formatCode>
                      <c:ptCount val="20"/>
                      <c:pt idx="13">
                        <c:v>32.137747971688711</c:v>
                      </c:pt>
                      <c:pt idx="14">
                        <c:v>53.990908258601962</c:v>
                      </c:pt>
                      <c:pt idx="15">
                        <c:v>53.598612993181384</c:v>
                      </c:pt>
                      <c:pt idx="16">
                        <c:v>53.140786995108989</c:v>
                      </c:pt>
                      <c:pt idx="17">
                        <c:v>53.702403093500692</c:v>
                      </c:pt>
                      <c:pt idx="18">
                        <c:v>54.359292036071231</c:v>
                      </c:pt>
                      <c:pt idx="19">
                        <c:v>21.935077919845934</c:v>
                      </c:pt>
                    </c:numCache>
                  </c:numRef>
                </c:val>
                <c:extLst>
                  <c:ext xmlns:c16="http://schemas.microsoft.com/office/drawing/2014/chart" uri="{C3380CC4-5D6E-409C-BE32-E72D297353CC}">
                    <c16:uniqueId val="{00000004-E0D8-4401-97D4-8709E8F0EFA0}"/>
                  </c:ext>
                </c:extLst>
              </c15:ser>
            </c15:filteredBarSeries>
            <c15:filteredBarSeries>
              <c15:ser>
                <c:idx val="6"/>
                <c:order val="4"/>
                <c:spPr>
                  <a:solidFill>
                    <a:srgbClr val="008080"/>
                  </a:solidFill>
                  <a:ln w="12700">
                    <a:solidFill>
                      <a:schemeClr val="tx1"/>
                    </a:solidFill>
                    <a:prstDash val="solid"/>
                  </a:ln>
                  <a:effectLst/>
                </c:spPr>
                <c:invertIfNegative val="0"/>
                <c:val>
                  <c:numRef>
                    <c:extLst xmlns:c15="http://schemas.microsoft.com/office/drawing/2012/chart">
                      <c:ext xmlns:c15="http://schemas.microsoft.com/office/drawing/2012/chart" uri="{02D57815-91ED-43cb-92C2-25804820EDAC}">
                        <c15:formulaRef>
                          <c15:sqref>'Graficas_consumo (2)'!$D$16:$AD$16</c15:sqref>
                        </c15:formulaRef>
                      </c:ext>
                    </c:extLst>
                    <c:numCache>
                      <c:formatCode>General</c:formatCode>
                      <c:ptCount val="27"/>
                      <c:pt idx="21">
                        <c:v>22.915834029755771</c:v>
                      </c:pt>
                      <c:pt idx="22">
                        <c:v>42.897228777435849</c:v>
                      </c:pt>
                      <c:pt idx="23">
                        <c:v>43.379268092385765</c:v>
                      </c:pt>
                      <c:pt idx="24">
                        <c:v>42.870130955966225</c:v>
                      </c:pt>
                      <c:pt idx="25">
                        <c:v>42.888308273314145</c:v>
                      </c:pt>
                      <c:pt idx="26">
                        <c:v>40.831410373715116</c:v>
                      </c:pt>
                    </c:numCache>
                  </c:numRef>
                </c:val>
                <c:extLst xmlns:c15="http://schemas.microsoft.com/office/drawing/2012/chart">
                  <c:ext xmlns:c16="http://schemas.microsoft.com/office/drawing/2014/chart" uri="{C3380CC4-5D6E-409C-BE32-E72D297353CC}">
                    <c16:uniqueId val="{00000005-E0D8-4401-97D4-8709E8F0EFA0}"/>
                  </c:ext>
                </c:extLst>
              </c15:ser>
            </c15:filteredBarSeries>
          </c:ext>
        </c:extLst>
      </c:barChart>
      <c:lineChart>
        <c:grouping val="standard"/>
        <c:varyColors val="0"/>
        <c:ser>
          <c:idx val="5"/>
          <c:order val="3"/>
          <c:tx>
            <c:strRef>
              <c:f>'Graficas_consumo (2)'!$V$93</c:f>
              <c:strCache>
                <c:ptCount val="1"/>
                <c:pt idx="0">
                  <c:v>Commingling</c:v>
                </c:pt>
              </c:strCache>
            </c:strRef>
          </c:tx>
          <c:spPr>
            <a:ln w="19050" cap="rnd">
              <a:solidFill>
                <a:srgbClr val="268C8A"/>
              </a:solidFill>
              <a:prstDash val="solid"/>
              <a:round/>
            </a:ln>
            <a:effectLst/>
          </c:spPr>
          <c:marker>
            <c:symbol val="none"/>
          </c:marker>
          <c:cat>
            <c:numRef>
              <c:f>'Graficas_consumo (2)'!$D$1:$W$1</c:f>
              <c:numCache>
                <c:formatCode>General</c:formatCode>
                <c:ptCount val="20"/>
                <c:pt idx="0">
                  <c:v>2023</c:v>
                </c:pt>
                <c:pt idx="1">
                  <c:v>2024</c:v>
                </c:pt>
                <c:pt idx="2">
                  <c:v>2025</c:v>
                </c:pt>
                <c:pt idx="3">
                  <c:v>2026</c:v>
                </c:pt>
                <c:pt idx="4">
                  <c:v>2027</c:v>
                </c:pt>
                <c:pt idx="5">
                  <c:v>2028</c:v>
                </c:pt>
                <c:pt idx="6">
                  <c:v>2029</c:v>
                </c:pt>
                <c:pt idx="7">
                  <c:v>2030</c:v>
                </c:pt>
                <c:pt idx="8">
                  <c:v>2031</c:v>
                </c:pt>
                <c:pt idx="9">
                  <c:v>2032</c:v>
                </c:pt>
                <c:pt idx="10">
                  <c:v>2033</c:v>
                </c:pt>
                <c:pt idx="11">
                  <c:v>2034</c:v>
                </c:pt>
                <c:pt idx="12">
                  <c:v>2035</c:v>
                </c:pt>
                <c:pt idx="13">
                  <c:v>2036</c:v>
                </c:pt>
                <c:pt idx="14">
                  <c:v>2037</c:v>
                </c:pt>
                <c:pt idx="15">
                  <c:v>2038</c:v>
                </c:pt>
                <c:pt idx="16">
                  <c:v>2039</c:v>
                </c:pt>
                <c:pt idx="17">
                  <c:v>2040</c:v>
                </c:pt>
                <c:pt idx="18">
                  <c:v>2041</c:v>
                </c:pt>
                <c:pt idx="19">
                  <c:v>2042</c:v>
                </c:pt>
              </c:numCache>
            </c:numRef>
          </c:cat>
          <c:val>
            <c:numRef>
              <c:f>'Graficas_consumo (2)'!$D$2:$W$2</c:f>
              <c:numCache>
                <c:formatCode>General</c:formatCode>
                <c:ptCount val="20"/>
                <c:pt idx="4">
                  <c:v>434.04808297601028</c:v>
                </c:pt>
                <c:pt idx="5">
                  <c:v>396.76050455161089</c:v>
                </c:pt>
                <c:pt idx="6">
                  <c:v>362.24254500346387</c:v>
                </c:pt>
                <c:pt idx="7">
                  <c:v>326.5006038836612</c:v>
                </c:pt>
                <c:pt idx="8">
                  <c:v>287.90683695844746</c:v>
                </c:pt>
                <c:pt idx="9">
                  <c:v>266.26945965181761</c:v>
                </c:pt>
                <c:pt idx="10">
                  <c:v>246.37657614550832</c:v>
                </c:pt>
                <c:pt idx="11">
                  <c:v>225.19289445479728</c:v>
                </c:pt>
                <c:pt idx="12">
                  <c:v>201.27738833476295</c:v>
                </c:pt>
                <c:pt idx="13">
                  <c:v>176.56772950579534</c:v>
                </c:pt>
                <c:pt idx="14">
                  <c:v>152.86295771486814</c:v>
                </c:pt>
                <c:pt idx="15">
                  <c:v>129.59951809753909</c:v>
                </c:pt>
                <c:pt idx="16">
                  <c:v>106.85113272804148</c:v>
                </c:pt>
                <c:pt idx="17">
                  <c:v>69.714992758250531</c:v>
                </c:pt>
                <c:pt idx="18">
                  <c:v>20.779195722179296</c:v>
                </c:pt>
                <c:pt idx="19">
                  <c:v>-3.7860530999971331E-2</c:v>
                </c:pt>
              </c:numCache>
            </c:numRef>
          </c:val>
          <c:smooth val="0"/>
          <c:extLst xmlns:c15="http://schemas.microsoft.com/office/drawing/2012/chart">
            <c:ext xmlns:c16="http://schemas.microsoft.com/office/drawing/2014/chart" uri="{C3380CC4-5D6E-409C-BE32-E72D297353CC}">
              <c16:uniqueId val="{00000000-E0D8-4401-97D4-8709E8F0EFA0}"/>
            </c:ext>
          </c:extLst>
        </c:ser>
        <c:ser>
          <c:idx val="2"/>
          <c:order val="5"/>
          <c:tx>
            <c:strRef>
              <c:f>'Graficas_consumo (2)'!$V$91</c:f>
              <c:strCache>
                <c:ptCount val="1"/>
                <c:pt idx="0">
                  <c:v>TDR 4195 Convencional</c:v>
                </c:pt>
              </c:strCache>
            </c:strRef>
          </c:tx>
          <c:spPr>
            <a:ln w="19050" cap="rnd">
              <a:solidFill>
                <a:schemeClr val="tx1">
                  <a:lumMod val="75000"/>
                  <a:lumOff val="25000"/>
                </a:schemeClr>
              </a:solidFill>
              <a:round/>
            </a:ln>
            <a:effectLst/>
          </c:spPr>
          <c:marker>
            <c:symbol val="none"/>
          </c:marker>
          <c:cat>
            <c:numRef>
              <c:f>'Graficas_consumo (2)'!$D$1:$W$1</c:f>
              <c:numCache>
                <c:formatCode>General</c:formatCode>
                <c:ptCount val="20"/>
                <c:pt idx="0">
                  <c:v>2023</c:v>
                </c:pt>
                <c:pt idx="1">
                  <c:v>2024</c:v>
                </c:pt>
                <c:pt idx="2">
                  <c:v>2025</c:v>
                </c:pt>
                <c:pt idx="3">
                  <c:v>2026</c:v>
                </c:pt>
                <c:pt idx="4">
                  <c:v>2027</c:v>
                </c:pt>
                <c:pt idx="5">
                  <c:v>2028</c:v>
                </c:pt>
                <c:pt idx="6">
                  <c:v>2029</c:v>
                </c:pt>
                <c:pt idx="7">
                  <c:v>2030</c:v>
                </c:pt>
                <c:pt idx="8">
                  <c:v>2031</c:v>
                </c:pt>
                <c:pt idx="9">
                  <c:v>2032</c:v>
                </c:pt>
                <c:pt idx="10">
                  <c:v>2033</c:v>
                </c:pt>
                <c:pt idx="11">
                  <c:v>2034</c:v>
                </c:pt>
                <c:pt idx="12">
                  <c:v>2035</c:v>
                </c:pt>
                <c:pt idx="13">
                  <c:v>2036</c:v>
                </c:pt>
                <c:pt idx="14">
                  <c:v>2037</c:v>
                </c:pt>
                <c:pt idx="15">
                  <c:v>2038</c:v>
                </c:pt>
                <c:pt idx="16">
                  <c:v>2039</c:v>
                </c:pt>
                <c:pt idx="17">
                  <c:v>2040</c:v>
                </c:pt>
                <c:pt idx="18">
                  <c:v>2041</c:v>
                </c:pt>
                <c:pt idx="19">
                  <c:v>2042</c:v>
                </c:pt>
              </c:numCache>
            </c:numRef>
          </c:cat>
          <c:val>
            <c:numRef>
              <c:f>'Graficas_consumo (2)'!$D$4:$Q$4</c:f>
              <c:numCache>
                <c:formatCode>General</c:formatCode>
                <c:ptCount val="14"/>
                <c:pt idx="0">
                  <c:v>631.95836372792428</c:v>
                </c:pt>
                <c:pt idx="1">
                  <c:v>587.14909977649427</c:v>
                </c:pt>
                <c:pt idx="2">
                  <c:v>535.05989950799722</c:v>
                </c:pt>
                <c:pt idx="3">
                  <c:v>486.02427088363675</c:v>
                </c:pt>
                <c:pt idx="4">
                  <c:v>434.04808297601028</c:v>
                </c:pt>
                <c:pt idx="5">
                  <c:v>383.48865460394325</c:v>
                </c:pt>
                <c:pt idx="6">
                  <c:v>333.88835044005566</c:v>
                </c:pt>
                <c:pt idx="7">
                  <c:v>283.07788609956333</c:v>
                </c:pt>
                <c:pt idx="8">
                  <c:v>231.3924870107798</c:v>
                </c:pt>
                <c:pt idx="9">
                  <c:v>179.23926273821994</c:v>
                </c:pt>
                <c:pt idx="10">
                  <c:v>128.63669962150055</c:v>
                </c:pt>
                <c:pt idx="11">
                  <c:v>76.88676034086852</c:v>
                </c:pt>
                <c:pt idx="12">
                  <c:v>22.708532678615775</c:v>
                </c:pt>
                <c:pt idx="13">
                  <c:v>0</c:v>
                </c:pt>
              </c:numCache>
            </c:numRef>
          </c:val>
          <c:smooth val="0"/>
          <c:extLst>
            <c:ext xmlns:c16="http://schemas.microsoft.com/office/drawing/2014/chart" uri="{C3380CC4-5D6E-409C-BE32-E72D297353CC}">
              <c16:uniqueId val="{00000001-E0D8-4401-97D4-8709E8F0EFA0}"/>
            </c:ext>
          </c:extLst>
        </c:ser>
        <c:dLbls>
          <c:showLegendKey val="0"/>
          <c:showVal val="0"/>
          <c:showCatName val="0"/>
          <c:showSerName val="0"/>
          <c:showPercent val="0"/>
          <c:showBubbleSize val="0"/>
        </c:dLbls>
        <c:marker val="1"/>
        <c:smooth val="0"/>
        <c:axId val="914462271"/>
        <c:axId val="914463519"/>
        <c:extLst>
          <c:ext xmlns:c15="http://schemas.microsoft.com/office/drawing/2012/chart" uri="{02D57815-91ED-43cb-92C2-25804820EDAC}">
            <c15:filteredLineSeries>
              <c15:ser>
                <c:idx val="0"/>
                <c:order val="0"/>
                <c:tx>
                  <c:strRef>
                    <c:extLst>
                      <c:ext uri="{02D57815-91ED-43cb-92C2-25804820EDAC}">
                        <c15:formulaRef>
                          <c15:sqref>'Graficas_consumo (2)'!$B$40</c15:sqref>
                        </c15:formulaRef>
                      </c:ext>
                    </c:extLst>
                    <c:strCache>
                      <c:ptCount val="1"/>
                      <c:pt idx="0">
                        <c:v>Con Comminling+2WCCs</c:v>
                      </c:pt>
                    </c:strCache>
                  </c:strRef>
                </c:tx>
                <c:spPr>
                  <a:ln w="22225" cap="rnd">
                    <a:solidFill>
                      <a:schemeClr val="tx1"/>
                    </a:solidFill>
                    <a:round/>
                  </a:ln>
                  <a:effectLst/>
                </c:spPr>
                <c:marker>
                  <c:symbol val="none"/>
                </c:marker>
                <c:cat>
                  <c:numRef>
                    <c:extLst>
                      <c:ext uri="{02D57815-91ED-43cb-92C2-25804820EDAC}">
                        <c15:formulaRef>
                          <c15:sqref>'Graficas_consumo (2)'!$D$1:$W$1</c15:sqref>
                        </c15:formulaRef>
                      </c:ext>
                    </c:extLst>
                    <c:numCache>
                      <c:formatCode>General</c:formatCode>
                      <c:ptCount val="20"/>
                      <c:pt idx="0">
                        <c:v>2023</c:v>
                      </c:pt>
                      <c:pt idx="1">
                        <c:v>2024</c:v>
                      </c:pt>
                      <c:pt idx="2">
                        <c:v>2025</c:v>
                      </c:pt>
                      <c:pt idx="3">
                        <c:v>2026</c:v>
                      </c:pt>
                      <c:pt idx="4">
                        <c:v>2027</c:v>
                      </c:pt>
                      <c:pt idx="5">
                        <c:v>2028</c:v>
                      </c:pt>
                      <c:pt idx="6">
                        <c:v>2029</c:v>
                      </c:pt>
                      <c:pt idx="7">
                        <c:v>2030</c:v>
                      </c:pt>
                      <c:pt idx="8">
                        <c:v>2031</c:v>
                      </c:pt>
                      <c:pt idx="9">
                        <c:v>2032</c:v>
                      </c:pt>
                      <c:pt idx="10">
                        <c:v>2033</c:v>
                      </c:pt>
                      <c:pt idx="11">
                        <c:v>2034</c:v>
                      </c:pt>
                      <c:pt idx="12">
                        <c:v>2035</c:v>
                      </c:pt>
                      <c:pt idx="13">
                        <c:v>2036</c:v>
                      </c:pt>
                      <c:pt idx="14">
                        <c:v>2037</c:v>
                      </c:pt>
                      <c:pt idx="15">
                        <c:v>2038</c:v>
                      </c:pt>
                      <c:pt idx="16">
                        <c:v>2039</c:v>
                      </c:pt>
                      <c:pt idx="17">
                        <c:v>2040</c:v>
                      </c:pt>
                      <c:pt idx="18">
                        <c:v>2041</c:v>
                      </c:pt>
                      <c:pt idx="19">
                        <c:v>2042</c:v>
                      </c:pt>
                    </c:numCache>
                  </c:numRef>
                </c:cat>
                <c:val>
                  <c:numRef>
                    <c:extLst>
                      <c:ext uri="{02D57815-91ED-43cb-92C2-25804820EDAC}">
                        <c15:formulaRef>
                          <c15:sqref>'Graficas_consumo (2)'!$D$9:$W$9</c15:sqref>
                        </c15:formulaRef>
                      </c:ext>
                    </c:extLst>
                    <c:numCache>
                      <c:formatCode>General</c:formatCode>
                      <c:ptCount val="20"/>
                      <c:pt idx="0">
                        <c:v>631.95836372792428</c:v>
                      </c:pt>
                      <c:pt idx="1">
                        <c:v>587.14909977649427</c:v>
                      </c:pt>
                      <c:pt idx="2">
                        <c:v>535.05989950799722</c:v>
                      </c:pt>
                      <c:pt idx="3">
                        <c:v>486.02427088363675</c:v>
                      </c:pt>
                      <c:pt idx="4">
                        <c:v>434.04808297601028</c:v>
                      </c:pt>
                      <c:pt idx="5">
                        <c:v>390.12457957777707</c:v>
                      </c:pt>
                      <c:pt idx="6">
                        <c:v>349.19938795055577</c:v>
                      </c:pt>
                      <c:pt idx="7">
                        <c:v>307.2663231594388</c:v>
                      </c:pt>
                      <c:pt idx="8">
                        <c:v>264.62586543678543</c:v>
                      </c:pt>
                      <c:pt idx="9">
                        <c:v>241.1499571137804</c:v>
                      </c:pt>
                      <c:pt idx="10">
                        <c:v>218.35507287605179</c:v>
                      </c:pt>
                      <c:pt idx="11">
                        <c:v>193.36219721813228</c:v>
                      </c:pt>
                      <c:pt idx="12">
                        <c:v>167.29553776769657</c:v>
                      </c:pt>
                      <c:pt idx="13">
                        <c:v>141.1622707094148</c:v>
                      </c:pt>
                      <c:pt idx="14">
                        <c:v>115.26708331491035</c:v>
                      </c:pt>
                      <c:pt idx="15">
                        <c:v>89.309714141157983</c:v>
                      </c:pt>
                      <c:pt idx="16">
                        <c:v>63.908514973342804</c:v>
                      </c:pt>
                      <c:pt idx="17">
                        <c:v>38.154719249522522</c:v>
                      </c:pt>
                      <c:pt idx="18">
                        <c:v>11.882827385869778</c:v>
                      </c:pt>
                      <c:pt idx="19">
                        <c:v>0</c:v>
                      </c:pt>
                    </c:numCache>
                  </c:numRef>
                </c:val>
                <c:smooth val="0"/>
                <c:extLst>
                  <c:ext xmlns:c16="http://schemas.microsoft.com/office/drawing/2014/chart" uri="{C3380CC4-5D6E-409C-BE32-E72D297353CC}">
                    <c16:uniqueId val="{00000002-E0D8-4401-97D4-8709E8F0EFA0}"/>
                  </c:ext>
                </c:extLst>
              </c15:ser>
            </c15:filteredLineSeries>
            <c15:filteredLineSeries>
              <c15:ser>
                <c:idx val="1"/>
                <c:order val="1"/>
                <c:spPr>
                  <a:ln w="22225" cap="rnd">
                    <a:solidFill>
                      <a:schemeClr val="tx1"/>
                    </a:solidFill>
                    <a:round/>
                  </a:ln>
                  <a:effectLst/>
                </c:spPr>
                <c:marker>
                  <c:symbol val="none"/>
                </c:marker>
                <c:cat>
                  <c:numRef>
                    <c:extLst xmlns:c15="http://schemas.microsoft.com/office/drawing/2012/chart">
                      <c:ext xmlns:c15="http://schemas.microsoft.com/office/drawing/2012/chart" uri="{02D57815-91ED-43cb-92C2-25804820EDAC}">
                        <c15:formulaRef>
                          <c15:sqref>'Graficas_consumo (2)'!$D$1:$W$1</c15:sqref>
                        </c15:formulaRef>
                      </c:ext>
                    </c:extLst>
                    <c:numCache>
                      <c:formatCode>General</c:formatCode>
                      <c:ptCount val="20"/>
                      <c:pt idx="0">
                        <c:v>2023</c:v>
                      </c:pt>
                      <c:pt idx="1">
                        <c:v>2024</c:v>
                      </c:pt>
                      <c:pt idx="2">
                        <c:v>2025</c:v>
                      </c:pt>
                      <c:pt idx="3">
                        <c:v>2026</c:v>
                      </c:pt>
                      <c:pt idx="4">
                        <c:v>2027</c:v>
                      </c:pt>
                      <c:pt idx="5">
                        <c:v>2028</c:v>
                      </c:pt>
                      <c:pt idx="6">
                        <c:v>2029</c:v>
                      </c:pt>
                      <c:pt idx="7">
                        <c:v>2030</c:v>
                      </c:pt>
                      <c:pt idx="8">
                        <c:v>2031</c:v>
                      </c:pt>
                      <c:pt idx="9">
                        <c:v>2032</c:v>
                      </c:pt>
                      <c:pt idx="10">
                        <c:v>2033</c:v>
                      </c:pt>
                      <c:pt idx="11">
                        <c:v>2034</c:v>
                      </c:pt>
                      <c:pt idx="12">
                        <c:v>2035</c:v>
                      </c:pt>
                      <c:pt idx="13">
                        <c:v>2036</c:v>
                      </c:pt>
                      <c:pt idx="14">
                        <c:v>2037</c:v>
                      </c:pt>
                      <c:pt idx="15">
                        <c:v>2038</c:v>
                      </c:pt>
                      <c:pt idx="16">
                        <c:v>2039</c:v>
                      </c:pt>
                      <c:pt idx="17">
                        <c:v>2040</c:v>
                      </c:pt>
                      <c:pt idx="18">
                        <c:v>2041</c:v>
                      </c:pt>
                      <c:pt idx="19">
                        <c:v>2042</c:v>
                      </c:pt>
                    </c:numCache>
                  </c:numRef>
                </c:cat>
                <c:val>
                  <c:numRef>
                    <c:extLst xmlns:c15="http://schemas.microsoft.com/office/drawing/2012/chart">
                      <c:ext xmlns:c15="http://schemas.microsoft.com/office/drawing/2012/chart" uri="{02D57815-91ED-43cb-92C2-25804820EDAC}">
                        <c15:formulaRef>
                          <c15:sqref>'Graficas_consumo (2)'!$D$10:$AE$10</c15:sqref>
                        </c15:formulaRef>
                      </c:ext>
                    </c:extLst>
                    <c:numCache>
                      <c:formatCode>General</c:formatCode>
                      <c:ptCount val="28"/>
                      <c:pt idx="19">
                        <c:v>196.67033976611947</c:v>
                      </c:pt>
                      <c:pt idx="20">
                        <c:v>170.95900694205056</c:v>
                      </c:pt>
                      <c:pt idx="21">
                        <c:v>144.55490773457987</c:v>
                      </c:pt>
                      <c:pt idx="22">
                        <c:v>117.84415478473375</c:v>
                      </c:pt>
                      <c:pt idx="23">
                        <c:v>90.916484143160147</c:v>
                      </c:pt>
                      <c:pt idx="24">
                        <c:v>64.217925212975345</c:v>
                      </c:pt>
                      <c:pt idx="25">
                        <c:v>37.511186489983977</c:v>
                      </c:pt>
                      <c:pt idx="26">
                        <c:v>11.730051821812172</c:v>
                      </c:pt>
                      <c:pt idx="27">
                        <c:v>1.6013795164252418</c:v>
                      </c:pt>
                    </c:numCache>
                  </c:numRef>
                </c:val>
                <c:smooth val="0"/>
                <c:extLst xmlns:c15="http://schemas.microsoft.com/office/drawing/2012/chart">
                  <c:ext xmlns:c16="http://schemas.microsoft.com/office/drawing/2014/chart" uri="{C3380CC4-5D6E-409C-BE32-E72D297353CC}">
                    <c16:uniqueId val="{00000003-E0D8-4401-97D4-8709E8F0EFA0}"/>
                  </c:ext>
                </c:extLst>
              </c15:ser>
            </c15:filteredLineSeries>
            <c15:filteredLineSeries>
              <c15:ser>
                <c:idx val="9"/>
                <c:order val="6"/>
                <c:tx>
                  <c:strRef>
                    <c:extLst xmlns:c15="http://schemas.microsoft.com/office/drawing/2012/chart">
                      <c:ext xmlns:c15="http://schemas.microsoft.com/office/drawing/2012/chart" uri="{02D57815-91ED-43cb-92C2-25804820EDAC}">
                        <c15:formulaRef>
                          <c15:sqref>'Graficas_consumo (2)'!$D$45:$AE$45</c15:sqref>
                        </c15:formulaRef>
                      </c:ext>
                    </c:extLst>
                    <c:strCache>
                      <c:ptCount val="28"/>
                      <c:pt idx="0">
                        <c:v>631.9962243</c:v>
                      </c:pt>
                      <c:pt idx="1">
                        <c:v>587.1869603</c:v>
                      </c:pt>
                      <c:pt idx="2">
                        <c:v>535.09776</c:v>
                      </c:pt>
                      <c:pt idx="3">
                        <c:v>486.0621314</c:v>
                      </c:pt>
                      <c:pt idx="4">
                        <c:v>434.0859435</c:v>
                      </c:pt>
                      <c:pt idx="5">
                        <c:v>396.7983651</c:v>
                      </c:pt>
                      <c:pt idx="6">
                        <c:v>378.0262856</c:v>
                      </c:pt>
                      <c:pt idx="7">
                        <c:v>357.8798336</c:v>
                      </c:pt>
                      <c:pt idx="8">
                        <c:v>336.7687549</c:v>
                      </c:pt>
                      <c:pt idx="9">
                        <c:v>315.1139841</c:v>
                      </c:pt>
                      <c:pt idx="10">
                        <c:v>295.1617735</c:v>
                      </c:pt>
                      <c:pt idx="11">
                        <c:v>269.7145843</c:v>
                      </c:pt>
                      <c:pt idx="12">
                        <c:v>241.5829357</c:v>
                      </c:pt>
                      <c:pt idx="13">
                        <c:v>213.2847681</c:v>
                      </c:pt>
                      <c:pt idx="14">
                        <c:v>185.5817996</c:v>
                      </c:pt>
                      <c:pt idx="15">
                        <c:v>157.7233767</c:v>
                      </c:pt>
                      <c:pt idx="16">
                        <c:v>131.2553787</c:v>
                      </c:pt>
                      <c:pt idx="17">
                        <c:v>103.9058894</c:v>
                      </c:pt>
                      <c:pt idx="18">
                        <c:v>75.26115976</c:v>
                      </c:pt>
                      <c:pt idx="19">
                        <c:v>47.91494071</c:v>
                      </c:pt>
                      <c:pt idx="20">
                        <c:v>20.67160865</c:v>
                      </c:pt>
                      <c:pt idx="21">
                        <c:v>0</c:v>
                      </c:pt>
                      <c:pt idx="22">
                        <c:v>49.02666667</c:v>
                      </c:pt>
                      <c:pt idx="23">
                        <c:v>38.05333333</c:v>
                      </c:pt>
                      <c:pt idx="24">
                        <c:v>27.08</c:v>
                      </c:pt>
                      <c:pt idx="25">
                        <c:v>16.10666667</c:v>
                      </c:pt>
                      <c:pt idx="26">
                        <c:v>5.133333333</c:v>
                      </c:pt>
                      <c:pt idx="27">
                        <c:v>0</c:v>
                      </c:pt>
                    </c:strCache>
                  </c:strRef>
                </c:tx>
                <c:spPr>
                  <a:ln w="50800" cap="rnd" cmpd="dbl">
                    <a:solidFill>
                      <a:schemeClr val="tx1"/>
                    </a:solidFill>
                    <a:round/>
                  </a:ln>
                  <a:effectLst/>
                </c:spPr>
                <c:marker>
                  <c:symbol val="none"/>
                </c:marker>
                <c:cat>
                  <c:numRef>
                    <c:extLst xmlns:c15="http://schemas.microsoft.com/office/drawing/2012/chart">
                      <c:ext xmlns:c15="http://schemas.microsoft.com/office/drawing/2012/chart" uri="{02D57815-91ED-43cb-92C2-25804820EDAC}">
                        <c15:formulaRef>
                          <c15:sqref>'Graficas_consumo (2)'!$D$1:$W$1</c15:sqref>
                        </c15:formulaRef>
                      </c:ext>
                    </c:extLst>
                    <c:numCache>
                      <c:formatCode>General</c:formatCode>
                      <c:ptCount val="20"/>
                      <c:pt idx="0">
                        <c:v>2023</c:v>
                      </c:pt>
                      <c:pt idx="1">
                        <c:v>2024</c:v>
                      </c:pt>
                      <c:pt idx="2">
                        <c:v>2025</c:v>
                      </c:pt>
                      <c:pt idx="3">
                        <c:v>2026</c:v>
                      </c:pt>
                      <c:pt idx="4">
                        <c:v>2027</c:v>
                      </c:pt>
                      <c:pt idx="5">
                        <c:v>2028</c:v>
                      </c:pt>
                      <c:pt idx="6">
                        <c:v>2029</c:v>
                      </c:pt>
                      <c:pt idx="7">
                        <c:v>2030</c:v>
                      </c:pt>
                      <c:pt idx="8">
                        <c:v>2031</c:v>
                      </c:pt>
                      <c:pt idx="9">
                        <c:v>2032</c:v>
                      </c:pt>
                      <c:pt idx="10">
                        <c:v>2033</c:v>
                      </c:pt>
                      <c:pt idx="11">
                        <c:v>2034</c:v>
                      </c:pt>
                      <c:pt idx="12">
                        <c:v>2035</c:v>
                      </c:pt>
                      <c:pt idx="13">
                        <c:v>2036</c:v>
                      </c:pt>
                      <c:pt idx="14">
                        <c:v>2037</c:v>
                      </c:pt>
                      <c:pt idx="15">
                        <c:v>2038</c:v>
                      </c:pt>
                      <c:pt idx="16">
                        <c:v>2039</c:v>
                      </c:pt>
                      <c:pt idx="17">
                        <c:v>2040</c:v>
                      </c:pt>
                      <c:pt idx="18">
                        <c:v>2041</c:v>
                      </c:pt>
                      <c:pt idx="19">
                        <c:v>2042</c:v>
                      </c:pt>
                    </c:numCache>
                  </c:numRef>
                </c:cat>
                <c:val>
                  <c:numRef>
                    <c:extLst xmlns:c15="http://schemas.microsoft.com/office/drawing/2012/chart">
                      <c:ext xmlns:c15="http://schemas.microsoft.com/office/drawing/2012/chart" uri="{02D57815-91ED-43cb-92C2-25804820EDAC}">
                        <c15:formulaRef>
                          <c15:sqref>'Graficas_consumo (2)'!$D$45:$AE$45</c15:sqref>
                        </c15:formulaRef>
                      </c:ext>
                    </c:extLst>
                    <c:numCache>
                      <c:formatCode>General</c:formatCode>
                      <c:ptCount val="28"/>
                      <c:pt idx="22">
                        <c:v>49.026666666666742</c:v>
                      </c:pt>
                      <c:pt idx="23">
                        <c:v>38.053333333333406</c:v>
                      </c:pt>
                      <c:pt idx="24">
                        <c:v>27.080000000000069</c:v>
                      </c:pt>
                      <c:pt idx="25">
                        <c:v>16.106666666666733</c:v>
                      </c:pt>
                      <c:pt idx="26">
                        <c:v>5.1333333333333986</c:v>
                      </c:pt>
                    </c:numCache>
                  </c:numRef>
                </c:val>
                <c:smooth val="0"/>
                <c:extLst xmlns:c15="http://schemas.microsoft.com/office/drawing/2012/chart">
                  <c:ext xmlns:c16="http://schemas.microsoft.com/office/drawing/2014/chart" uri="{C3380CC4-5D6E-409C-BE32-E72D297353CC}">
                    <c16:uniqueId val="{00000006-E0D8-4401-97D4-8709E8F0EFA0}"/>
                  </c:ext>
                </c:extLst>
              </c15:ser>
            </c15:filteredLineSeries>
          </c:ext>
        </c:extLst>
      </c:lineChart>
      <c:catAx>
        <c:axId val="914462271"/>
        <c:scaling>
          <c:orientation val="minMax"/>
        </c:scaling>
        <c:delete val="0"/>
        <c:axPos val="b"/>
        <c:numFmt formatCode="General" sourceLinked="1"/>
        <c:majorTickMark val="out"/>
        <c:minorTickMark val="none"/>
        <c:tickLblPos val="nextTo"/>
        <c:spPr>
          <a:noFill/>
          <a:ln w="9525" cap="flat" cmpd="sng" algn="ctr">
            <a:solidFill>
              <a:schemeClr val="tx1"/>
            </a:solidFill>
            <a:round/>
          </a:ln>
          <a:effectLst/>
        </c:spPr>
        <c:txPr>
          <a:bodyPr rot="-5400000" spcFirstLastPara="1" vertOverflow="ellipsis" wrap="square" anchor="ctr" anchorCtr="1"/>
          <a:lstStyle/>
          <a:p>
            <a:pPr>
              <a:defRPr sz="700" b="0" i="0" u="none" strike="noStrike" kern="1200" baseline="0">
                <a:solidFill>
                  <a:schemeClr val="tx1">
                    <a:lumMod val="65000"/>
                    <a:lumOff val="35000"/>
                  </a:schemeClr>
                </a:solidFill>
                <a:latin typeface="Tw Cen MT" panose="020B0602020104020603" pitchFamily="34" charset="0"/>
                <a:ea typeface="+mn-ea"/>
                <a:cs typeface="Arial" panose="020B0604020202020204" pitchFamily="34" charset="0"/>
              </a:defRPr>
            </a:pPr>
            <a:endParaRPr lang="es-ES"/>
          </a:p>
        </c:txPr>
        <c:crossAx val="914463519"/>
        <c:crosses val="autoZero"/>
        <c:auto val="1"/>
        <c:lblAlgn val="ctr"/>
        <c:lblOffset val="100"/>
        <c:noMultiLvlLbl val="0"/>
      </c:catAx>
      <c:valAx>
        <c:axId val="914463519"/>
        <c:scaling>
          <c:orientation val="minMax"/>
          <c:min val="0"/>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600" b="0" i="0" u="none" strike="noStrike" kern="1200" baseline="0">
                    <a:solidFill>
                      <a:schemeClr val="tx1">
                        <a:lumMod val="65000"/>
                        <a:lumOff val="35000"/>
                      </a:schemeClr>
                    </a:solidFill>
                    <a:latin typeface="Tw Cen MT" panose="020B0602020104020603" pitchFamily="34" charset="0"/>
                    <a:ea typeface="+mn-ea"/>
                    <a:cs typeface="Arial" panose="020B0604020202020204" pitchFamily="34" charset="0"/>
                  </a:defRPr>
                </a:pPr>
                <a:r>
                  <a:rPr lang="en-US" sz="600" dirty="0"/>
                  <a:t>CAPACIDAD</a:t>
                </a:r>
                <a:r>
                  <a:rPr lang="en-US" sz="600" baseline="0" dirty="0"/>
                  <a:t> REMANENTE </a:t>
                </a:r>
                <a:r>
                  <a:rPr lang="en-US" sz="600" dirty="0"/>
                  <a:t>TDR 4195 (Mt)</a:t>
                </a:r>
              </a:p>
            </c:rich>
          </c:tx>
          <c:layout>
            <c:manualLayout>
              <c:xMode val="edge"/>
              <c:yMode val="edge"/>
              <c:x val="1.2092346311753854E-2"/>
              <c:y val="0.12576766263389894"/>
            </c:manualLayout>
          </c:layout>
          <c:overlay val="0"/>
          <c:spPr>
            <a:noFill/>
            <a:ln>
              <a:noFill/>
            </a:ln>
            <a:effectLst/>
          </c:spPr>
          <c:txPr>
            <a:bodyPr rot="-5400000" spcFirstLastPara="1" vertOverflow="ellipsis" vert="horz" wrap="square" anchor="ctr" anchorCtr="1"/>
            <a:lstStyle/>
            <a:p>
              <a:pPr>
                <a:defRPr sz="600" b="0" i="0" u="none" strike="noStrike" kern="1200" baseline="0">
                  <a:solidFill>
                    <a:schemeClr val="tx1">
                      <a:lumMod val="65000"/>
                      <a:lumOff val="35000"/>
                    </a:schemeClr>
                  </a:solidFill>
                  <a:latin typeface="Tw Cen MT" panose="020B0602020104020603" pitchFamily="34" charset="0"/>
                  <a:ea typeface="+mn-ea"/>
                  <a:cs typeface="Arial" panose="020B0604020202020204" pitchFamily="34" charset="0"/>
                </a:defRPr>
              </a:pPr>
              <a:endParaRPr lang="en-US"/>
            </a:p>
          </c:tx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Tw Cen MT" panose="020B0602020104020603" pitchFamily="34" charset="0"/>
                <a:ea typeface="+mn-ea"/>
                <a:cs typeface="Arial" panose="020B0604020202020204" pitchFamily="34" charset="0"/>
              </a:defRPr>
            </a:pPr>
            <a:endParaRPr lang="es-ES"/>
          </a:p>
        </c:txPr>
        <c:crossAx val="914462271"/>
        <c:crosses val="autoZero"/>
        <c:crossBetween val="between"/>
      </c:valAx>
      <c:valAx>
        <c:axId val="1328259183"/>
        <c:scaling>
          <c:orientation val="minMax"/>
          <c:max val="200"/>
          <c:min val="0"/>
        </c:scaling>
        <c:delete val="1"/>
        <c:axPos val="r"/>
        <c:numFmt formatCode="General" sourceLinked="1"/>
        <c:majorTickMark val="out"/>
        <c:minorTickMark val="none"/>
        <c:tickLblPos val="nextTo"/>
        <c:crossAx val="1508765199"/>
        <c:crosses val="max"/>
        <c:crossBetween val="between"/>
        <c:majorUnit val="50"/>
      </c:valAx>
      <c:catAx>
        <c:axId val="1508765199"/>
        <c:scaling>
          <c:orientation val="minMax"/>
        </c:scaling>
        <c:delete val="1"/>
        <c:axPos val="b"/>
        <c:majorTickMark val="out"/>
        <c:minorTickMark val="none"/>
        <c:tickLblPos val="nextTo"/>
        <c:crossAx val="1328259183"/>
        <c:crosses val="autoZero"/>
        <c:auto val="1"/>
        <c:lblAlgn val="ctr"/>
        <c:lblOffset val="100"/>
        <c:noMultiLvlLbl val="0"/>
      </c:catAx>
      <c:spPr>
        <a:noFill/>
        <a:ln>
          <a:noFill/>
        </a:ln>
        <a:effectLst/>
      </c:spPr>
    </c:plotArea>
    <c:legend>
      <c:legendPos val="b"/>
      <c:layout>
        <c:manualLayout>
          <c:xMode val="edge"/>
          <c:yMode val="edge"/>
          <c:x val="0.11545499850493372"/>
          <c:y val="0.62746104575732065"/>
          <c:w val="0.45152529984384865"/>
          <c:h val="0.22485177400633685"/>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Tw Cen MT" panose="020B0602020104020603" pitchFamily="34" charset="0"/>
              <a:ea typeface="+mn-ea"/>
              <a:cs typeface="Arial" panose="020B0604020202020204" pitchFamily="34" charset="0"/>
            </a:defRPr>
          </a:pPr>
          <a:endParaRPr lang="es-ES"/>
        </a:p>
      </c:txPr>
    </c:legend>
    <c:plotVisOnly val="0"/>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1050">
          <a:latin typeface="Tw Cen MT" panose="020B0602020104020603" pitchFamily="34" charset="0"/>
          <a:cs typeface="Arial" panose="020B0604020202020204" pitchFamily="34" charset="0"/>
        </a:defRPr>
      </a:pPr>
      <a:endParaRPr lang="es-E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0.38579</cdr:x>
      <cdr:y>0.15625</cdr:y>
    </cdr:from>
    <cdr:to>
      <cdr:x>0.87769</cdr:x>
      <cdr:y>0.29221</cdr:y>
    </cdr:to>
    <cdr:sp macro="" textlink="">
      <cdr:nvSpPr>
        <cdr:cNvPr id="3" name="TextBox 10">
          <a:extLst xmlns:a="http://schemas.openxmlformats.org/drawingml/2006/main">
            <a:ext uri="{FF2B5EF4-FFF2-40B4-BE49-F238E27FC236}">
              <a16:creationId xmlns:a16="http://schemas.microsoft.com/office/drawing/2014/main" id="{0759CEDA-8E6A-FF01-F4AC-1D0983DF5034}"/>
            </a:ext>
          </a:extLst>
        </cdr:cNvPr>
        <cdr:cNvSpPr txBox="1"/>
      </cdr:nvSpPr>
      <cdr:spPr>
        <a:xfrm xmlns:a="http://schemas.openxmlformats.org/drawingml/2006/main">
          <a:off x="1124688" y="298847"/>
          <a:ext cx="1434028" cy="260040"/>
        </a:xfrm>
        <a:prstGeom xmlns:a="http://schemas.openxmlformats.org/drawingml/2006/main" prst="rect">
          <a:avLst/>
        </a:prstGeom>
        <a:noFill xmlns:a="http://schemas.openxmlformats.org/drawingml/2006/main"/>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800" b="1" dirty="0">
              <a:solidFill>
                <a:schemeClr val="tx1"/>
              </a:solidFill>
              <a:latin typeface="Tw Cen MT" panose="020B0602020104020603" pitchFamily="34" charset="0"/>
              <a:cs typeface="Arial" panose="020B0604020202020204" pitchFamily="34" charset="0"/>
            </a:rPr>
            <a:t>Sistema </a:t>
          </a:r>
          <a:r>
            <a:rPr lang="en-US" sz="800" b="1" dirty="0" err="1">
              <a:solidFill>
                <a:schemeClr val="tx1"/>
              </a:solidFill>
              <a:latin typeface="Tw Cen MT" panose="020B0602020104020603" pitchFamily="34" charset="0"/>
              <a:cs typeface="Arial" panose="020B0604020202020204" pitchFamily="34" charset="0"/>
            </a:rPr>
            <a:t>mecanizado</a:t>
          </a:r>
          <a:r>
            <a:rPr lang="en-US" sz="800" b="1" dirty="0">
              <a:solidFill>
                <a:schemeClr val="tx1"/>
              </a:solidFill>
              <a:latin typeface="Tw Cen MT" panose="020B0602020104020603" pitchFamily="34" charset="0"/>
              <a:cs typeface="Arial" panose="020B0604020202020204" pitchFamily="34" charset="0"/>
            </a:rPr>
            <a:t> Fase 1 </a:t>
          </a:r>
        </a:p>
        <a:p xmlns:a="http://schemas.openxmlformats.org/drawingml/2006/main">
          <a:r>
            <a:rPr lang="en-US" sz="800" b="1" baseline="0" dirty="0">
              <a:solidFill>
                <a:schemeClr val="tx1"/>
              </a:solidFill>
              <a:latin typeface="Tw Cen MT" panose="020B0602020104020603" pitchFamily="34" charset="0"/>
              <a:cs typeface="Arial" panose="020B0604020202020204" pitchFamily="34" charset="0"/>
            </a:rPr>
            <a:t>@ 16 Mtpa</a:t>
          </a:r>
          <a:endParaRPr lang="en-US" sz="800" b="1" dirty="0">
            <a:solidFill>
              <a:schemeClr val="tx1"/>
            </a:solidFill>
            <a:latin typeface="Tw Cen MT" panose="020B0602020104020603" pitchFamily="34" charset="0"/>
            <a:cs typeface="Arial" panose="020B0604020202020204" pitchFamily="34" charset="0"/>
          </a:endParaRPr>
        </a:p>
      </cdr:txBody>
    </cdr:sp>
  </cdr:relSizeAnchor>
  <cdr:relSizeAnchor xmlns:cdr="http://schemas.openxmlformats.org/drawingml/2006/chartDrawing">
    <cdr:from>
      <cdr:x>0.45867</cdr:x>
      <cdr:y>0.6557</cdr:y>
    </cdr:from>
    <cdr:to>
      <cdr:x>0.73745</cdr:x>
      <cdr:y>0.72304</cdr:y>
    </cdr:to>
    <cdr:sp macro="" textlink="">
      <cdr:nvSpPr>
        <cdr:cNvPr id="4" name="TextBox 10">
          <a:extLst xmlns:a="http://schemas.openxmlformats.org/drawingml/2006/main">
            <a:ext uri="{FF2B5EF4-FFF2-40B4-BE49-F238E27FC236}">
              <a16:creationId xmlns:a16="http://schemas.microsoft.com/office/drawing/2014/main" id="{9E4B3244-6637-47D1-D799-8E1CC0DF7919}"/>
            </a:ext>
          </a:extLst>
        </cdr:cNvPr>
        <cdr:cNvSpPr txBox="1"/>
      </cdr:nvSpPr>
      <cdr:spPr>
        <a:xfrm xmlns:a="http://schemas.openxmlformats.org/drawingml/2006/main" rot="2613180">
          <a:off x="1337142" y="1254101"/>
          <a:ext cx="812733" cy="128796"/>
        </a:xfrm>
        <a:prstGeom xmlns:a="http://schemas.openxmlformats.org/drawingml/2006/main" prst="rect">
          <a:avLst/>
        </a:prstGeom>
        <a:noFill xmlns:a="http://schemas.openxmlformats.org/drawingml/2006/main"/>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800" b="1" dirty="0" err="1">
              <a:solidFill>
                <a:sysClr val="windowText" lastClr="000000"/>
              </a:solidFill>
              <a:latin typeface="Tw Cen MT" panose="020B0602020104020603" pitchFamily="34" charset="0"/>
            </a:rPr>
            <a:t>Convencional</a:t>
          </a:r>
          <a:endParaRPr lang="en-US" sz="800" b="1" dirty="0">
            <a:solidFill>
              <a:sysClr val="windowText" lastClr="000000"/>
            </a:solidFill>
            <a:latin typeface="Tw Cen MT" panose="020B0602020104020603" pitchFamily="34" charset="0"/>
          </a:endParaRPr>
        </a:p>
      </cdr:txBody>
    </cdr:sp>
  </cdr:relSizeAnchor>
  <cdr:relSizeAnchor xmlns:cdr="http://schemas.openxmlformats.org/drawingml/2006/chartDrawing">
    <cdr:from>
      <cdr:x>0.58073</cdr:x>
      <cdr:y>0.64516</cdr:y>
    </cdr:from>
    <cdr:to>
      <cdr:x>0.99951</cdr:x>
      <cdr:y>0.74753</cdr:y>
    </cdr:to>
    <cdr:sp macro="" textlink="">
      <cdr:nvSpPr>
        <cdr:cNvPr id="5" name="TextBox 10"/>
        <cdr:cNvSpPr txBox="1"/>
      </cdr:nvSpPr>
      <cdr:spPr>
        <a:xfrm xmlns:a="http://schemas.openxmlformats.org/drawingml/2006/main" rot="1362610">
          <a:off x="1747929" y="1260566"/>
          <a:ext cx="1260508" cy="200020"/>
        </a:xfrm>
        <a:prstGeom xmlns:a="http://schemas.openxmlformats.org/drawingml/2006/main" prst="rect">
          <a:avLst/>
        </a:prstGeom>
        <a:noFill xmlns:a="http://schemas.openxmlformats.org/drawingml/2006/main"/>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s-PE" sz="800" b="1" dirty="0" err="1">
              <a:solidFill>
                <a:schemeClr val="tx1"/>
              </a:solidFill>
              <a:latin typeface="Tw Cen MT" panose="020B0602020104020603" pitchFamily="34" charset="0"/>
            </a:rPr>
            <a:t>Commingling</a:t>
          </a:r>
          <a:r>
            <a:rPr lang="es-PE" sz="800" b="1" dirty="0">
              <a:solidFill>
                <a:schemeClr val="tx1"/>
              </a:solidFill>
              <a:latin typeface="Tw Cen MT" panose="020B0602020104020603" pitchFamily="34" charset="0"/>
            </a:rPr>
            <a:t> 2 WCCS</a:t>
          </a:r>
          <a:endParaRPr lang="en-US" sz="800" b="1" dirty="0">
            <a:solidFill>
              <a:schemeClr val="tx1"/>
            </a:solidFill>
            <a:latin typeface="Tw Cen MT" panose="020B0602020104020603" pitchFamily="34" charset="0"/>
          </a:endParaRPr>
        </a:p>
      </cdr:txBody>
    </cdr:sp>
  </cdr:relSizeAnchor>
  <cdr:relSizeAnchor xmlns:cdr="http://schemas.openxmlformats.org/drawingml/2006/chartDrawing">
    <cdr:from>
      <cdr:x>0.33798</cdr:x>
      <cdr:y>0.22423</cdr:y>
    </cdr:from>
    <cdr:to>
      <cdr:x>0.38579</cdr:x>
      <cdr:y>0.39329</cdr:y>
    </cdr:to>
    <cdr:cxnSp macro="">
      <cdr:nvCxnSpPr>
        <cdr:cNvPr id="10" name="Connector: Elbow 9">
          <a:extLst xmlns:a="http://schemas.openxmlformats.org/drawingml/2006/main">
            <a:ext uri="{FF2B5EF4-FFF2-40B4-BE49-F238E27FC236}">
              <a16:creationId xmlns:a16="http://schemas.microsoft.com/office/drawing/2014/main" id="{A836B6FB-3658-2A22-D0F8-582A3BF53B46}"/>
            </a:ext>
          </a:extLst>
        </cdr:cNvPr>
        <cdr:cNvCxnSpPr>
          <a:stCxn xmlns:a="http://schemas.openxmlformats.org/drawingml/2006/main" id="3" idx="1"/>
        </cdr:cNvCxnSpPr>
      </cdr:nvCxnSpPr>
      <cdr:spPr>
        <a:xfrm xmlns:a="http://schemas.openxmlformats.org/drawingml/2006/main" rot="10800000" flipV="1">
          <a:off x="985308" y="428867"/>
          <a:ext cx="139380" cy="323346"/>
        </a:xfrm>
        <a:prstGeom xmlns:a="http://schemas.openxmlformats.org/drawingml/2006/main" prst="bentConnector2">
          <a:avLst/>
        </a:prstGeom>
        <a:ln xmlns:a="http://schemas.openxmlformats.org/drawingml/2006/main" w="12700">
          <a:solidFill>
            <a:schemeClr val="tx1">
              <a:lumMod val="50000"/>
              <a:lumOff val="50000"/>
            </a:schemeClr>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0.5</cdr:x>
      <cdr:y>0.43196</cdr:y>
    </cdr:from>
    <cdr:to>
      <cdr:x>0.54782</cdr:x>
      <cdr:y>0.54443</cdr:y>
    </cdr:to>
    <cdr:cxnSp macro="">
      <cdr:nvCxnSpPr>
        <cdr:cNvPr id="23" name="Connector: Elbow 22">
          <a:extLst xmlns:a="http://schemas.openxmlformats.org/drawingml/2006/main">
            <a:ext uri="{FF2B5EF4-FFF2-40B4-BE49-F238E27FC236}">
              <a16:creationId xmlns:a16="http://schemas.microsoft.com/office/drawing/2014/main" id="{D63665BD-2711-20DA-E636-63257AE6AEBF}"/>
            </a:ext>
          </a:extLst>
        </cdr:cNvPr>
        <cdr:cNvCxnSpPr/>
      </cdr:nvCxnSpPr>
      <cdr:spPr>
        <a:xfrm xmlns:a="http://schemas.openxmlformats.org/drawingml/2006/main" rot="10800000" flipV="1">
          <a:off x="2483802" y="1511756"/>
          <a:ext cx="237551" cy="393617"/>
        </a:xfrm>
        <a:prstGeom xmlns:a="http://schemas.openxmlformats.org/drawingml/2006/main" prst="bentConnector2">
          <a:avLst/>
        </a:prstGeom>
        <a:ln xmlns:a="http://schemas.openxmlformats.org/drawingml/2006/main" w="12700">
          <a:solidFill>
            <a:schemeClr val="tx1">
              <a:lumMod val="50000"/>
              <a:lumOff val="50000"/>
            </a:schemeClr>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0.51845</cdr:x>
      <cdr:y>0.35875</cdr:y>
    </cdr:from>
    <cdr:to>
      <cdr:x>0.99325</cdr:x>
      <cdr:y>0.49471</cdr:y>
    </cdr:to>
    <cdr:sp macro="" textlink="">
      <cdr:nvSpPr>
        <cdr:cNvPr id="6" name="TextBox 10">
          <a:extLst xmlns:a="http://schemas.openxmlformats.org/drawingml/2006/main">
            <a:ext uri="{FF2B5EF4-FFF2-40B4-BE49-F238E27FC236}">
              <a16:creationId xmlns:a16="http://schemas.microsoft.com/office/drawing/2014/main" id="{183A13A5-C0C6-0C9A-3717-70D32895F8E9}"/>
            </a:ext>
          </a:extLst>
        </cdr:cNvPr>
        <cdr:cNvSpPr txBox="1"/>
      </cdr:nvSpPr>
      <cdr:spPr>
        <a:xfrm xmlns:a="http://schemas.openxmlformats.org/drawingml/2006/main">
          <a:off x="1511424" y="686157"/>
          <a:ext cx="1384175" cy="260040"/>
        </a:xfrm>
        <a:prstGeom xmlns:a="http://schemas.openxmlformats.org/drawingml/2006/main" prst="rect">
          <a:avLst/>
        </a:prstGeom>
        <a:noFill xmlns:a="http://schemas.openxmlformats.org/drawingml/2006/main"/>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800" b="1" dirty="0">
              <a:solidFill>
                <a:schemeClr val="tx1"/>
              </a:solidFill>
              <a:latin typeface="Tw Cen MT" panose="020B0602020104020603" pitchFamily="34" charset="0"/>
              <a:cs typeface="Arial" panose="020B0604020202020204" pitchFamily="34" charset="0"/>
            </a:rPr>
            <a:t>Sistema </a:t>
          </a:r>
          <a:r>
            <a:rPr lang="en-US" sz="800" b="1" dirty="0" err="1">
              <a:solidFill>
                <a:schemeClr val="tx1"/>
              </a:solidFill>
              <a:latin typeface="Tw Cen MT" panose="020B0602020104020603" pitchFamily="34" charset="0"/>
              <a:cs typeface="Arial" panose="020B0604020202020204" pitchFamily="34" charset="0"/>
            </a:rPr>
            <a:t>mecanizado</a:t>
          </a:r>
          <a:r>
            <a:rPr lang="en-US" sz="800" b="1" dirty="0">
              <a:solidFill>
                <a:schemeClr val="tx1"/>
              </a:solidFill>
              <a:latin typeface="Tw Cen MT" panose="020B0602020104020603" pitchFamily="34" charset="0"/>
              <a:cs typeface="Arial" panose="020B0604020202020204" pitchFamily="34" charset="0"/>
            </a:rPr>
            <a:t> Fase 2  </a:t>
          </a:r>
          <a:r>
            <a:rPr lang="en-US" sz="800" b="1" baseline="0" dirty="0">
              <a:solidFill>
                <a:schemeClr val="tx1"/>
              </a:solidFill>
              <a:latin typeface="Tw Cen MT" panose="020B0602020104020603" pitchFamily="34" charset="0"/>
              <a:cs typeface="Arial" panose="020B0604020202020204" pitchFamily="34" charset="0"/>
            </a:rPr>
            <a:t>@ 16 Mtpa</a:t>
          </a:r>
          <a:endParaRPr lang="en-US" sz="800" b="1" dirty="0">
            <a:solidFill>
              <a:schemeClr val="tx1"/>
            </a:solidFill>
            <a:latin typeface="Tw Cen MT" panose="020B0602020104020603" pitchFamily="34" charset="0"/>
            <a:cs typeface="Arial" panose="020B0604020202020204" pitchFamily="34" charset="0"/>
          </a:endParaRPr>
        </a:p>
      </cdr:txBody>
    </cdr:sp>
  </cdr:relSizeAnchor>
</c:userShape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07D00C878D9940AC6962B8C1682585" ma:contentTypeVersion="11" ma:contentTypeDescription="Create a new document." ma:contentTypeScope="" ma:versionID="84a12306eb773c76ae610e0cab3de2f1">
  <xsd:schema xmlns:xsd="http://www.w3.org/2001/XMLSchema" xmlns:xs="http://www.w3.org/2001/XMLSchema" xmlns:p="http://schemas.microsoft.com/office/2006/metadata/properties" xmlns:ns2="676d870c-7cf5-4e21-81de-948c261b4fec" xmlns:ns3="9c92ab2d-3884-4248-ad85-f22c0add60c0" targetNamespace="http://schemas.microsoft.com/office/2006/metadata/properties" ma:root="true" ma:fieldsID="c711ddeed649886a2320941e1b9569ef" ns2:_="" ns3:_="">
    <xsd:import namespace="676d870c-7cf5-4e21-81de-948c261b4fec"/>
    <xsd:import namespace="9c92ab2d-3884-4248-ad85-f22c0add60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6d870c-7cf5-4e21-81de-948c261b4f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0ca70c-1246-4e2b-9d4e-2bf0b46995b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c92ab2d-3884-4248-ad85-f22c0add60c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e2dc399-2d15-42c7-9cdd-c67827439404}" ma:internalName="TaxCatchAll" ma:showField="CatchAllData" ma:web="9c92ab2d-3884-4248-ad85-f22c0add60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76d870c-7cf5-4e21-81de-948c261b4fec">
      <Terms xmlns="http://schemas.microsoft.com/office/infopath/2007/PartnerControls"/>
    </lcf76f155ced4ddcb4097134ff3c332f>
    <TaxCatchAll xmlns="9c92ab2d-3884-4248-ad85-f22c0add60c0" xsi:nil="true"/>
  </documentManagement>
</p:properties>
</file>

<file path=customXml/itemProps1.xml><?xml version="1.0" encoding="utf-8"?>
<ds:datastoreItem xmlns:ds="http://schemas.openxmlformats.org/officeDocument/2006/customXml" ds:itemID="{63B9941B-F9CB-4E61-AAA4-C8EC53C75D76}">
  <ds:schemaRefs>
    <ds:schemaRef ds:uri="http://schemas.microsoft.com/sharepoint/v3/contenttype/forms"/>
  </ds:schemaRefs>
</ds:datastoreItem>
</file>

<file path=customXml/itemProps2.xml><?xml version="1.0" encoding="utf-8"?>
<ds:datastoreItem xmlns:ds="http://schemas.openxmlformats.org/officeDocument/2006/customXml" ds:itemID="{04CB9EC9-FB07-4243-9285-CDDC6132D57E}"/>
</file>

<file path=customXml/itemProps3.xml><?xml version="1.0" encoding="utf-8"?>
<ds:datastoreItem xmlns:ds="http://schemas.openxmlformats.org/officeDocument/2006/customXml" ds:itemID="{A4BE9167-CE23-4522-B44F-6CF524B923CA}">
  <ds:schemaRefs>
    <ds:schemaRef ds:uri="http://purl.org/dc/terms/"/>
    <ds:schemaRef ds:uri="http://schemas.microsoft.com/office/2006/metadata/properties"/>
    <ds:schemaRef ds:uri="d114b9f1-2db8-4e22-836a-1bb2d22b66e2"/>
    <ds:schemaRef ds:uri="http://purl.org/dc/dcmitype/"/>
    <ds:schemaRef ds:uri="http://purl.org/dc/elements/1.1/"/>
    <ds:schemaRef ds:uri="9a788d16-92a6-4588-a451-33779e7bf2d9"/>
    <ds:schemaRef ds:uri="http://schemas.microsoft.com/office/2006/documentManagement/types"/>
    <ds:schemaRef ds:uri="http://schemas.microsoft.com/office/infopath/2007/PartnerControls"/>
    <ds:schemaRef ds:uri="http://schemas.openxmlformats.org/package/2006/metadata/core-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756</TotalTime>
  <Pages>10</Pages>
  <Words>3499</Words>
  <Characters>21443</Characters>
  <Application>Microsoft Office Word</Application>
  <DocSecurity>0</DocSecurity>
  <Lines>178</Lines>
  <Paragraphs>49</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24893</CharactersWithSpaces>
  <SharedDoc>false</SharedDoc>
  <HLinks>
    <vt:vector size="18" baseType="variant">
      <vt:variant>
        <vt:i4>2293764</vt:i4>
      </vt:variant>
      <vt:variant>
        <vt:i4>6</vt:i4>
      </vt:variant>
      <vt:variant>
        <vt:i4>0</vt:i4>
      </vt:variant>
      <vt:variant>
        <vt:i4>5</vt:i4>
      </vt:variant>
      <vt:variant>
        <vt:lpwstr>mailto:fangeles@antamina.com</vt:lpwstr>
      </vt:variant>
      <vt:variant>
        <vt:lpwstr/>
      </vt:variant>
      <vt:variant>
        <vt:i4>2424856</vt:i4>
      </vt:variant>
      <vt:variant>
        <vt:i4>3</vt:i4>
      </vt:variant>
      <vt:variant>
        <vt:i4>0</vt:i4>
      </vt:variant>
      <vt:variant>
        <vt:i4>5</vt:i4>
      </vt:variant>
      <vt:variant>
        <vt:lpwstr>mailto:ocabrera@antamina.com</vt:lpwstr>
      </vt:variant>
      <vt:variant>
        <vt:lpwstr/>
      </vt:variant>
      <vt:variant>
        <vt:i4>3473417</vt:i4>
      </vt:variant>
      <vt:variant>
        <vt:i4>0</vt:i4>
      </vt:variant>
      <vt:variant>
        <vt:i4>0</vt:i4>
      </vt:variant>
      <vt:variant>
        <vt:i4>5</vt:i4>
      </vt:variant>
      <vt:variant>
        <vt:lpwstr>mailto:cquirozc@antamina.com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Sempéré</dc:creator>
  <cp:keywords/>
  <cp:lastModifiedBy>Quiroz Cotrina, Christa</cp:lastModifiedBy>
  <cp:revision>214</cp:revision>
  <cp:lastPrinted>2015-02-13T19:19:00Z</cp:lastPrinted>
  <dcterms:created xsi:type="dcterms:W3CDTF">2025-05-26T20:35:00Z</dcterms:created>
  <dcterms:modified xsi:type="dcterms:W3CDTF">2025-07-04T21:15:00Z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0x0101001907D00C878D9940AC6962B8C1682585</vt:lpwstr>
  </property>
  <property fmtid="{D5CDD505-2E9C-101B-9397-08002B2CF9AE}" pid="3" name="MediaServiceImageTags">
    <vt:lpwstr/>
  </property>
  <property fmtid="{D5CDD505-2E9C-101B-9397-08002B2CF9AE}" pid="4" name="GrammarlyDocumentId">
    <vt:lpwstr>6ab26c6a-f31f-4a70-9f97-cba003ccffc2</vt:lpwstr>
  </property>
</Properties>
</file>