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7B3E0" w14:textId="6A5DB80D" w:rsidR="00D35898" w:rsidRPr="00804C4B" w:rsidRDefault="00421BF3" w:rsidP="00804C4B">
      <w:pPr>
        <w:spacing w:line="360" w:lineRule="auto"/>
        <w:jc w:val="both"/>
        <w:rPr>
          <w:rFonts w:cs="Arial"/>
          <w:sz w:val="22"/>
          <w:szCs w:val="22"/>
          <w:lang w:val="es-ES"/>
        </w:rPr>
      </w:pPr>
      <w:r w:rsidRPr="00804C4B">
        <w:rPr>
          <w:rFonts w:cs="Arial"/>
          <w:b/>
          <w:bCs/>
          <w:sz w:val="22"/>
          <w:szCs w:val="22"/>
          <w:lang w:val="es-ES"/>
        </w:rPr>
        <w:t>Resumen</w:t>
      </w:r>
      <w:r w:rsidRPr="00804C4B">
        <w:rPr>
          <w:rFonts w:cs="Arial"/>
          <w:sz w:val="22"/>
          <w:szCs w:val="22"/>
          <w:lang w:val="es-ES"/>
        </w:rPr>
        <w:t>:</w:t>
      </w:r>
    </w:p>
    <w:p w14:paraId="1F576D0E" w14:textId="58845896" w:rsidR="00D66BB3" w:rsidRPr="00804C4B" w:rsidRDefault="00D66BB3" w:rsidP="00804C4B">
      <w:pPr>
        <w:spacing w:after="240" w:line="360" w:lineRule="auto"/>
        <w:jc w:val="both"/>
        <w:rPr>
          <w:rFonts w:cs="Arial"/>
          <w:bCs/>
          <w:iCs/>
          <w:sz w:val="22"/>
          <w:szCs w:val="22"/>
          <w:lang w:val="es-ES"/>
        </w:rPr>
      </w:pPr>
      <w:r w:rsidRPr="00804C4B">
        <w:rPr>
          <w:rFonts w:cs="Arial"/>
          <w:bCs/>
          <w:iCs/>
          <w:sz w:val="22"/>
          <w:szCs w:val="22"/>
          <w:lang w:val="es-ES"/>
        </w:rPr>
        <w:t xml:space="preserve">La legislación nacional para el aseguramiento de la estabilidad de depósitos de residuos mineros tales como relaveras y </w:t>
      </w:r>
      <w:proofErr w:type="spellStart"/>
      <w:r w:rsidRPr="00804C4B">
        <w:rPr>
          <w:rFonts w:cs="Arial"/>
          <w:bCs/>
          <w:iCs/>
          <w:sz w:val="22"/>
          <w:szCs w:val="22"/>
          <w:lang w:val="es-ES"/>
        </w:rPr>
        <w:t>desmonteras</w:t>
      </w:r>
      <w:proofErr w:type="spellEnd"/>
      <w:r w:rsidRPr="00804C4B">
        <w:rPr>
          <w:rFonts w:cs="Arial"/>
          <w:bCs/>
          <w:iCs/>
          <w:sz w:val="22"/>
          <w:szCs w:val="22"/>
          <w:lang w:val="es-ES"/>
        </w:rPr>
        <w:t xml:space="preserve"> se sustentan en la “Guía Ambiental para la estabilidad de taludes de depósitos provenientes de actividades mineras-RD 034-98 EM /DGAA.”, “Guía para la elaboración de planes de cierre de minas-DS 033-2005-EM”,” Reglamento de seguridad y salud ocupacional en minería DS 024-2016-EM”.</w:t>
      </w:r>
    </w:p>
    <w:p w14:paraId="77FF6F00" w14:textId="1B9EFA7E" w:rsidR="00D66BB3" w:rsidRPr="00804C4B" w:rsidRDefault="00D66BB3" w:rsidP="00804C4B">
      <w:pPr>
        <w:spacing w:after="240" w:line="360" w:lineRule="auto"/>
        <w:jc w:val="both"/>
        <w:rPr>
          <w:rFonts w:cs="Arial"/>
          <w:bCs/>
          <w:iCs/>
          <w:sz w:val="22"/>
          <w:szCs w:val="22"/>
          <w:lang w:val="es-ES"/>
        </w:rPr>
      </w:pPr>
      <w:r w:rsidRPr="00804C4B">
        <w:rPr>
          <w:rFonts w:cs="Arial"/>
          <w:bCs/>
          <w:iCs/>
          <w:sz w:val="22"/>
          <w:szCs w:val="22"/>
          <w:lang w:val="es-ES"/>
        </w:rPr>
        <w:t xml:space="preserve">Esta legislación establece factores </w:t>
      </w:r>
      <w:r w:rsidR="00613FD9" w:rsidRPr="00804C4B">
        <w:rPr>
          <w:rFonts w:cs="Arial"/>
          <w:bCs/>
          <w:iCs/>
          <w:sz w:val="22"/>
          <w:szCs w:val="22"/>
          <w:lang w:val="es-ES"/>
        </w:rPr>
        <w:t>mínimos</w:t>
      </w:r>
      <w:r w:rsidRPr="00804C4B">
        <w:rPr>
          <w:rFonts w:cs="Arial"/>
          <w:bCs/>
          <w:iCs/>
          <w:sz w:val="22"/>
          <w:szCs w:val="22"/>
          <w:lang w:val="es-ES"/>
        </w:rPr>
        <w:t xml:space="preserve"> de seguridad para taludes aguas abajo en análisis </w:t>
      </w:r>
      <w:r w:rsidR="00613FD9" w:rsidRPr="00804C4B">
        <w:rPr>
          <w:rFonts w:cs="Arial"/>
          <w:bCs/>
          <w:iCs/>
          <w:sz w:val="22"/>
          <w:szCs w:val="22"/>
          <w:lang w:val="es-ES"/>
        </w:rPr>
        <w:t>estático</w:t>
      </w:r>
      <w:r w:rsidRPr="00804C4B">
        <w:rPr>
          <w:rFonts w:cs="Arial"/>
          <w:bCs/>
          <w:iCs/>
          <w:sz w:val="22"/>
          <w:szCs w:val="22"/>
          <w:lang w:val="es-ES"/>
        </w:rPr>
        <w:t xml:space="preserve"> entre 1.2 a 1.5 dependiendo si se considera que se producirá daños severos como consecuencia de una falla. Adicionalmente, para el análisis </w:t>
      </w:r>
      <w:proofErr w:type="spellStart"/>
      <w:r w:rsidRPr="00804C4B">
        <w:rPr>
          <w:rFonts w:cs="Arial"/>
          <w:bCs/>
          <w:iCs/>
          <w:sz w:val="22"/>
          <w:szCs w:val="22"/>
          <w:lang w:val="es-ES"/>
        </w:rPr>
        <w:t>pseudo-est</w:t>
      </w:r>
      <w:r w:rsidR="00613FD9" w:rsidRPr="00804C4B">
        <w:rPr>
          <w:rFonts w:cs="Arial"/>
          <w:bCs/>
          <w:iCs/>
          <w:sz w:val="22"/>
          <w:szCs w:val="22"/>
          <w:lang w:val="es-ES"/>
        </w:rPr>
        <w:t>á</w:t>
      </w:r>
      <w:r w:rsidRPr="00804C4B">
        <w:rPr>
          <w:rFonts w:cs="Arial"/>
          <w:bCs/>
          <w:iCs/>
          <w:sz w:val="22"/>
          <w:szCs w:val="22"/>
          <w:lang w:val="es-ES"/>
        </w:rPr>
        <w:t>tico</w:t>
      </w:r>
      <w:proofErr w:type="spellEnd"/>
      <w:r w:rsidRPr="00804C4B">
        <w:rPr>
          <w:rFonts w:cs="Arial"/>
          <w:bCs/>
          <w:iCs/>
          <w:sz w:val="22"/>
          <w:szCs w:val="22"/>
          <w:lang w:val="es-ES"/>
        </w:rPr>
        <w:t xml:space="preserve"> establece un factor de seguridad mínima mayor a 1 considerando condiciones de operación y cierre para sismos con periodos de retorno de 150 y 500 años respectivamente.</w:t>
      </w:r>
    </w:p>
    <w:p w14:paraId="1D5246B1" w14:textId="6F3BB7F2" w:rsidR="00D66BB3" w:rsidRPr="00804C4B" w:rsidRDefault="00D66BB3" w:rsidP="00804C4B">
      <w:pPr>
        <w:spacing w:after="240" w:line="360" w:lineRule="auto"/>
        <w:jc w:val="both"/>
        <w:rPr>
          <w:rFonts w:cs="Arial"/>
          <w:bCs/>
          <w:iCs/>
          <w:sz w:val="22"/>
          <w:szCs w:val="22"/>
          <w:lang w:val="es-ES"/>
        </w:rPr>
      </w:pPr>
      <w:r w:rsidRPr="00804C4B">
        <w:rPr>
          <w:rFonts w:cs="Arial"/>
          <w:bCs/>
          <w:iCs/>
          <w:sz w:val="22"/>
          <w:szCs w:val="22"/>
          <w:lang w:val="es-ES"/>
        </w:rPr>
        <w:t xml:space="preserve">La normativa nacional adolece de tres aspectos fundamentales. La primera es que no </w:t>
      </w:r>
      <w:r w:rsidR="00613FD9" w:rsidRPr="00804C4B">
        <w:rPr>
          <w:rFonts w:cs="Arial"/>
          <w:bCs/>
          <w:iCs/>
          <w:sz w:val="22"/>
          <w:szCs w:val="22"/>
          <w:lang w:val="es-ES"/>
        </w:rPr>
        <w:t>discrimina</w:t>
      </w:r>
      <w:r w:rsidRPr="00804C4B">
        <w:rPr>
          <w:rFonts w:cs="Arial"/>
          <w:bCs/>
          <w:iCs/>
          <w:sz w:val="22"/>
          <w:szCs w:val="22"/>
          <w:lang w:val="es-ES"/>
        </w:rPr>
        <w:t xml:space="preserve"> entre la infraestructura que se quiere asegurar la estabilidad tal es el caso de taludes de carretera, taludes </w:t>
      </w:r>
      <w:r w:rsidR="00613FD9" w:rsidRPr="00804C4B">
        <w:rPr>
          <w:rFonts w:cs="Arial"/>
          <w:bCs/>
          <w:iCs/>
          <w:sz w:val="22"/>
          <w:szCs w:val="22"/>
          <w:lang w:val="es-ES"/>
        </w:rPr>
        <w:t>mineros,</w:t>
      </w:r>
      <w:r w:rsidRPr="00804C4B">
        <w:rPr>
          <w:rFonts w:cs="Arial"/>
          <w:bCs/>
          <w:iCs/>
          <w:sz w:val="22"/>
          <w:szCs w:val="22"/>
          <w:lang w:val="es-ES"/>
        </w:rPr>
        <w:t xml:space="preserve"> </w:t>
      </w:r>
      <w:r w:rsidR="00613FD9" w:rsidRPr="00804C4B">
        <w:rPr>
          <w:rFonts w:cs="Arial"/>
          <w:bCs/>
          <w:iCs/>
          <w:sz w:val="22"/>
          <w:szCs w:val="22"/>
          <w:lang w:val="es-ES"/>
        </w:rPr>
        <w:t>depósito</w:t>
      </w:r>
      <w:r w:rsidRPr="00804C4B">
        <w:rPr>
          <w:rFonts w:cs="Arial"/>
          <w:bCs/>
          <w:iCs/>
          <w:sz w:val="22"/>
          <w:szCs w:val="22"/>
          <w:lang w:val="es-ES"/>
        </w:rPr>
        <w:t xml:space="preserve"> de desmonte y </w:t>
      </w:r>
      <w:r w:rsidR="00613FD9" w:rsidRPr="00804C4B">
        <w:rPr>
          <w:rFonts w:cs="Arial"/>
          <w:bCs/>
          <w:iCs/>
          <w:sz w:val="22"/>
          <w:szCs w:val="22"/>
          <w:lang w:val="es-ES"/>
        </w:rPr>
        <w:t>depósito</w:t>
      </w:r>
      <w:r w:rsidRPr="00804C4B">
        <w:rPr>
          <w:rFonts w:cs="Arial"/>
          <w:bCs/>
          <w:iCs/>
          <w:sz w:val="22"/>
          <w:szCs w:val="22"/>
          <w:lang w:val="es-ES"/>
        </w:rPr>
        <w:t xml:space="preserve"> de relaves. La segunda es que no considera porcentajes de probabilidad de falla mínimo inherente de la variabilidad de la caracterización </w:t>
      </w:r>
      <w:r w:rsidR="00613FD9" w:rsidRPr="00804C4B">
        <w:rPr>
          <w:rFonts w:cs="Arial"/>
          <w:bCs/>
          <w:iCs/>
          <w:sz w:val="22"/>
          <w:szCs w:val="22"/>
          <w:lang w:val="es-ES"/>
        </w:rPr>
        <w:t>geotécnica. Finalmente,</w:t>
      </w:r>
      <w:r w:rsidRPr="00804C4B">
        <w:rPr>
          <w:rFonts w:cs="Arial"/>
          <w:bCs/>
          <w:iCs/>
          <w:sz w:val="22"/>
          <w:szCs w:val="22"/>
          <w:lang w:val="es-ES"/>
        </w:rPr>
        <w:t xml:space="preserve"> la tercera es que no realiza una evaluación de riesgo integral vista desde la confiabilidad de la información y las consecuencias de una posible falla.</w:t>
      </w:r>
    </w:p>
    <w:p w14:paraId="786EB928" w14:textId="41DAB82E" w:rsidR="00D66BB3" w:rsidRPr="00804C4B" w:rsidRDefault="00D66BB3" w:rsidP="00804C4B">
      <w:pPr>
        <w:spacing w:after="240" w:line="360" w:lineRule="auto"/>
        <w:jc w:val="both"/>
        <w:rPr>
          <w:rFonts w:cs="Arial"/>
          <w:bCs/>
          <w:iCs/>
          <w:sz w:val="22"/>
          <w:szCs w:val="22"/>
          <w:lang w:val="es-ES"/>
        </w:rPr>
      </w:pPr>
      <w:r w:rsidRPr="00804C4B">
        <w:rPr>
          <w:rFonts w:cs="Arial"/>
          <w:bCs/>
          <w:iCs/>
          <w:sz w:val="22"/>
          <w:szCs w:val="22"/>
          <w:lang w:val="es-ES"/>
        </w:rPr>
        <w:t xml:space="preserve">En ese sentido, el presente articulo propone </w:t>
      </w:r>
      <w:r w:rsidR="00804C4B">
        <w:rPr>
          <w:rFonts w:cs="Arial"/>
          <w:bCs/>
          <w:iCs/>
          <w:sz w:val="22"/>
          <w:szCs w:val="22"/>
          <w:lang w:val="es-ES"/>
        </w:rPr>
        <w:t xml:space="preserve">el </w:t>
      </w:r>
      <w:r w:rsidRPr="00804C4B">
        <w:rPr>
          <w:rFonts w:cs="Arial"/>
          <w:bCs/>
          <w:iCs/>
          <w:sz w:val="22"/>
          <w:szCs w:val="22"/>
          <w:lang w:val="es-ES"/>
        </w:rPr>
        <w:t xml:space="preserve">establecimiento de criterios de diseño de depósitos de residuos mineros mediante la clasificación de riesgo por lo cual se </w:t>
      </w:r>
      <w:r w:rsidR="00613FD9" w:rsidRPr="00804C4B">
        <w:rPr>
          <w:rFonts w:cs="Arial"/>
          <w:bCs/>
          <w:iCs/>
          <w:sz w:val="22"/>
          <w:szCs w:val="22"/>
          <w:lang w:val="es-ES"/>
        </w:rPr>
        <w:t>utilizará</w:t>
      </w:r>
      <w:r w:rsidRPr="00804C4B">
        <w:rPr>
          <w:rFonts w:cs="Arial"/>
          <w:bCs/>
          <w:iCs/>
          <w:sz w:val="22"/>
          <w:szCs w:val="22"/>
          <w:lang w:val="es-ES"/>
        </w:rPr>
        <w:t xml:space="preserve"> el sistema WSRHC (</w:t>
      </w:r>
      <w:proofErr w:type="spellStart"/>
      <w:r w:rsidRPr="00804C4B">
        <w:rPr>
          <w:rFonts w:cs="Arial"/>
          <w:bCs/>
          <w:iCs/>
          <w:sz w:val="22"/>
          <w:szCs w:val="22"/>
          <w:lang w:val="es-ES"/>
        </w:rPr>
        <w:t>Waste</w:t>
      </w:r>
      <w:proofErr w:type="spellEnd"/>
      <w:r w:rsidRPr="00804C4B">
        <w:rPr>
          <w:rFonts w:cs="Arial"/>
          <w:bCs/>
          <w:iCs/>
          <w:sz w:val="22"/>
          <w:szCs w:val="22"/>
          <w:lang w:val="es-ES"/>
        </w:rPr>
        <w:t xml:space="preserve"> </w:t>
      </w:r>
      <w:proofErr w:type="spellStart"/>
      <w:r w:rsidRPr="00804C4B">
        <w:rPr>
          <w:rFonts w:cs="Arial"/>
          <w:bCs/>
          <w:iCs/>
          <w:sz w:val="22"/>
          <w:szCs w:val="22"/>
          <w:lang w:val="es-ES"/>
        </w:rPr>
        <w:t>dump</w:t>
      </w:r>
      <w:proofErr w:type="spellEnd"/>
      <w:r w:rsidRPr="00804C4B">
        <w:rPr>
          <w:rFonts w:cs="Arial"/>
          <w:bCs/>
          <w:iCs/>
          <w:sz w:val="22"/>
          <w:szCs w:val="22"/>
          <w:lang w:val="es-ES"/>
        </w:rPr>
        <w:t xml:space="preserve"> and </w:t>
      </w:r>
      <w:proofErr w:type="spellStart"/>
      <w:r w:rsidRPr="00804C4B">
        <w:rPr>
          <w:rFonts w:cs="Arial"/>
          <w:bCs/>
          <w:iCs/>
          <w:sz w:val="22"/>
          <w:szCs w:val="22"/>
          <w:lang w:val="es-ES"/>
        </w:rPr>
        <w:t>Stockpile</w:t>
      </w:r>
      <w:proofErr w:type="spellEnd"/>
      <w:r w:rsidRPr="00804C4B">
        <w:rPr>
          <w:rFonts w:cs="Arial"/>
          <w:bCs/>
          <w:iCs/>
          <w:sz w:val="22"/>
          <w:szCs w:val="22"/>
          <w:lang w:val="es-ES"/>
        </w:rPr>
        <w:t xml:space="preserve"> </w:t>
      </w:r>
      <w:proofErr w:type="spellStart"/>
      <w:r w:rsidRPr="00804C4B">
        <w:rPr>
          <w:rFonts w:cs="Arial"/>
          <w:bCs/>
          <w:iCs/>
          <w:sz w:val="22"/>
          <w:szCs w:val="22"/>
          <w:lang w:val="es-ES"/>
        </w:rPr>
        <w:t>Stability</w:t>
      </w:r>
      <w:proofErr w:type="spellEnd"/>
      <w:r w:rsidRPr="00804C4B">
        <w:rPr>
          <w:rFonts w:cs="Arial"/>
          <w:bCs/>
          <w:iCs/>
          <w:sz w:val="22"/>
          <w:szCs w:val="22"/>
          <w:lang w:val="es-ES"/>
        </w:rPr>
        <w:t xml:space="preserve"> Rating and Hazard </w:t>
      </w:r>
      <w:proofErr w:type="spellStart"/>
      <w:r w:rsidRPr="00804C4B">
        <w:rPr>
          <w:rFonts w:cs="Arial"/>
          <w:bCs/>
          <w:iCs/>
          <w:sz w:val="22"/>
          <w:szCs w:val="22"/>
          <w:lang w:val="es-ES"/>
        </w:rPr>
        <w:t>Classification</w:t>
      </w:r>
      <w:proofErr w:type="spellEnd"/>
      <w:r w:rsidRPr="00804C4B">
        <w:rPr>
          <w:rFonts w:cs="Arial"/>
          <w:bCs/>
          <w:iCs/>
          <w:sz w:val="22"/>
          <w:szCs w:val="22"/>
          <w:lang w:val="es-ES"/>
        </w:rPr>
        <w:t>) desarrollado por CSIRO en el 2017.</w:t>
      </w:r>
    </w:p>
    <w:p w14:paraId="4AC230F6" w14:textId="53AD4C92" w:rsidR="00D66BB3" w:rsidRPr="00804C4B" w:rsidRDefault="00D66BB3" w:rsidP="00804C4B">
      <w:pPr>
        <w:spacing w:after="240" w:line="360" w:lineRule="auto"/>
        <w:jc w:val="both"/>
        <w:rPr>
          <w:rFonts w:cs="Arial"/>
          <w:bCs/>
          <w:iCs/>
          <w:sz w:val="22"/>
          <w:szCs w:val="22"/>
          <w:lang w:val="es-ES"/>
        </w:rPr>
      </w:pPr>
      <w:r w:rsidRPr="00804C4B">
        <w:rPr>
          <w:rFonts w:cs="Arial"/>
          <w:bCs/>
          <w:iCs/>
          <w:sz w:val="22"/>
          <w:szCs w:val="22"/>
          <w:lang w:val="es-ES"/>
        </w:rPr>
        <w:t xml:space="preserve">Este sistema </w:t>
      </w:r>
      <w:r w:rsidR="00613FD9" w:rsidRPr="00804C4B">
        <w:rPr>
          <w:rFonts w:cs="Arial"/>
          <w:bCs/>
          <w:iCs/>
          <w:sz w:val="22"/>
          <w:szCs w:val="22"/>
          <w:lang w:val="es-ES"/>
        </w:rPr>
        <w:t>evalúa</w:t>
      </w:r>
      <w:r w:rsidRPr="00804C4B">
        <w:rPr>
          <w:rFonts w:cs="Arial"/>
          <w:bCs/>
          <w:iCs/>
          <w:sz w:val="22"/>
          <w:szCs w:val="22"/>
          <w:lang w:val="es-ES"/>
        </w:rPr>
        <w:t xml:space="preserve"> 22 factores claves que afectan el desempeño de depósitos de desmonte. Estos factores se organizan en siete grupos, en cada uno de ellos se asigna una clasificación numérica y la suma de estos define el riesgo de inestabilidad del </w:t>
      </w:r>
      <w:r w:rsidR="00613FD9" w:rsidRPr="00804C4B">
        <w:rPr>
          <w:rFonts w:cs="Arial"/>
          <w:bCs/>
          <w:iCs/>
          <w:sz w:val="22"/>
          <w:szCs w:val="22"/>
          <w:lang w:val="es-ES"/>
        </w:rPr>
        <w:t>depósito</w:t>
      </w:r>
      <w:r w:rsidRPr="00804C4B">
        <w:rPr>
          <w:rFonts w:cs="Arial"/>
          <w:bCs/>
          <w:iCs/>
          <w:sz w:val="22"/>
          <w:szCs w:val="22"/>
          <w:lang w:val="es-ES"/>
        </w:rPr>
        <w:t xml:space="preserve"> de desmonte mediante un indicador global denominado WSR (</w:t>
      </w:r>
      <w:proofErr w:type="spellStart"/>
      <w:r w:rsidRPr="00804C4B">
        <w:rPr>
          <w:rFonts w:cs="Arial"/>
          <w:bCs/>
          <w:iCs/>
          <w:sz w:val="22"/>
          <w:szCs w:val="22"/>
          <w:lang w:val="es-ES"/>
        </w:rPr>
        <w:t>Waste</w:t>
      </w:r>
      <w:proofErr w:type="spellEnd"/>
      <w:r w:rsidRPr="00804C4B">
        <w:rPr>
          <w:rFonts w:cs="Arial"/>
          <w:bCs/>
          <w:iCs/>
          <w:sz w:val="22"/>
          <w:szCs w:val="22"/>
          <w:lang w:val="es-ES"/>
        </w:rPr>
        <w:t xml:space="preserve"> </w:t>
      </w:r>
      <w:proofErr w:type="spellStart"/>
      <w:r w:rsidRPr="00804C4B">
        <w:rPr>
          <w:rFonts w:cs="Arial"/>
          <w:bCs/>
          <w:iCs/>
          <w:sz w:val="22"/>
          <w:szCs w:val="22"/>
          <w:lang w:val="es-ES"/>
        </w:rPr>
        <w:t>dump</w:t>
      </w:r>
      <w:proofErr w:type="spellEnd"/>
      <w:r w:rsidRPr="00804C4B">
        <w:rPr>
          <w:rFonts w:cs="Arial"/>
          <w:bCs/>
          <w:iCs/>
          <w:sz w:val="22"/>
          <w:szCs w:val="22"/>
          <w:lang w:val="es-ES"/>
        </w:rPr>
        <w:t xml:space="preserve"> </w:t>
      </w:r>
      <w:proofErr w:type="spellStart"/>
      <w:r w:rsidRPr="00804C4B">
        <w:rPr>
          <w:rFonts w:cs="Arial"/>
          <w:bCs/>
          <w:iCs/>
          <w:sz w:val="22"/>
          <w:szCs w:val="22"/>
          <w:lang w:val="es-ES"/>
        </w:rPr>
        <w:t>Stability</w:t>
      </w:r>
      <w:proofErr w:type="spellEnd"/>
      <w:r w:rsidRPr="00804C4B">
        <w:rPr>
          <w:rFonts w:cs="Arial"/>
          <w:bCs/>
          <w:iCs/>
          <w:sz w:val="22"/>
          <w:szCs w:val="22"/>
          <w:lang w:val="es-ES"/>
        </w:rPr>
        <w:t xml:space="preserve"> Rating). El WSR establece cinco franjas que </w:t>
      </w:r>
      <w:r w:rsidR="00613FD9" w:rsidRPr="00804C4B">
        <w:rPr>
          <w:rFonts w:cs="Arial"/>
          <w:bCs/>
          <w:iCs/>
          <w:sz w:val="22"/>
          <w:szCs w:val="22"/>
          <w:lang w:val="es-ES"/>
        </w:rPr>
        <w:t>varían</w:t>
      </w:r>
      <w:r w:rsidRPr="00804C4B">
        <w:rPr>
          <w:rFonts w:cs="Arial"/>
          <w:bCs/>
          <w:iCs/>
          <w:sz w:val="22"/>
          <w:szCs w:val="22"/>
          <w:lang w:val="es-ES"/>
        </w:rPr>
        <w:t xml:space="preserve"> de 0 a 100 separados por intervalos de 20 el cual indica </w:t>
      </w:r>
      <w:r w:rsidR="00613FD9" w:rsidRPr="00804C4B">
        <w:rPr>
          <w:rFonts w:cs="Arial"/>
          <w:bCs/>
          <w:iCs/>
          <w:sz w:val="22"/>
          <w:szCs w:val="22"/>
          <w:lang w:val="es-ES"/>
        </w:rPr>
        <w:t xml:space="preserve">el nivel de peligro desde el más bajo al </w:t>
      </w:r>
      <w:r w:rsidR="00804C4B" w:rsidRPr="00804C4B">
        <w:rPr>
          <w:rFonts w:cs="Arial"/>
          <w:bCs/>
          <w:iCs/>
          <w:sz w:val="22"/>
          <w:szCs w:val="22"/>
          <w:lang w:val="es-ES"/>
        </w:rPr>
        <w:t>más</w:t>
      </w:r>
      <w:r w:rsidR="00613FD9" w:rsidRPr="00804C4B">
        <w:rPr>
          <w:rFonts w:cs="Arial"/>
          <w:bCs/>
          <w:iCs/>
          <w:sz w:val="22"/>
          <w:szCs w:val="22"/>
          <w:lang w:val="es-ES"/>
        </w:rPr>
        <w:t xml:space="preserve"> alto </w:t>
      </w:r>
    </w:p>
    <w:p w14:paraId="411B83E6" w14:textId="5F14298F" w:rsidR="000701C1" w:rsidRPr="00804C4B" w:rsidRDefault="00D66BB3" w:rsidP="00804C4B">
      <w:pPr>
        <w:spacing w:before="360" w:after="240" w:line="360" w:lineRule="auto"/>
        <w:jc w:val="both"/>
        <w:rPr>
          <w:rFonts w:cs="Arial"/>
          <w:sz w:val="22"/>
          <w:szCs w:val="22"/>
          <w:lang w:val="es-ES"/>
        </w:rPr>
      </w:pPr>
      <w:r w:rsidRPr="00804C4B">
        <w:rPr>
          <w:rFonts w:cs="Arial"/>
          <w:bCs/>
          <w:iCs/>
          <w:sz w:val="22"/>
          <w:szCs w:val="22"/>
          <w:lang w:val="es-ES"/>
        </w:rPr>
        <w:t>Después de establecido el nivel riesgo se establecen factores de seguridad, porcentajes de probabilidad</w:t>
      </w:r>
      <w:r w:rsidR="0023086A" w:rsidRPr="00804C4B">
        <w:rPr>
          <w:rFonts w:cs="Arial"/>
          <w:bCs/>
          <w:iCs/>
          <w:sz w:val="22"/>
          <w:szCs w:val="22"/>
          <w:lang w:val="es-ES"/>
        </w:rPr>
        <w:t xml:space="preserve"> de falla</w:t>
      </w:r>
      <w:r w:rsidRPr="00804C4B">
        <w:rPr>
          <w:rFonts w:cs="Arial"/>
          <w:bCs/>
          <w:iCs/>
          <w:sz w:val="22"/>
          <w:szCs w:val="22"/>
          <w:lang w:val="es-ES"/>
        </w:rPr>
        <w:t xml:space="preserve"> y porcentajes de deformaciones </w:t>
      </w:r>
      <w:r w:rsidR="00613FD9" w:rsidRPr="00804C4B">
        <w:rPr>
          <w:rFonts w:cs="Arial"/>
          <w:bCs/>
          <w:iCs/>
          <w:sz w:val="22"/>
          <w:szCs w:val="22"/>
          <w:lang w:val="es-ES"/>
        </w:rPr>
        <w:t>mínimas</w:t>
      </w:r>
      <w:r w:rsidRPr="00804C4B">
        <w:rPr>
          <w:rFonts w:cs="Arial"/>
          <w:bCs/>
          <w:iCs/>
          <w:sz w:val="22"/>
          <w:szCs w:val="22"/>
          <w:lang w:val="es-ES"/>
        </w:rPr>
        <w:t xml:space="preserve"> para análisis </w:t>
      </w:r>
      <w:r w:rsidR="00613FD9" w:rsidRPr="00804C4B">
        <w:rPr>
          <w:rFonts w:cs="Arial"/>
          <w:bCs/>
          <w:iCs/>
          <w:sz w:val="22"/>
          <w:szCs w:val="22"/>
          <w:lang w:val="es-ES"/>
        </w:rPr>
        <w:t>estático</w:t>
      </w:r>
      <w:r w:rsidRPr="00804C4B">
        <w:rPr>
          <w:rFonts w:cs="Arial"/>
          <w:bCs/>
          <w:iCs/>
          <w:sz w:val="22"/>
          <w:szCs w:val="22"/>
          <w:lang w:val="es-ES"/>
        </w:rPr>
        <w:t xml:space="preserve">, </w:t>
      </w:r>
      <w:proofErr w:type="spellStart"/>
      <w:r w:rsidRPr="00804C4B">
        <w:rPr>
          <w:rFonts w:cs="Arial"/>
          <w:bCs/>
          <w:iCs/>
          <w:sz w:val="22"/>
          <w:szCs w:val="22"/>
          <w:lang w:val="es-ES"/>
        </w:rPr>
        <w:t>pseudoestático</w:t>
      </w:r>
      <w:proofErr w:type="spellEnd"/>
      <w:r w:rsidRPr="00804C4B">
        <w:rPr>
          <w:rFonts w:cs="Arial"/>
          <w:bCs/>
          <w:iCs/>
          <w:sz w:val="22"/>
          <w:szCs w:val="22"/>
          <w:lang w:val="es-ES"/>
        </w:rPr>
        <w:t xml:space="preserve"> y de deformaciones mediante un cuadro de doble entrada de consecuencia y confiabilidad mediante tres niveles baja, moderada y alta</w:t>
      </w:r>
      <w:r w:rsidR="00804C4B">
        <w:rPr>
          <w:rFonts w:cs="Arial"/>
          <w:bCs/>
          <w:iCs/>
          <w:sz w:val="22"/>
          <w:szCs w:val="22"/>
          <w:lang w:val="es-ES"/>
        </w:rPr>
        <w:t>.</w:t>
      </w:r>
      <w:r w:rsidRPr="00804C4B">
        <w:rPr>
          <w:rFonts w:cs="Arial"/>
          <w:bCs/>
          <w:iCs/>
          <w:sz w:val="22"/>
          <w:szCs w:val="22"/>
          <w:lang w:val="es-ES"/>
        </w:rPr>
        <w:t xml:space="preserve"> </w:t>
      </w:r>
      <w:r w:rsidR="000701C1" w:rsidRPr="00804C4B">
        <w:rPr>
          <w:rFonts w:cs="Arial"/>
          <w:sz w:val="22"/>
          <w:szCs w:val="22"/>
          <w:lang w:val="es-ES"/>
        </w:rPr>
        <w:br w:type="page"/>
      </w:r>
    </w:p>
    <w:p w14:paraId="2C10A2F6" w14:textId="797A404D" w:rsidR="000701C1" w:rsidRPr="00804C4B" w:rsidRDefault="00883682" w:rsidP="000701C1">
      <w:pPr>
        <w:spacing w:line="360" w:lineRule="auto"/>
        <w:jc w:val="both"/>
        <w:rPr>
          <w:rFonts w:cs="Arial"/>
          <w:sz w:val="22"/>
          <w:szCs w:val="22"/>
          <w:lang w:val="es-ES"/>
        </w:rPr>
      </w:pPr>
      <w:r w:rsidRPr="00804C4B">
        <w:rPr>
          <w:rFonts w:cs="Arial"/>
          <w:b/>
          <w:bCs/>
          <w:sz w:val="22"/>
          <w:szCs w:val="22"/>
          <w:lang w:val="es-ES"/>
        </w:rPr>
        <w:lastRenderedPageBreak/>
        <w:t>Título</w:t>
      </w:r>
      <w:r w:rsidR="000701C1" w:rsidRPr="00804C4B">
        <w:rPr>
          <w:rFonts w:cs="Arial"/>
          <w:b/>
          <w:bCs/>
          <w:sz w:val="22"/>
          <w:szCs w:val="22"/>
          <w:lang w:val="es-ES"/>
        </w:rPr>
        <w:t xml:space="preserve"> de trabajo</w:t>
      </w:r>
      <w:r w:rsidR="000701C1" w:rsidRPr="00804C4B">
        <w:rPr>
          <w:rFonts w:cs="Arial"/>
          <w:sz w:val="22"/>
          <w:szCs w:val="22"/>
          <w:lang w:val="es-ES"/>
        </w:rPr>
        <w:t xml:space="preserve">: </w:t>
      </w:r>
      <w:r w:rsidR="00804C4B">
        <w:rPr>
          <w:rFonts w:cs="Arial"/>
          <w:sz w:val="22"/>
          <w:szCs w:val="22"/>
          <w:lang w:val="es-ES"/>
        </w:rPr>
        <w:t>Diseño de depósitos de desmonte mediante la clasificación de riesgo</w:t>
      </w:r>
    </w:p>
    <w:p w14:paraId="3C0D9929" w14:textId="77777777" w:rsidR="00804C4B" w:rsidRPr="000701C1" w:rsidRDefault="00804C4B" w:rsidP="00804C4B">
      <w:pPr>
        <w:spacing w:line="360" w:lineRule="auto"/>
        <w:jc w:val="both"/>
        <w:rPr>
          <w:rFonts w:asciiTheme="minorHAnsi" w:hAnsiTheme="minorHAnsi" w:cstheme="minorHAnsi"/>
          <w:b/>
          <w:bCs/>
          <w:sz w:val="22"/>
          <w:szCs w:val="22"/>
          <w:lang w:val="es-ES"/>
        </w:rPr>
      </w:pPr>
      <w:r w:rsidRPr="000701C1">
        <w:rPr>
          <w:rFonts w:asciiTheme="minorHAnsi" w:hAnsiTheme="minorHAnsi" w:cstheme="minorHAnsi"/>
          <w:b/>
          <w:bCs/>
          <w:sz w:val="22"/>
          <w:szCs w:val="22"/>
          <w:lang w:val="es-ES"/>
        </w:rPr>
        <w:t xml:space="preserve">Categoría: </w:t>
      </w:r>
    </w:p>
    <w:p w14:paraId="70B97F33" w14:textId="42221FDD" w:rsidR="00804C4B" w:rsidRDefault="00E7539D" w:rsidP="00804C4B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u w:val="single"/>
          <w:lang w:val="es-ES"/>
        </w:rPr>
        <w:t>Operaciones Mineras y Gestión de Activos</w:t>
      </w:r>
      <w:r w:rsidR="00804C4B">
        <w:rPr>
          <w:rFonts w:asciiTheme="minorHAnsi" w:hAnsiTheme="minorHAnsi" w:cstheme="minorHAnsi"/>
          <w:sz w:val="22"/>
          <w:szCs w:val="22"/>
          <w:u w:val="single"/>
          <w:lang w:val="es-ES"/>
        </w:rPr>
        <w:t>:</w:t>
      </w:r>
      <w:r w:rsidR="00804C4B" w:rsidRPr="000701C1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s-ES"/>
        </w:rPr>
        <w:t xml:space="preserve">Geotecnia/Geomecánica </w:t>
      </w:r>
    </w:p>
    <w:p w14:paraId="1751C868" w14:textId="77777777" w:rsidR="00804C4B" w:rsidRPr="00036CBD" w:rsidRDefault="00804C4B" w:rsidP="00804C4B">
      <w:pPr>
        <w:spacing w:line="360" w:lineRule="auto"/>
        <w:jc w:val="both"/>
        <w:rPr>
          <w:rFonts w:asciiTheme="minorHAnsi" w:hAnsiTheme="minorHAnsi" w:cstheme="minorHAnsi"/>
          <w:b/>
          <w:bCs/>
          <w:sz w:val="22"/>
          <w:szCs w:val="22"/>
          <w:lang w:val="es-ES"/>
        </w:rPr>
      </w:pPr>
      <w:r w:rsidRPr="00036CBD">
        <w:rPr>
          <w:rFonts w:asciiTheme="minorHAnsi" w:hAnsiTheme="minorHAnsi" w:cstheme="minorHAnsi"/>
          <w:b/>
          <w:bCs/>
          <w:sz w:val="22"/>
          <w:szCs w:val="22"/>
          <w:lang w:val="es-ES"/>
        </w:rPr>
        <w:t>Autores</w:t>
      </w:r>
    </w:p>
    <w:p w14:paraId="37820171" w14:textId="77777777" w:rsidR="00804C4B" w:rsidRDefault="00804C4B" w:rsidP="00804C4B">
      <w:pPr>
        <w:pStyle w:val="Prrafodelista"/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 xml:space="preserve">Autor: Antony Gregorio Aguedo Asencios </w:t>
      </w:r>
    </w:p>
    <w:p w14:paraId="117E26B8" w14:textId="77777777" w:rsidR="00804C4B" w:rsidRDefault="00804C4B" w:rsidP="00804C4B">
      <w:pPr>
        <w:pStyle w:val="Prrafodelista"/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>Empresa: Pontificia Universidad Católica del Perú</w:t>
      </w:r>
    </w:p>
    <w:p w14:paraId="2FA00C14" w14:textId="77777777" w:rsidR="00804C4B" w:rsidRDefault="00804C4B" w:rsidP="00804C4B">
      <w:pPr>
        <w:pStyle w:val="Prrafodelista"/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 xml:space="preserve">Cargo: </w:t>
      </w:r>
      <w:r w:rsidRPr="00575F01">
        <w:rPr>
          <w:rFonts w:asciiTheme="minorHAnsi" w:hAnsiTheme="minorHAnsi" w:cstheme="minorHAnsi"/>
          <w:sz w:val="22"/>
          <w:szCs w:val="22"/>
          <w:lang w:val="es-ES"/>
        </w:rPr>
        <w:t>Docente Universitario TPA</w:t>
      </w:r>
    </w:p>
    <w:p w14:paraId="29FC2DB0" w14:textId="77777777" w:rsidR="00804C4B" w:rsidRDefault="00804C4B" w:rsidP="00804C4B">
      <w:pPr>
        <w:pStyle w:val="Prrafodelista"/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>Dirección: Prolongación Caraz N°1078</w:t>
      </w:r>
    </w:p>
    <w:p w14:paraId="4A718B49" w14:textId="77777777" w:rsidR="00804C4B" w:rsidRDefault="00804C4B" w:rsidP="00804C4B">
      <w:pPr>
        <w:pStyle w:val="Prrafodelista"/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 xml:space="preserve">Correo corporativo: </w:t>
      </w:r>
      <w:hyperlink r:id="rId5" w:history="1">
        <w:r w:rsidRPr="00272615">
          <w:rPr>
            <w:rStyle w:val="Hipervnculo"/>
            <w:rFonts w:asciiTheme="minorHAnsi" w:hAnsiTheme="minorHAnsi" w:cstheme="minorHAnsi"/>
            <w:sz w:val="22"/>
            <w:szCs w:val="22"/>
            <w:lang w:val="es-ES"/>
          </w:rPr>
          <w:t>antony.aguedo@pucp.edu.pe</w:t>
        </w:r>
      </w:hyperlink>
    </w:p>
    <w:p w14:paraId="00F93AE7" w14:textId="77777777" w:rsidR="00804C4B" w:rsidRDefault="00804C4B" w:rsidP="00804C4B">
      <w:pPr>
        <w:pStyle w:val="Prrafodelista"/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 xml:space="preserve">Correo personal: </w:t>
      </w:r>
      <w:hyperlink r:id="rId6" w:history="1">
        <w:r w:rsidRPr="00272615">
          <w:rPr>
            <w:rStyle w:val="Hipervnculo"/>
            <w:rFonts w:asciiTheme="minorHAnsi" w:hAnsiTheme="minorHAnsi" w:cstheme="minorHAnsi"/>
            <w:sz w:val="22"/>
            <w:szCs w:val="22"/>
            <w:lang w:val="es-ES"/>
          </w:rPr>
          <w:t>antony.aguedo@pucp.edu.pe</w:t>
        </w:r>
      </w:hyperlink>
      <w:r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</w:p>
    <w:p w14:paraId="7455590D" w14:textId="77777777" w:rsidR="00804C4B" w:rsidRDefault="00804C4B" w:rsidP="00804C4B">
      <w:pPr>
        <w:pStyle w:val="Prrafodelista"/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>Teléfono fijo:043-220475</w:t>
      </w:r>
    </w:p>
    <w:p w14:paraId="09463D37" w14:textId="77777777" w:rsidR="00804C4B" w:rsidRDefault="00804C4B" w:rsidP="00804C4B">
      <w:pPr>
        <w:pStyle w:val="Prrafodelista"/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>
        <w:rPr>
          <w:rFonts w:asciiTheme="minorHAnsi" w:hAnsiTheme="minorHAnsi" w:cstheme="minorHAnsi"/>
          <w:sz w:val="22"/>
          <w:szCs w:val="22"/>
          <w:lang w:val="es-ES"/>
        </w:rPr>
        <w:t>Celular: +51-959737607</w:t>
      </w:r>
    </w:p>
    <w:p w14:paraId="66A71ECD" w14:textId="77777777" w:rsidR="00804C4B" w:rsidRDefault="00804C4B" w:rsidP="00804C4B">
      <w:pPr>
        <w:spacing w:line="360" w:lineRule="auto"/>
        <w:jc w:val="both"/>
        <w:rPr>
          <w:rFonts w:asciiTheme="minorHAnsi" w:hAnsiTheme="minorHAnsi" w:cstheme="minorHAnsi"/>
          <w:b/>
          <w:bCs/>
          <w:sz w:val="22"/>
          <w:szCs w:val="22"/>
          <w:lang w:val="es-ES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ES"/>
        </w:rPr>
        <w:t>Reseña profesional</w:t>
      </w:r>
    </w:p>
    <w:p w14:paraId="345584AD" w14:textId="77777777" w:rsidR="00804C4B" w:rsidRPr="00386322" w:rsidRDefault="00804C4B" w:rsidP="00804C4B">
      <w:pPr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 w:rsidRPr="00386322">
        <w:rPr>
          <w:rFonts w:asciiTheme="minorHAnsi" w:hAnsiTheme="minorHAnsi" w:cstheme="minorHAnsi"/>
          <w:sz w:val="22"/>
          <w:szCs w:val="22"/>
          <w:lang w:val="es-ES"/>
        </w:rPr>
        <w:t xml:space="preserve">Ingeniero de Minas con Maestría en Regulación, Gestión y Economía Minera y especialización en Ingeniería Geotécnica. Cuento con sólida experiencia en la gestión de relaves y </w:t>
      </w:r>
      <w:proofErr w:type="spellStart"/>
      <w:r w:rsidRPr="00386322">
        <w:rPr>
          <w:rFonts w:asciiTheme="minorHAnsi" w:hAnsiTheme="minorHAnsi" w:cstheme="minorHAnsi"/>
          <w:sz w:val="22"/>
          <w:szCs w:val="22"/>
          <w:lang w:val="es-ES"/>
        </w:rPr>
        <w:t>desmonteras</w:t>
      </w:r>
      <w:proofErr w:type="spellEnd"/>
      <w:r w:rsidRPr="00386322">
        <w:rPr>
          <w:rFonts w:asciiTheme="minorHAnsi" w:hAnsiTheme="minorHAnsi" w:cstheme="minorHAnsi"/>
          <w:sz w:val="22"/>
          <w:szCs w:val="22"/>
          <w:lang w:val="es-ES"/>
        </w:rPr>
        <w:t xml:space="preserve">, implementación de estándares internacionales como el GISTM, y liderazgo de proyectos en el sector minero. He trabajado tanto en consultoría geotécnica como en operaciones mineras, colaborando en el diseño, monitoreo y supervisión de componentes críticos. Capacitado por la Canadian </w:t>
      </w:r>
      <w:proofErr w:type="spellStart"/>
      <w:r w:rsidRPr="00386322">
        <w:rPr>
          <w:rFonts w:asciiTheme="minorHAnsi" w:hAnsiTheme="minorHAnsi" w:cstheme="minorHAnsi"/>
          <w:sz w:val="22"/>
          <w:szCs w:val="22"/>
          <w:lang w:val="es-ES"/>
        </w:rPr>
        <w:t>Dam</w:t>
      </w:r>
      <w:proofErr w:type="spellEnd"/>
      <w:r w:rsidRPr="00386322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proofErr w:type="spellStart"/>
      <w:r w:rsidRPr="00386322">
        <w:rPr>
          <w:rFonts w:asciiTheme="minorHAnsi" w:hAnsiTheme="minorHAnsi" w:cstheme="minorHAnsi"/>
          <w:sz w:val="22"/>
          <w:szCs w:val="22"/>
          <w:lang w:val="es-ES"/>
        </w:rPr>
        <w:t>Association</w:t>
      </w:r>
      <w:proofErr w:type="spellEnd"/>
      <w:r w:rsidRPr="00386322">
        <w:rPr>
          <w:rFonts w:asciiTheme="minorHAnsi" w:hAnsiTheme="minorHAnsi" w:cstheme="minorHAnsi"/>
          <w:sz w:val="22"/>
          <w:szCs w:val="22"/>
          <w:lang w:val="es-ES"/>
        </w:rPr>
        <w:t xml:space="preserve"> (CDA) y con publicaciones técnicas sobre relaves.</w:t>
      </w:r>
    </w:p>
    <w:p w14:paraId="3F7FDA3D" w14:textId="4DEA9972" w:rsidR="00B91DDB" w:rsidRPr="00804C4B" w:rsidRDefault="00B91DDB" w:rsidP="00804C4B">
      <w:pPr>
        <w:spacing w:line="360" w:lineRule="auto"/>
        <w:jc w:val="both"/>
        <w:rPr>
          <w:rFonts w:cs="Arial"/>
          <w:sz w:val="22"/>
          <w:szCs w:val="22"/>
          <w:lang w:val="es-ES"/>
        </w:rPr>
      </w:pPr>
    </w:p>
    <w:sectPr w:rsidR="00B91DDB" w:rsidRPr="00804C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21A7"/>
    <w:multiLevelType w:val="hybridMultilevel"/>
    <w:tmpl w:val="58F638A8"/>
    <w:lvl w:ilvl="0" w:tplc="47945D0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976DF"/>
    <w:multiLevelType w:val="multilevel"/>
    <w:tmpl w:val="30C2CF38"/>
    <w:lvl w:ilvl="0">
      <w:start w:val="1"/>
      <w:numFmt w:val="decimal"/>
      <w:pStyle w:val="Ttulo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10334E8"/>
    <w:multiLevelType w:val="hybridMultilevel"/>
    <w:tmpl w:val="CB74DB74"/>
    <w:lvl w:ilvl="0" w:tplc="8D06AEEC">
      <w:start w:val="1"/>
      <w:numFmt w:val="decimal"/>
      <w:pStyle w:val="Number1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03C6FBF"/>
    <w:multiLevelType w:val="hybridMultilevel"/>
    <w:tmpl w:val="FC726CBC"/>
    <w:lvl w:ilvl="0" w:tplc="008EA590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7940D4"/>
    <w:multiLevelType w:val="hybridMultilevel"/>
    <w:tmpl w:val="24D2E532"/>
    <w:lvl w:ilvl="0" w:tplc="74F6933A">
      <w:start w:val="1"/>
      <w:numFmt w:val="bullet"/>
      <w:pStyle w:val="Bullet2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E3B3A2C"/>
    <w:multiLevelType w:val="hybridMultilevel"/>
    <w:tmpl w:val="B44ECB3E"/>
    <w:lvl w:ilvl="0" w:tplc="62D4F3CE">
      <w:start w:val="1"/>
      <w:numFmt w:val="lowerLetter"/>
      <w:pStyle w:val="Number2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3661CA"/>
    <w:multiLevelType w:val="multilevel"/>
    <w:tmpl w:val="DD9C6E88"/>
    <w:lvl w:ilvl="0">
      <w:start w:val="1"/>
      <w:numFmt w:val="decimal"/>
      <w:pStyle w:val="Appendixtitle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Appendixtitle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Appendixtitle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939097188">
    <w:abstractNumId w:val="1"/>
  </w:num>
  <w:num w:numId="2" w16cid:durableId="1796290676">
    <w:abstractNumId w:val="6"/>
  </w:num>
  <w:num w:numId="3" w16cid:durableId="1466698895">
    <w:abstractNumId w:val="6"/>
  </w:num>
  <w:num w:numId="4" w16cid:durableId="1404639303">
    <w:abstractNumId w:val="1"/>
  </w:num>
  <w:num w:numId="5" w16cid:durableId="2135824773">
    <w:abstractNumId w:val="6"/>
  </w:num>
  <w:num w:numId="6" w16cid:durableId="1265920744">
    <w:abstractNumId w:val="3"/>
  </w:num>
  <w:num w:numId="7" w16cid:durableId="857277265">
    <w:abstractNumId w:val="4"/>
  </w:num>
  <w:num w:numId="8" w16cid:durableId="915287308">
    <w:abstractNumId w:val="2"/>
  </w:num>
  <w:num w:numId="9" w16cid:durableId="1347946634">
    <w:abstractNumId w:val="5"/>
  </w:num>
  <w:num w:numId="10" w16cid:durableId="1063603795">
    <w:abstractNumId w:val="1"/>
  </w:num>
  <w:num w:numId="11" w16cid:durableId="1926526127">
    <w:abstractNumId w:val="1"/>
  </w:num>
  <w:num w:numId="12" w16cid:durableId="1723168469">
    <w:abstractNumId w:val="6"/>
  </w:num>
  <w:num w:numId="13" w16cid:durableId="1506936024">
    <w:abstractNumId w:val="6"/>
  </w:num>
  <w:num w:numId="14" w16cid:durableId="2076273911">
    <w:abstractNumId w:val="1"/>
  </w:num>
  <w:num w:numId="15" w16cid:durableId="1330408011">
    <w:abstractNumId w:val="6"/>
  </w:num>
  <w:num w:numId="16" w16cid:durableId="1732583383">
    <w:abstractNumId w:val="3"/>
  </w:num>
  <w:num w:numId="17" w16cid:durableId="2097552513">
    <w:abstractNumId w:val="4"/>
  </w:num>
  <w:num w:numId="18" w16cid:durableId="646476697">
    <w:abstractNumId w:val="2"/>
  </w:num>
  <w:num w:numId="19" w16cid:durableId="1555309328">
    <w:abstractNumId w:val="5"/>
  </w:num>
  <w:num w:numId="20" w16cid:durableId="780690946">
    <w:abstractNumId w:val="1"/>
  </w:num>
  <w:num w:numId="21" w16cid:durableId="181668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F73"/>
    <w:rsid w:val="00012D69"/>
    <w:rsid w:val="00036CBD"/>
    <w:rsid w:val="000701C1"/>
    <w:rsid w:val="00081C71"/>
    <w:rsid w:val="0019149C"/>
    <w:rsid w:val="001E1F73"/>
    <w:rsid w:val="0023086A"/>
    <w:rsid w:val="003575B1"/>
    <w:rsid w:val="00394FB0"/>
    <w:rsid w:val="004059F6"/>
    <w:rsid w:val="004214BB"/>
    <w:rsid w:val="00421BF3"/>
    <w:rsid w:val="004309B7"/>
    <w:rsid w:val="00613FD9"/>
    <w:rsid w:val="007453DD"/>
    <w:rsid w:val="00756B44"/>
    <w:rsid w:val="00804C4B"/>
    <w:rsid w:val="00883682"/>
    <w:rsid w:val="008B0200"/>
    <w:rsid w:val="00B801D1"/>
    <w:rsid w:val="00B91DDB"/>
    <w:rsid w:val="00BB1248"/>
    <w:rsid w:val="00C27817"/>
    <w:rsid w:val="00C96201"/>
    <w:rsid w:val="00D051E7"/>
    <w:rsid w:val="00D35898"/>
    <w:rsid w:val="00D66BB3"/>
    <w:rsid w:val="00DE0223"/>
    <w:rsid w:val="00E75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11E536"/>
  <w15:chartTrackingRefBased/>
  <w15:docId w15:val="{14A28E6D-276A-4FD6-8D0B-C1D69BFB7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96201"/>
    <w:pPr>
      <w:spacing w:after="0" w:line="240" w:lineRule="auto"/>
    </w:pPr>
    <w:rPr>
      <w:rFonts w:ascii="Arial" w:hAnsi="Arial" w:cs="Times New Roman"/>
      <w:sz w:val="20"/>
      <w:szCs w:val="20"/>
      <w:lang w:val="en-US"/>
    </w:rPr>
  </w:style>
  <w:style w:type="paragraph" w:styleId="Ttulo1">
    <w:name w:val="heading 1"/>
    <w:basedOn w:val="Textoindentado"/>
    <w:next w:val="Ttulo2"/>
    <w:link w:val="Ttulo1Car"/>
    <w:qFormat/>
    <w:rsid w:val="00C96201"/>
    <w:pPr>
      <w:keepNext/>
      <w:numPr>
        <w:numId w:val="20"/>
      </w:numPr>
      <w:spacing w:before="240"/>
      <w:outlineLvl w:val="0"/>
    </w:pPr>
    <w:rPr>
      <w:rFonts w:cs="Arial"/>
      <w:b/>
      <w:sz w:val="36"/>
    </w:rPr>
  </w:style>
  <w:style w:type="paragraph" w:styleId="Ttulo2">
    <w:name w:val="heading 2"/>
    <w:basedOn w:val="Textoindentado"/>
    <w:next w:val="Textoindentado"/>
    <w:link w:val="Ttulo2Car"/>
    <w:qFormat/>
    <w:rsid w:val="00C96201"/>
    <w:pPr>
      <w:keepNext/>
      <w:numPr>
        <w:ilvl w:val="1"/>
        <w:numId w:val="20"/>
      </w:numPr>
      <w:spacing w:after="60"/>
      <w:outlineLvl w:val="1"/>
    </w:pPr>
    <w:rPr>
      <w:b/>
      <w:sz w:val="28"/>
    </w:rPr>
  </w:style>
  <w:style w:type="paragraph" w:styleId="Ttulo3">
    <w:name w:val="heading 3"/>
    <w:basedOn w:val="Textoindependiente"/>
    <w:next w:val="Textoindentado"/>
    <w:link w:val="Ttulo3Car"/>
    <w:qFormat/>
    <w:rsid w:val="00C96201"/>
    <w:pPr>
      <w:keepNext/>
      <w:numPr>
        <w:ilvl w:val="2"/>
        <w:numId w:val="20"/>
      </w:numPr>
      <w:spacing w:after="60"/>
      <w:outlineLvl w:val="2"/>
    </w:pPr>
    <w:rPr>
      <w:rFonts w:cs="Arial"/>
      <w:sz w:val="24"/>
      <w:lang w:eastAsia="es-AR"/>
    </w:rPr>
  </w:style>
  <w:style w:type="paragraph" w:styleId="Ttulo4">
    <w:name w:val="heading 4"/>
    <w:basedOn w:val="Textoindentado"/>
    <w:next w:val="Textoindentado"/>
    <w:link w:val="Ttulo4Car"/>
    <w:qFormat/>
    <w:rsid w:val="00C96201"/>
    <w:pPr>
      <w:keepNext/>
      <w:outlineLvl w:val="3"/>
    </w:pPr>
    <w:rPr>
      <w:b/>
      <w:bCs/>
      <w:i/>
      <w:sz w:val="22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ddressblock">
    <w:name w:val="Addressblock"/>
    <w:basedOn w:val="Normal"/>
    <w:qFormat/>
    <w:rsid w:val="00C96201"/>
    <w:pPr>
      <w:spacing w:line="288" w:lineRule="auto"/>
    </w:pPr>
    <w:rPr>
      <w:rFonts w:cs="Arial"/>
      <w:color w:val="7F7F7F"/>
      <w:sz w:val="13"/>
    </w:rPr>
  </w:style>
  <w:style w:type="paragraph" w:customStyle="1" w:styleId="Addressblockbold">
    <w:name w:val="Addressblock bold"/>
    <w:basedOn w:val="Normal"/>
    <w:qFormat/>
    <w:rsid w:val="00C96201"/>
    <w:pPr>
      <w:spacing w:line="288" w:lineRule="auto"/>
    </w:pPr>
    <w:rPr>
      <w:rFonts w:cs="Arial"/>
      <w:b/>
      <w:bCs/>
      <w:color w:val="808080"/>
      <w:sz w:val="14"/>
      <w:szCs w:val="12"/>
    </w:rPr>
  </w:style>
  <w:style w:type="paragraph" w:customStyle="1" w:styleId="Appendices">
    <w:name w:val="Appendices"/>
    <w:qFormat/>
    <w:rsid w:val="00C96201"/>
    <w:pPr>
      <w:spacing w:before="3600" w:after="0" w:line="240" w:lineRule="auto"/>
      <w:jc w:val="center"/>
    </w:pPr>
    <w:rPr>
      <w:rFonts w:ascii="Arial" w:hAnsi="Arial" w:cs="Times New Roman"/>
      <w:b/>
      <w:sz w:val="44"/>
      <w:szCs w:val="36"/>
      <w:lang w:val="en-CA"/>
    </w:rPr>
  </w:style>
  <w:style w:type="paragraph" w:styleId="Textoindependiente">
    <w:name w:val="Body Text"/>
    <w:basedOn w:val="Normal"/>
    <w:link w:val="TextoindependienteCar"/>
    <w:qFormat/>
    <w:rsid w:val="00C96201"/>
    <w:pPr>
      <w:spacing w:before="120" w:after="120"/>
    </w:pPr>
  </w:style>
  <w:style w:type="character" w:customStyle="1" w:styleId="TextoindependienteCar">
    <w:name w:val="Texto independiente Car"/>
    <w:link w:val="Textoindependiente"/>
    <w:rsid w:val="00C96201"/>
    <w:rPr>
      <w:rFonts w:ascii="Arial" w:hAnsi="Arial" w:cs="Times New Roman"/>
      <w:noProof/>
      <w:sz w:val="20"/>
      <w:szCs w:val="20"/>
      <w:lang w:val="es-ES_tradnl"/>
    </w:rPr>
  </w:style>
  <w:style w:type="paragraph" w:customStyle="1" w:styleId="AppendixHeading">
    <w:name w:val="Appendix Heading"/>
    <w:basedOn w:val="Textoindependiente"/>
    <w:next w:val="Textoindependiente"/>
    <w:qFormat/>
    <w:rsid w:val="00C96201"/>
    <w:pPr>
      <w:spacing w:before="3600"/>
      <w:jc w:val="center"/>
    </w:pPr>
    <w:rPr>
      <w:b/>
      <w:sz w:val="36"/>
      <w:szCs w:val="32"/>
    </w:rPr>
  </w:style>
  <w:style w:type="paragraph" w:customStyle="1" w:styleId="Textoindentado">
    <w:name w:val="Texto indentado"/>
    <w:basedOn w:val="Textoindependiente"/>
    <w:qFormat/>
    <w:rsid w:val="00C96201"/>
    <w:pPr>
      <w:ind w:left="720"/>
    </w:pPr>
  </w:style>
  <w:style w:type="character" w:customStyle="1" w:styleId="Ttulo1Car">
    <w:name w:val="Título 1 Car"/>
    <w:link w:val="Ttulo1"/>
    <w:rsid w:val="00C96201"/>
    <w:rPr>
      <w:rFonts w:ascii="Arial" w:hAnsi="Arial" w:cs="Arial"/>
      <w:b/>
      <w:noProof/>
      <w:sz w:val="36"/>
      <w:szCs w:val="20"/>
      <w:lang w:val="es-ES_tradnl"/>
    </w:rPr>
  </w:style>
  <w:style w:type="character" w:customStyle="1" w:styleId="Ttulo2Car">
    <w:name w:val="Título 2 Car"/>
    <w:link w:val="Ttulo2"/>
    <w:rsid w:val="00C96201"/>
    <w:rPr>
      <w:rFonts w:ascii="Arial" w:hAnsi="Arial" w:cs="Times New Roman"/>
      <w:b/>
      <w:noProof/>
      <w:sz w:val="28"/>
      <w:szCs w:val="20"/>
      <w:lang w:val="es-ES_tradnl"/>
    </w:rPr>
  </w:style>
  <w:style w:type="paragraph" w:customStyle="1" w:styleId="Appendixtitle1">
    <w:name w:val="Appendix title 1"/>
    <w:basedOn w:val="Ttulo1"/>
    <w:next w:val="Textoindentado"/>
    <w:rsid w:val="00C96201"/>
    <w:pPr>
      <w:numPr>
        <w:numId w:val="15"/>
      </w:numPr>
    </w:pPr>
  </w:style>
  <w:style w:type="paragraph" w:customStyle="1" w:styleId="Appendixtitle2">
    <w:name w:val="Appendix title 2"/>
    <w:basedOn w:val="Appendixtitle1"/>
    <w:next w:val="Textoindentado"/>
    <w:qFormat/>
    <w:rsid w:val="00C96201"/>
    <w:pPr>
      <w:numPr>
        <w:ilvl w:val="1"/>
      </w:numPr>
    </w:pPr>
    <w:rPr>
      <w:sz w:val="32"/>
    </w:rPr>
  </w:style>
  <w:style w:type="character" w:customStyle="1" w:styleId="Ttulo3Car">
    <w:name w:val="Título 3 Car"/>
    <w:link w:val="Ttulo3"/>
    <w:rsid w:val="00C96201"/>
    <w:rPr>
      <w:rFonts w:ascii="Arial" w:hAnsi="Arial" w:cs="Arial"/>
      <w:noProof/>
      <w:sz w:val="24"/>
      <w:szCs w:val="20"/>
      <w:lang w:val="es-ES_tradnl" w:eastAsia="es-AR"/>
    </w:rPr>
  </w:style>
  <w:style w:type="paragraph" w:customStyle="1" w:styleId="Appendixtitle3">
    <w:name w:val="Appendix title 3"/>
    <w:basedOn w:val="Ttulo3"/>
    <w:next w:val="Textoindentado"/>
    <w:rsid w:val="00C96201"/>
    <w:pPr>
      <w:numPr>
        <w:numId w:val="15"/>
      </w:numPr>
    </w:pPr>
  </w:style>
  <w:style w:type="paragraph" w:customStyle="1" w:styleId="BodyTextBox">
    <w:name w:val="Body Text Box"/>
    <w:basedOn w:val="Textoindependiente"/>
    <w:next w:val="Textoindependiente"/>
    <w:qFormat/>
    <w:rsid w:val="00C96201"/>
    <w:pPr>
      <w:pBdr>
        <w:top w:val="single" w:sz="4" w:space="6" w:color="auto"/>
        <w:left w:val="single" w:sz="4" w:space="6" w:color="auto"/>
        <w:bottom w:val="single" w:sz="4" w:space="6" w:color="auto"/>
        <w:right w:val="single" w:sz="4" w:space="6" w:color="auto"/>
      </w:pBdr>
      <w:ind w:left="720"/>
    </w:pPr>
    <w:rPr>
      <w:rFonts w:cs="Arial"/>
      <w:b/>
      <w:bCs/>
    </w:rPr>
  </w:style>
  <w:style w:type="paragraph" w:customStyle="1" w:styleId="Bullet1">
    <w:name w:val="Bullet 1"/>
    <w:basedOn w:val="Textoindependiente"/>
    <w:qFormat/>
    <w:rsid w:val="00C96201"/>
    <w:pPr>
      <w:numPr>
        <w:numId w:val="16"/>
      </w:numPr>
      <w:contextualSpacing/>
    </w:pPr>
  </w:style>
  <w:style w:type="paragraph" w:customStyle="1" w:styleId="Bullet2">
    <w:name w:val="Bullet 2"/>
    <w:basedOn w:val="Normal"/>
    <w:qFormat/>
    <w:rsid w:val="00C96201"/>
    <w:pPr>
      <w:numPr>
        <w:numId w:val="17"/>
      </w:numPr>
      <w:tabs>
        <w:tab w:val="left" w:pos="1440"/>
      </w:tabs>
      <w:contextualSpacing/>
    </w:pPr>
  </w:style>
  <w:style w:type="paragraph" w:customStyle="1" w:styleId="CaptionAppendix">
    <w:name w:val="Caption Appendix"/>
    <w:rsid w:val="00C96201"/>
    <w:pPr>
      <w:spacing w:after="360" w:line="240" w:lineRule="auto"/>
      <w:jc w:val="center"/>
    </w:pPr>
    <w:rPr>
      <w:rFonts w:ascii="Arial" w:hAnsi="Arial" w:cs="Arial"/>
      <w:sz w:val="32"/>
      <w:lang w:val="en-AU"/>
    </w:rPr>
  </w:style>
  <w:style w:type="paragraph" w:customStyle="1" w:styleId="PrelimHead2">
    <w:name w:val="Prelim Head 2"/>
    <w:basedOn w:val="Textoindependiente"/>
    <w:next w:val="Textoindependiente"/>
    <w:qFormat/>
    <w:rsid w:val="00C96201"/>
    <w:pPr>
      <w:spacing w:before="240"/>
      <w:ind w:left="709"/>
    </w:pPr>
    <w:rPr>
      <w:b/>
      <w:bCs/>
      <w:sz w:val="36"/>
    </w:rPr>
  </w:style>
  <w:style w:type="paragraph" w:customStyle="1" w:styleId="Contents">
    <w:name w:val="Contents"/>
    <w:basedOn w:val="PrelimHead2"/>
    <w:next w:val="Textoindentado"/>
    <w:qFormat/>
    <w:rsid w:val="00C96201"/>
  </w:style>
  <w:style w:type="paragraph" w:customStyle="1" w:styleId="Cover1">
    <w:name w:val="Cover 1"/>
    <w:basedOn w:val="Textoindependiente"/>
    <w:next w:val="Textoindependiente"/>
    <w:qFormat/>
    <w:rsid w:val="00C96201"/>
    <w:pPr>
      <w:spacing w:before="240"/>
    </w:pPr>
    <w:rPr>
      <w:b/>
      <w:bCs/>
      <w:sz w:val="48"/>
    </w:rPr>
  </w:style>
  <w:style w:type="paragraph" w:customStyle="1" w:styleId="Cover2">
    <w:name w:val="Cover 2"/>
    <w:basedOn w:val="Cover1"/>
    <w:next w:val="Textoindependiente"/>
    <w:qFormat/>
    <w:rsid w:val="00C96201"/>
    <w:rPr>
      <w:sz w:val="36"/>
    </w:rPr>
  </w:style>
  <w:style w:type="paragraph" w:customStyle="1" w:styleId="Cover3">
    <w:name w:val="Cover 3"/>
    <w:basedOn w:val="Cover1"/>
    <w:next w:val="Textoindependiente"/>
    <w:qFormat/>
    <w:rsid w:val="00C96201"/>
    <w:pPr>
      <w:spacing w:before="120"/>
    </w:pPr>
    <w:rPr>
      <w:bCs w:val="0"/>
      <w:sz w:val="24"/>
    </w:rPr>
  </w:style>
  <w:style w:type="paragraph" w:customStyle="1" w:styleId="Cover4">
    <w:name w:val="Cover 4"/>
    <w:basedOn w:val="Cover3"/>
    <w:rsid w:val="00C96201"/>
    <w:pPr>
      <w:spacing w:before="240" w:after="0" w:line="264" w:lineRule="auto"/>
      <w:contextualSpacing/>
    </w:pPr>
    <w:rPr>
      <w:b w:val="0"/>
      <w:sz w:val="20"/>
      <w:lang w:val="en-CA"/>
    </w:rPr>
  </w:style>
  <w:style w:type="paragraph" w:styleId="Descripcin">
    <w:name w:val="caption"/>
    <w:aliases w:val="Figure &amp; Table"/>
    <w:basedOn w:val="Textoindentado"/>
    <w:next w:val="Textoindentado"/>
    <w:qFormat/>
    <w:rsid w:val="00C96201"/>
    <w:pPr>
      <w:ind w:left="1872" w:hanging="1152"/>
    </w:pPr>
    <w:rPr>
      <w:b/>
      <w:bCs/>
    </w:rPr>
  </w:style>
  <w:style w:type="paragraph" w:customStyle="1" w:styleId="Sourcecaption">
    <w:name w:val="Source caption"/>
    <w:basedOn w:val="Textoindependiente"/>
    <w:link w:val="SourcecaptionChar"/>
    <w:rsid w:val="00C96201"/>
    <w:pPr>
      <w:spacing w:before="40"/>
      <w:ind w:left="720"/>
    </w:pPr>
    <w:rPr>
      <w:b/>
      <w:sz w:val="18"/>
      <w:szCs w:val="16"/>
    </w:rPr>
  </w:style>
  <w:style w:type="character" w:customStyle="1" w:styleId="SourcecaptionChar">
    <w:name w:val="Source caption Char"/>
    <w:link w:val="Sourcecaption"/>
    <w:rsid w:val="00C96201"/>
    <w:rPr>
      <w:rFonts w:ascii="Arial" w:hAnsi="Arial" w:cs="Times New Roman"/>
      <w:b/>
      <w:noProof/>
      <w:sz w:val="18"/>
      <w:szCs w:val="16"/>
      <w:lang w:val="es-ES_tradnl"/>
    </w:rPr>
  </w:style>
  <w:style w:type="paragraph" w:customStyle="1" w:styleId="Descripcin1">
    <w:name w:val="Descripción1"/>
    <w:basedOn w:val="Sourcecaption"/>
    <w:qFormat/>
    <w:rsid w:val="00C96201"/>
    <w:rPr>
      <w:sz w:val="20"/>
    </w:rPr>
  </w:style>
  <w:style w:type="paragraph" w:styleId="Encabezado">
    <w:name w:val="header"/>
    <w:basedOn w:val="Textoindentado"/>
    <w:link w:val="EncabezadoCar"/>
    <w:qFormat/>
    <w:rsid w:val="00C96201"/>
    <w:pPr>
      <w:pBdr>
        <w:bottom w:val="single" w:sz="6" w:space="1" w:color="auto"/>
      </w:pBdr>
      <w:tabs>
        <w:tab w:val="center" w:pos="4824"/>
        <w:tab w:val="right" w:pos="9648"/>
      </w:tabs>
    </w:pPr>
    <w:rPr>
      <w:rFonts w:cs="Arial"/>
      <w:sz w:val="16"/>
    </w:rPr>
  </w:style>
  <w:style w:type="character" w:customStyle="1" w:styleId="EncabezadoCar">
    <w:name w:val="Encabezado Car"/>
    <w:link w:val="Encabezado"/>
    <w:rsid w:val="00C96201"/>
    <w:rPr>
      <w:rFonts w:ascii="Arial" w:hAnsi="Arial" w:cs="Arial"/>
      <w:noProof/>
      <w:sz w:val="16"/>
      <w:szCs w:val="20"/>
      <w:lang w:val="es-ES_tradnl"/>
    </w:rPr>
  </w:style>
  <w:style w:type="paragraph" w:customStyle="1" w:styleId="FlyHead1">
    <w:name w:val="Fly Head 1"/>
    <w:basedOn w:val="Textoindependiente"/>
    <w:next w:val="Textoindependiente"/>
    <w:qFormat/>
    <w:rsid w:val="00C96201"/>
    <w:pPr>
      <w:spacing w:before="240"/>
      <w:ind w:left="709"/>
    </w:pPr>
    <w:rPr>
      <w:rFonts w:cs="Arial"/>
      <w:b/>
      <w:bCs/>
      <w:sz w:val="40"/>
    </w:rPr>
  </w:style>
  <w:style w:type="paragraph" w:customStyle="1" w:styleId="FlyHead2">
    <w:name w:val="Fly Head 2"/>
    <w:basedOn w:val="FlyHead1"/>
    <w:next w:val="Textoindependiente"/>
    <w:qFormat/>
    <w:rsid w:val="00C96201"/>
    <w:rPr>
      <w:sz w:val="28"/>
    </w:rPr>
  </w:style>
  <w:style w:type="paragraph" w:customStyle="1" w:styleId="FlyHead3">
    <w:name w:val="Fly Head 3"/>
    <w:basedOn w:val="FlyHead1"/>
    <w:next w:val="Textoindependiente"/>
    <w:qFormat/>
    <w:rsid w:val="00C96201"/>
    <w:pPr>
      <w:keepNext/>
      <w:tabs>
        <w:tab w:val="left" w:pos="-720"/>
      </w:tabs>
      <w:spacing w:before="0" w:after="0"/>
      <w:ind w:left="1440" w:hanging="720"/>
      <w:outlineLvl w:val="1"/>
    </w:pPr>
    <w:rPr>
      <w:bCs w:val="0"/>
      <w:sz w:val="24"/>
    </w:rPr>
  </w:style>
  <w:style w:type="paragraph" w:customStyle="1" w:styleId="FlyHead4">
    <w:name w:val="Fly Head 4"/>
    <w:basedOn w:val="FlyHead3"/>
    <w:rsid w:val="00C96201"/>
    <w:rPr>
      <w:b w:val="0"/>
    </w:rPr>
  </w:style>
  <w:style w:type="character" w:styleId="Hipervnculo">
    <w:name w:val="Hyperlink"/>
    <w:unhideWhenUsed/>
    <w:rsid w:val="00C96201"/>
    <w:rPr>
      <w:color w:val="0000FF"/>
      <w:u w:val="single"/>
    </w:rPr>
  </w:style>
  <w:style w:type="character" w:styleId="Mencionar">
    <w:name w:val="Mention"/>
    <w:basedOn w:val="Fuentedeprrafopredeter"/>
    <w:uiPriority w:val="99"/>
    <w:semiHidden/>
    <w:unhideWhenUsed/>
    <w:rsid w:val="00C96201"/>
    <w:rPr>
      <w:color w:val="2B579A"/>
      <w:shd w:val="clear" w:color="auto" w:fill="E6E6E6"/>
    </w:rPr>
  </w:style>
  <w:style w:type="paragraph" w:customStyle="1" w:styleId="Number1">
    <w:name w:val="Number 1"/>
    <w:basedOn w:val="Normal"/>
    <w:qFormat/>
    <w:rsid w:val="00C96201"/>
    <w:pPr>
      <w:numPr>
        <w:numId w:val="18"/>
      </w:numPr>
      <w:spacing w:before="120"/>
      <w:contextualSpacing/>
    </w:pPr>
  </w:style>
  <w:style w:type="paragraph" w:customStyle="1" w:styleId="Number2">
    <w:name w:val="Number 2"/>
    <w:basedOn w:val="Normal"/>
    <w:qFormat/>
    <w:rsid w:val="00C96201"/>
    <w:pPr>
      <w:numPr>
        <w:numId w:val="19"/>
      </w:numPr>
    </w:pPr>
  </w:style>
  <w:style w:type="paragraph" w:customStyle="1" w:styleId="Paragraphhead">
    <w:name w:val="Paragraph head"/>
    <w:basedOn w:val="Textoindependiente"/>
    <w:next w:val="Textoindependiente"/>
    <w:rsid w:val="00C96201"/>
    <w:pPr>
      <w:ind w:left="720"/>
    </w:pPr>
    <w:rPr>
      <w:b/>
    </w:rPr>
  </w:style>
  <w:style w:type="paragraph" w:styleId="Piedepgina">
    <w:name w:val="footer"/>
    <w:basedOn w:val="Textoindependiente"/>
    <w:link w:val="PiedepginaCar"/>
    <w:qFormat/>
    <w:rsid w:val="00C96201"/>
    <w:pPr>
      <w:pBdr>
        <w:top w:val="single" w:sz="6" w:space="1" w:color="auto"/>
      </w:pBdr>
      <w:tabs>
        <w:tab w:val="center" w:pos="4824"/>
        <w:tab w:val="right" w:pos="9648"/>
      </w:tabs>
    </w:pPr>
    <w:rPr>
      <w:sz w:val="12"/>
    </w:rPr>
  </w:style>
  <w:style w:type="character" w:customStyle="1" w:styleId="PiedepginaCar">
    <w:name w:val="Pie de página Car"/>
    <w:link w:val="Piedepgina"/>
    <w:rsid w:val="00C96201"/>
    <w:rPr>
      <w:rFonts w:ascii="Arial" w:hAnsi="Arial" w:cs="Times New Roman"/>
      <w:noProof/>
      <w:sz w:val="12"/>
      <w:szCs w:val="20"/>
      <w:lang w:val="es-ES_tradnl"/>
    </w:rPr>
  </w:style>
  <w:style w:type="paragraph" w:customStyle="1" w:styleId="PrelimHead3">
    <w:name w:val="Prelim Head 3"/>
    <w:basedOn w:val="PrelimHead2"/>
    <w:next w:val="Textoindependiente"/>
    <w:qFormat/>
    <w:rsid w:val="00C96201"/>
    <w:rPr>
      <w:rFonts w:cs="Arial"/>
      <w:bCs w:val="0"/>
      <w:sz w:val="28"/>
    </w:rPr>
  </w:style>
  <w:style w:type="character" w:customStyle="1" w:styleId="Ttulo4Car">
    <w:name w:val="Título 4 Car"/>
    <w:link w:val="Ttulo4"/>
    <w:rsid w:val="00C96201"/>
    <w:rPr>
      <w:rFonts w:ascii="Arial" w:hAnsi="Arial" w:cs="Times New Roman"/>
      <w:b/>
      <w:bCs/>
      <w:i/>
      <w:noProof/>
      <w:szCs w:val="28"/>
      <w:lang w:val="es-ES_tradnl"/>
    </w:rPr>
  </w:style>
  <w:style w:type="paragraph" w:customStyle="1" w:styleId="PreparedandReviewed">
    <w:name w:val="Prepared and Reviewed"/>
    <w:basedOn w:val="Ttulo4"/>
    <w:qFormat/>
    <w:rsid w:val="00C96201"/>
    <w:rPr>
      <w:bCs w:val="0"/>
    </w:rPr>
  </w:style>
  <w:style w:type="table" w:styleId="Tablaconcuadrcula">
    <w:name w:val="Table Grid"/>
    <w:basedOn w:val="Tablanormal"/>
    <w:rsid w:val="00C96201"/>
    <w:pPr>
      <w:spacing w:after="0" w:line="240" w:lineRule="auto"/>
    </w:pPr>
    <w:rPr>
      <w:rFonts w:ascii="Times New Roman" w:hAnsi="Times New Roman" w:cs="Times New Roman"/>
      <w:sz w:val="20"/>
      <w:szCs w:val="20"/>
      <w:lang w:val="es-AR"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adeilustraciones">
    <w:name w:val="table of figures"/>
    <w:basedOn w:val="Textoindependiente"/>
    <w:next w:val="Textoindependiente"/>
    <w:autoRedefine/>
    <w:uiPriority w:val="99"/>
    <w:rsid w:val="00C96201"/>
    <w:pPr>
      <w:tabs>
        <w:tab w:val="right" w:pos="1418"/>
        <w:tab w:val="right" w:leader="dot" w:pos="9648"/>
      </w:tabs>
      <w:spacing w:before="0"/>
      <w:ind w:left="1985" w:hanging="1247"/>
    </w:pPr>
  </w:style>
  <w:style w:type="paragraph" w:customStyle="1" w:styleId="TableHeading">
    <w:name w:val="TableHeading"/>
    <w:basedOn w:val="Textoindependiente"/>
    <w:next w:val="Normal"/>
    <w:qFormat/>
    <w:rsid w:val="00C96201"/>
    <w:pPr>
      <w:spacing w:before="60" w:after="60"/>
    </w:pPr>
    <w:rPr>
      <w:b/>
    </w:rPr>
  </w:style>
  <w:style w:type="paragraph" w:customStyle="1" w:styleId="TableText">
    <w:name w:val="TableText"/>
    <w:basedOn w:val="Textoindependiente"/>
    <w:qFormat/>
    <w:rsid w:val="00C96201"/>
    <w:pPr>
      <w:spacing w:before="60" w:after="60"/>
      <w:ind w:left="144" w:right="144"/>
    </w:pPr>
    <w:rPr>
      <w:szCs w:val="22"/>
    </w:rPr>
  </w:style>
  <w:style w:type="paragraph" w:styleId="TDC1">
    <w:name w:val="toc 1"/>
    <w:basedOn w:val="Textoindependiente"/>
    <w:next w:val="TDC2"/>
    <w:uiPriority w:val="39"/>
    <w:rsid w:val="00C96201"/>
    <w:pPr>
      <w:tabs>
        <w:tab w:val="left" w:pos="1147"/>
        <w:tab w:val="right" w:leader="dot" w:pos="9648"/>
      </w:tabs>
      <w:spacing w:after="60"/>
      <w:ind w:left="1134" w:hanging="357"/>
    </w:pPr>
    <w:rPr>
      <w:b/>
      <w:sz w:val="24"/>
    </w:rPr>
  </w:style>
  <w:style w:type="paragraph" w:styleId="TDC2">
    <w:name w:val="toc 2"/>
    <w:basedOn w:val="Textoindependiente"/>
    <w:next w:val="Textoindependiente"/>
    <w:uiPriority w:val="39"/>
    <w:rsid w:val="00C96201"/>
    <w:pPr>
      <w:tabs>
        <w:tab w:val="left" w:pos="1290"/>
        <w:tab w:val="left" w:pos="1317"/>
        <w:tab w:val="right" w:leader="dot" w:pos="9648"/>
      </w:tabs>
      <w:spacing w:before="0" w:after="60"/>
      <w:ind w:left="1276" w:hanging="505"/>
    </w:pPr>
    <w:rPr>
      <w:sz w:val="22"/>
    </w:rPr>
  </w:style>
  <w:style w:type="paragraph" w:styleId="TDC3">
    <w:name w:val="toc 3"/>
    <w:basedOn w:val="Textoindependiente"/>
    <w:next w:val="Textoindependiente"/>
    <w:uiPriority w:val="39"/>
    <w:rsid w:val="00C96201"/>
    <w:pPr>
      <w:tabs>
        <w:tab w:val="left" w:pos="1843"/>
        <w:tab w:val="left" w:pos="1880"/>
        <w:tab w:val="right" w:leader="dot" w:pos="9648"/>
      </w:tabs>
      <w:spacing w:before="0" w:after="0"/>
      <w:ind w:left="1842" w:hanging="646"/>
    </w:pPr>
  </w:style>
  <w:style w:type="paragraph" w:styleId="TDC4">
    <w:name w:val="toc 4"/>
    <w:basedOn w:val="Normal"/>
    <w:next w:val="Normal"/>
    <w:autoRedefine/>
    <w:uiPriority w:val="39"/>
    <w:rsid w:val="00C96201"/>
    <w:pPr>
      <w:spacing w:after="100"/>
      <w:ind w:left="600"/>
    </w:pPr>
  </w:style>
  <w:style w:type="paragraph" w:styleId="TDC5">
    <w:name w:val="toc 5"/>
    <w:basedOn w:val="Normal"/>
    <w:next w:val="Normal"/>
    <w:autoRedefine/>
    <w:rsid w:val="00C96201"/>
    <w:pPr>
      <w:ind w:left="800"/>
    </w:pPr>
  </w:style>
  <w:style w:type="paragraph" w:styleId="TDC6">
    <w:name w:val="toc 6"/>
    <w:basedOn w:val="Normal"/>
    <w:next w:val="Normal"/>
    <w:autoRedefine/>
    <w:rsid w:val="00C96201"/>
    <w:pPr>
      <w:ind w:left="1000"/>
    </w:pPr>
  </w:style>
  <w:style w:type="paragraph" w:styleId="TDC7">
    <w:name w:val="toc 7"/>
    <w:basedOn w:val="Normal"/>
    <w:next w:val="Normal"/>
    <w:autoRedefine/>
    <w:rsid w:val="00C96201"/>
    <w:pPr>
      <w:ind w:left="1200"/>
    </w:pPr>
  </w:style>
  <w:style w:type="paragraph" w:styleId="TDC8">
    <w:name w:val="toc 8"/>
    <w:basedOn w:val="Normal"/>
    <w:next w:val="Normal"/>
    <w:autoRedefine/>
    <w:rsid w:val="00C96201"/>
    <w:pPr>
      <w:ind w:left="1400"/>
    </w:pPr>
  </w:style>
  <w:style w:type="paragraph" w:styleId="TDC9">
    <w:name w:val="toc 9"/>
    <w:basedOn w:val="Normal"/>
    <w:next w:val="Normal"/>
    <w:autoRedefine/>
    <w:rsid w:val="00C96201"/>
    <w:pPr>
      <w:spacing w:after="100"/>
      <w:ind w:left="1600"/>
    </w:pPr>
  </w:style>
  <w:style w:type="paragraph" w:styleId="Textodeglobo">
    <w:name w:val="Balloon Text"/>
    <w:basedOn w:val="Normal"/>
    <w:link w:val="TextodegloboCar"/>
    <w:qFormat/>
    <w:rsid w:val="00C96201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rsid w:val="00C96201"/>
    <w:rPr>
      <w:rFonts w:ascii="Lucida Grande" w:hAnsi="Lucida Grande" w:cs="Lucida Grande"/>
      <w:noProof/>
      <w:sz w:val="18"/>
      <w:szCs w:val="18"/>
      <w:lang w:val="es-ES_tradnl"/>
    </w:rPr>
  </w:style>
  <w:style w:type="paragraph" w:styleId="Ttulo">
    <w:name w:val="Title"/>
    <w:basedOn w:val="Textoindependiente"/>
    <w:next w:val="Textoindependiente"/>
    <w:link w:val="TtuloCar"/>
    <w:qFormat/>
    <w:rsid w:val="00C96201"/>
    <w:pPr>
      <w:spacing w:before="0" w:after="240"/>
      <w:jc w:val="center"/>
    </w:pPr>
    <w:rPr>
      <w:rFonts w:cs="Arial"/>
      <w:b/>
      <w:iCs/>
      <w:sz w:val="36"/>
      <w:szCs w:val="30"/>
    </w:rPr>
  </w:style>
  <w:style w:type="character" w:customStyle="1" w:styleId="TtuloCar">
    <w:name w:val="Título Car"/>
    <w:link w:val="Ttulo"/>
    <w:rsid w:val="00C96201"/>
    <w:rPr>
      <w:rFonts w:ascii="Arial" w:hAnsi="Arial" w:cs="Arial"/>
      <w:b/>
      <w:iCs/>
      <w:noProof/>
      <w:sz w:val="36"/>
      <w:szCs w:val="30"/>
      <w:lang w:val="es-ES_tradnl"/>
    </w:rPr>
  </w:style>
  <w:style w:type="paragraph" w:styleId="Prrafodelista">
    <w:name w:val="List Paragraph"/>
    <w:basedOn w:val="Normal"/>
    <w:uiPriority w:val="34"/>
    <w:qFormat/>
    <w:rsid w:val="000701C1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BB1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tony.aguedo@pucp.edu.pe" TargetMode="External"/><Relationship Id="rId5" Type="http://schemas.openxmlformats.org/officeDocument/2006/relationships/hyperlink" Target="mailto:antony.aguedo@pucp.edu.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577</Words>
  <Characters>3078</Characters>
  <Application>Microsoft Office Word</Application>
  <DocSecurity>0</DocSecurity>
  <Lines>93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Aguedo</dc:creator>
  <cp:keywords/>
  <dc:description/>
  <cp:lastModifiedBy>Aguedo A. Antony G.</cp:lastModifiedBy>
  <cp:revision>8</cp:revision>
  <dcterms:created xsi:type="dcterms:W3CDTF">2022-03-22T15:26:00Z</dcterms:created>
  <dcterms:modified xsi:type="dcterms:W3CDTF">2025-05-13T02:31:00Z</dcterms:modified>
</cp:coreProperties>
</file>