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A193E" w14:textId="737B87AB" w:rsidR="00714AF7" w:rsidRPr="00530DCD" w:rsidRDefault="00714AF7" w:rsidP="00530DCD">
      <w:pPr>
        <w:spacing w:line="276" w:lineRule="auto"/>
        <w:jc w:val="center"/>
        <w:rPr>
          <w:rFonts w:ascii="Arial" w:hAnsi="Arial" w:cs="Arial"/>
          <w:b/>
          <w:bCs/>
          <w:sz w:val="22"/>
          <w:szCs w:val="22"/>
          <w:lang w:val="es-PE"/>
        </w:rPr>
      </w:pPr>
      <w:r w:rsidRPr="00530DCD">
        <w:rPr>
          <w:rFonts w:ascii="Arial" w:hAnsi="Arial" w:cs="Arial"/>
          <w:b/>
          <w:bCs/>
          <w:sz w:val="22"/>
          <w:szCs w:val="22"/>
          <w:lang w:val="es-PE"/>
        </w:rPr>
        <w:t>Título del trabajo: Cobre, soberanía y transición energética: análisis de la política pública peruana en un contexto global de minerales críticos</w:t>
      </w:r>
      <w:r w:rsidR="000F5F62" w:rsidRPr="000F5F62">
        <w:t xml:space="preserve"> </w:t>
      </w:r>
    </w:p>
    <w:p w14:paraId="34DB019C" w14:textId="77777777" w:rsidR="003C7399" w:rsidRPr="00530DCD" w:rsidRDefault="003C7399" w:rsidP="003C7399">
      <w:pPr>
        <w:jc w:val="center"/>
        <w:rPr>
          <w:rFonts w:ascii="Arial" w:hAnsi="Arial" w:cs="Arial"/>
          <w:b/>
          <w:bCs/>
          <w:sz w:val="22"/>
          <w:szCs w:val="22"/>
          <w:lang w:val="es-PE"/>
        </w:rPr>
      </w:pPr>
    </w:p>
    <w:p w14:paraId="5EA75456" w14:textId="77777777" w:rsidR="00714AF7" w:rsidRPr="00530DCD" w:rsidRDefault="00714AF7" w:rsidP="00530DCD">
      <w:pPr>
        <w:spacing w:line="276" w:lineRule="auto"/>
        <w:rPr>
          <w:rFonts w:ascii="Arial" w:hAnsi="Arial" w:cs="Arial"/>
          <w:sz w:val="22"/>
          <w:szCs w:val="22"/>
          <w:lang w:val="es-PE"/>
        </w:rPr>
      </w:pPr>
      <w:r w:rsidRPr="00530DCD">
        <w:rPr>
          <w:rFonts w:ascii="Arial" w:hAnsi="Arial" w:cs="Arial"/>
          <w:b/>
          <w:bCs/>
          <w:sz w:val="22"/>
          <w:szCs w:val="22"/>
          <w:lang w:val="es-PE"/>
        </w:rPr>
        <w:t>Categoría:</w:t>
      </w:r>
      <w:r w:rsidRPr="00530DCD">
        <w:rPr>
          <w:rFonts w:ascii="Arial" w:hAnsi="Arial" w:cs="Arial"/>
          <w:sz w:val="22"/>
          <w:szCs w:val="22"/>
          <w:lang w:val="es-PE"/>
        </w:rPr>
        <w:t xml:space="preserve"> Regulación y Economía Minera</w:t>
      </w:r>
    </w:p>
    <w:p w14:paraId="545B47E6" w14:textId="77777777" w:rsidR="00714AF7" w:rsidRPr="00530DCD" w:rsidRDefault="00714AF7" w:rsidP="00530DCD">
      <w:pPr>
        <w:spacing w:line="276" w:lineRule="auto"/>
        <w:rPr>
          <w:rFonts w:ascii="Arial" w:hAnsi="Arial" w:cs="Arial"/>
          <w:sz w:val="22"/>
          <w:szCs w:val="22"/>
          <w:lang w:val="es-PE"/>
        </w:rPr>
      </w:pPr>
      <w:r w:rsidRPr="00530DCD">
        <w:rPr>
          <w:rFonts w:ascii="Arial" w:hAnsi="Arial" w:cs="Arial"/>
          <w:b/>
          <w:bCs/>
          <w:sz w:val="22"/>
          <w:szCs w:val="22"/>
          <w:lang w:val="es-PE"/>
        </w:rPr>
        <w:t>Tema:</w:t>
      </w:r>
      <w:r w:rsidRPr="00530DCD">
        <w:rPr>
          <w:rFonts w:ascii="Arial" w:hAnsi="Arial" w:cs="Arial"/>
          <w:sz w:val="22"/>
          <w:szCs w:val="22"/>
          <w:lang w:val="es-PE"/>
        </w:rPr>
        <w:t xml:space="preserve"> Impacto de la transición energética en la minería</w:t>
      </w:r>
    </w:p>
    <w:p w14:paraId="4CE22888" w14:textId="1D9EA200" w:rsidR="00714AF7" w:rsidRPr="00530DCD" w:rsidRDefault="00714AF7" w:rsidP="00530DCD">
      <w:pPr>
        <w:spacing w:line="276" w:lineRule="auto"/>
        <w:rPr>
          <w:rFonts w:ascii="Arial" w:hAnsi="Arial" w:cs="Arial"/>
          <w:sz w:val="22"/>
          <w:szCs w:val="22"/>
          <w:lang w:val="es-PE"/>
        </w:rPr>
      </w:pPr>
      <w:r w:rsidRPr="00530DCD">
        <w:rPr>
          <w:rFonts w:ascii="Arial" w:hAnsi="Arial" w:cs="Arial"/>
          <w:b/>
          <w:bCs/>
          <w:sz w:val="22"/>
          <w:szCs w:val="22"/>
          <w:lang w:val="es-PE"/>
        </w:rPr>
        <w:t>Autor:</w:t>
      </w:r>
      <w:r w:rsidRPr="00530DCD">
        <w:rPr>
          <w:rFonts w:ascii="Arial" w:hAnsi="Arial" w:cs="Arial"/>
          <w:sz w:val="22"/>
          <w:szCs w:val="22"/>
          <w:lang w:val="es-PE"/>
        </w:rPr>
        <w:t xml:space="preserve"> Gaby Galindo Gonzales</w:t>
      </w:r>
      <w:r w:rsidR="00530DCD">
        <w:rPr>
          <w:rFonts w:ascii="Arial" w:hAnsi="Arial" w:cs="Arial"/>
          <w:sz w:val="22"/>
          <w:szCs w:val="22"/>
          <w:lang w:val="es-PE"/>
        </w:rPr>
        <w:t>a, Ana Russo, Giorgio De Tomi</w:t>
      </w:r>
    </w:p>
    <w:p w14:paraId="1B39CB6A" w14:textId="77777777" w:rsidR="00714AF7" w:rsidRPr="00530DCD" w:rsidRDefault="00714AF7" w:rsidP="00530DCD">
      <w:pPr>
        <w:spacing w:line="276" w:lineRule="auto"/>
        <w:rPr>
          <w:rFonts w:ascii="Arial" w:hAnsi="Arial" w:cs="Arial"/>
          <w:sz w:val="22"/>
          <w:szCs w:val="22"/>
          <w:lang w:val="es-PE"/>
        </w:rPr>
      </w:pPr>
      <w:r w:rsidRPr="00530DCD">
        <w:rPr>
          <w:rFonts w:ascii="Arial" w:hAnsi="Arial" w:cs="Arial"/>
          <w:b/>
          <w:bCs/>
          <w:sz w:val="22"/>
          <w:szCs w:val="22"/>
          <w:lang w:val="es-PE"/>
        </w:rPr>
        <w:t>Empresa:</w:t>
      </w:r>
      <w:r w:rsidRPr="00530DCD">
        <w:rPr>
          <w:rFonts w:ascii="Arial" w:hAnsi="Arial" w:cs="Arial"/>
          <w:sz w:val="22"/>
          <w:szCs w:val="22"/>
          <w:lang w:val="es-PE"/>
        </w:rPr>
        <w:t xml:space="preserve"> Nap.mineração - Universidade de São Paulo</w:t>
      </w:r>
    </w:p>
    <w:p w14:paraId="133D6B77" w14:textId="77777777" w:rsidR="00714AF7" w:rsidRPr="00530DCD" w:rsidRDefault="00714AF7" w:rsidP="00530DCD">
      <w:pPr>
        <w:spacing w:line="276" w:lineRule="auto"/>
        <w:rPr>
          <w:rFonts w:ascii="Arial" w:hAnsi="Arial" w:cs="Arial"/>
          <w:sz w:val="22"/>
          <w:szCs w:val="22"/>
          <w:lang w:val="es-PE"/>
        </w:rPr>
      </w:pPr>
      <w:r w:rsidRPr="00530DCD">
        <w:rPr>
          <w:rFonts w:ascii="Arial" w:hAnsi="Arial" w:cs="Arial"/>
          <w:b/>
          <w:bCs/>
          <w:sz w:val="22"/>
          <w:szCs w:val="22"/>
          <w:lang w:val="es-PE"/>
        </w:rPr>
        <w:t>Cargo:</w:t>
      </w:r>
      <w:r w:rsidRPr="00530DCD">
        <w:rPr>
          <w:rFonts w:ascii="Arial" w:hAnsi="Arial" w:cs="Arial"/>
          <w:sz w:val="22"/>
          <w:szCs w:val="22"/>
          <w:lang w:val="es-PE"/>
        </w:rPr>
        <w:t xml:space="preserve"> Investigador asociado</w:t>
      </w:r>
    </w:p>
    <w:p w14:paraId="3650726C" w14:textId="77777777" w:rsidR="00714AF7" w:rsidRPr="00530DCD" w:rsidRDefault="00714AF7" w:rsidP="00530DCD">
      <w:pPr>
        <w:spacing w:line="276" w:lineRule="auto"/>
        <w:rPr>
          <w:rFonts w:ascii="Arial" w:hAnsi="Arial" w:cs="Arial"/>
          <w:sz w:val="22"/>
          <w:szCs w:val="22"/>
          <w:lang w:val="es-PE"/>
        </w:rPr>
      </w:pPr>
      <w:r w:rsidRPr="00530DCD">
        <w:rPr>
          <w:rFonts w:ascii="Arial" w:hAnsi="Arial" w:cs="Arial"/>
          <w:b/>
          <w:bCs/>
          <w:sz w:val="22"/>
          <w:szCs w:val="22"/>
          <w:lang w:val="es-PE"/>
        </w:rPr>
        <w:t>Dirección:</w:t>
      </w:r>
      <w:r w:rsidRPr="00530DCD">
        <w:rPr>
          <w:rFonts w:ascii="Arial" w:hAnsi="Arial" w:cs="Arial"/>
          <w:sz w:val="22"/>
          <w:szCs w:val="22"/>
          <w:lang w:val="es-PE"/>
        </w:rPr>
        <w:t xml:space="preserve"> Av. Professor Mello Moraes, 2373 - Butantã, São Paulo, Brasil</w:t>
      </w:r>
    </w:p>
    <w:p w14:paraId="474269EF" w14:textId="77777777" w:rsidR="00714AF7" w:rsidRPr="00530DCD" w:rsidRDefault="00714AF7" w:rsidP="00530DCD">
      <w:pPr>
        <w:spacing w:line="276" w:lineRule="auto"/>
        <w:rPr>
          <w:rFonts w:ascii="Arial" w:hAnsi="Arial" w:cs="Arial"/>
          <w:sz w:val="22"/>
          <w:szCs w:val="22"/>
          <w:lang w:val="es-PE"/>
        </w:rPr>
      </w:pPr>
      <w:r w:rsidRPr="00530DCD">
        <w:rPr>
          <w:rFonts w:ascii="Arial" w:hAnsi="Arial" w:cs="Arial"/>
          <w:b/>
          <w:bCs/>
          <w:sz w:val="22"/>
          <w:szCs w:val="22"/>
          <w:lang w:val="es-PE"/>
        </w:rPr>
        <w:t>Celular:</w:t>
      </w:r>
      <w:r w:rsidRPr="00530DCD">
        <w:rPr>
          <w:rFonts w:ascii="Arial" w:hAnsi="Arial" w:cs="Arial"/>
          <w:sz w:val="22"/>
          <w:szCs w:val="22"/>
          <w:lang w:val="es-PE"/>
        </w:rPr>
        <w:t xml:space="preserve"> +51 956962892</w:t>
      </w:r>
    </w:p>
    <w:p w14:paraId="59E6C15A" w14:textId="77777777" w:rsidR="00714AF7" w:rsidRPr="00530DCD" w:rsidRDefault="00714AF7" w:rsidP="00530DCD">
      <w:pPr>
        <w:spacing w:line="276" w:lineRule="auto"/>
        <w:rPr>
          <w:rFonts w:ascii="Arial" w:hAnsi="Arial" w:cs="Arial"/>
          <w:sz w:val="22"/>
          <w:szCs w:val="22"/>
          <w:lang w:val="es-PE"/>
        </w:rPr>
      </w:pPr>
      <w:r w:rsidRPr="00530DCD">
        <w:rPr>
          <w:rFonts w:ascii="Arial" w:hAnsi="Arial" w:cs="Arial"/>
          <w:b/>
          <w:bCs/>
          <w:sz w:val="22"/>
          <w:szCs w:val="22"/>
          <w:lang w:val="es-PE"/>
        </w:rPr>
        <w:t>Correo corporativo:</w:t>
      </w:r>
      <w:r w:rsidRPr="00530DCD">
        <w:rPr>
          <w:rFonts w:ascii="Arial" w:hAnsi="Arial" w:cs="Arial"/>
          <w:sz w:val="22"/>
          <w:szCs w:val="22"/>
          <w:lang w:val="es-PE"/>
        </w:rPr>
        <w:t xml:space="preserve"> gaby.galindo@usp.br</w:t>
      </w:r>
    </w:p>
    <w:p w14:paraId="04947723" w14:textId="766A6DC9" w:rsidR="00714AF7" w:rsidRPr="00530DCD" w:rsidRDefault="00714AF7" w:rsidP="00530DCD">
      <w:pPr>
        <w:spacing w:line="276" w:lineRule="auto"/>
        <w:rPr>
          <w:rFonts w:ascii="Arial" w:hAnsi="Arial" w:cs="Arial"/>
          <w:sz w:val="22"/>
          <w:szCs w:val="22"/>
          <w:lang w:val="es-PE"/>
        </w:rPr>
      </w:pPr>
      <w:r w:rsidRPr="00530DCD">
        <w:rPr>
          <w:rFonts w:ascii="Arial" w:hAnsi="Arial" w:cs="Arial"/>
          <w:b/>
          <w:bCs/>
          <w:sz w:val="22"/>
          <w:szCs w:val="22"/>
          <w:lang w:val="es-PE"/>
        </w:rPr>
        <w:t>Correo personal:</w:t>
      </w:r>
      <w:r w:rsidRPr="00530DCD">
        <w:rPr>
          <w:rFonts w:ascii="Arial" w:hAnsi="Arial" w:cs="Arial"/>
          <w:sz w:val="22"/>
          <w:szCs w:val="22"/>
          <w:lang w:val="es-PE"/>
        </w:rPr>
        <w:t xml:space="preserve"> </w:t>
      </w:r>
      <w:hyperlink r:id="rId5" w:history="1">
        <w:r w:rsidR="00CF7780" w:rsidRPr="00530DCD">
          <w:rPr>
            <w:rStyle w:val="Hipervnculo"/>
            <w:rFonts w:ascii="Arial" w:hAnsi="Arial" w:cs="Arial"/>
            <w:sz w:val="22"/>
            <w:szCs w:val="22"/>
            <w:lang w:val="es-PE"/>
          </w:rPr>
          <w:t>gabriela.galindo.538@gmail.com</w:t>
        </w:r>
      </w:hyperlink>
    </w:p>
    <w:p w14:paraId="75C2218C" w14:textId="77777777" w:rsidR="00CF7780" w:rsidRPr="00530DCD" w:rsidRDefault="00CF7780" w:rsidP="003C7399">
      <w:pPr>
        <w:spacing w:line="360" w:lineRule="auto"/>
        <w:rPr>
          <w:rFonts w:ascii="Arial" w:hAnsi="Arial" w:cs="Arial"/>
          <w:sz w:val="22"/>
          <w:szCs w:val="22"/>
          <w:lang w:val="es-PE"/>
        </w:rPr>
      </w:pPr>
    </w:p>
    <w:p w14:paraId="4EAB1A3C" w14:textId="77777777" w:rsidR="00714AF7" w:rsidRDefault="00714AF7" w:rsidP="00AE2D7C">
      <w:pPr>
        <w:spacing w:line="276" w:lineRule="auto"/>
        <w:jc w:val="both"/>
        <w:rPr>
          <w:rFonts w:ascii="Arial" w:hAnsi="Arial" w:cs="Arial"/>
          <w:sz w:val="22"/>
          <w:szCs w:val="22"/>
          <w:lang w:val="es-PE"/>
        </w:rPr>
      </w:pPr>
      <w:r w:rsidRPr="00530DCD">
        <w:rPr>
          <w:rFonts w:ascii="Arial" w:hAnsi="Arial" w:cs="Arial"/>
          <w:b/>
          <w:bCs/>
          <w:sz w:val="22"/>
          <w:szCs w:val="22"/>
          <w:lang w:val="es-PE"/>
        </w:rPr>
        <w:t>Reseña profesional:</w:t>
      </w:r>
      <w:r w:rsidRPr="00530DCD">
        <w:rPr>
          <w:rFonts w:ascii="Arial" w:hAnsi="Arial" w:cs="Arial"/>
          <w:sz w:val="22"/>
          <w:szCs w:val="22"/>
          <w:lang w:val="es-PE"/>
        </w:rPr>
        <w:t xml:space="preserve"> Ingeniera Industrial con estudios de posgrado en Ingeniería Mineral e Investigación Científica. Se desempeña como investigadora asociada en el Centro de Minería Responsable (NAP.Mineração) de la Universidad de São Paulo (USP), Brasil, donde participa en proyectos vinculados a planificación minera, sostenibilidad y tecnología aplicada. Cuenta con experiencia en operaciones subterráneas y a cielo abierto, especialmente en optimización de procesos, automatización y análisis de datos. Es autora de una publicación científica sobre emisiones de CO</w:t>
      </w:r>
      <w:r w:rsidRPr="00530DCD">
        <w:rPr>
          <w:rFonts w:ascii="Cambria Math" w:hAnsi="Cambria Math" w:cs="Cambria Math"/>
          <w:sz w:val="22"/>
          <w:szCs w:val="22"/>
          <w:lang w:val="es-PE"/>
        </w:rPr>
        <w:t>₂</w:t>
      </w:r>
      <w:r w:rsidRPr="00530DCD">
        <w:rPr>
          <w:rFonts w:ascii="Arial" w:hAnsi="Arial" w:cs="Arial"/>
          <w:sz w:val="22"/>
          <w:szCs w:val="22"/>
          <w:lang w:val="es-PE"/>
        </w:rPr>
        <w:t xml:space="preserve"> en pequeña minería, lo que respalda su compromiso con una minería innovadora y ambientalmente responsable</w:t>
      </w:r>
    </w:p>
    <w:p w14:paraId="6CB00E8A" w14:textId="77777777" w:rsidR="00021A49" w:rsidRDefault="00021A49" w:rsidP="00AE2D7C">
      <w:pPr>
        <w:spacing w:line="276" w:lineRule="auto"/>
        <w:jc w:val="both"/>
        <w:rPr>
          <w:rFonts w:ascii="Arial" w:hAnsi="Arial" w:cs="Arial"/>
          <w:sz w:val="22"/>
          <w:szCs w:val="22"/>
          <w:lang w:val="es-PE"/>
        </w:rPr>
      </w:pPr>
    </w:p>
    <w:p w14:paraId="4079D9A0" w14:textId="77777777" w:rsidR="00021A49" w:rsidRDefault="00021A49" w:rsidP="00AE2D7C">
      <w:pPr>
        <w:spacing w:line="276" w:lineRule="auto"/>
        <w:jc w:val="both"/>
        <w:rPr>
          <w:rFonts w:ascii="Arial" w:hAnsi="Arial" w:cs="Arial"/>
          <w:sz w:val="22"/>
          <w:szCs w:val="22"/>
        </w:rPr>
      </w:pPr>
      <w:r w:rsidRPr="00021A49">
        <w:rPr>
          <w:rFonts w:ascii="Arial" w:hAnsi="Arial" w:cs="Arial"/>
          <w:b/>
          <w:bCs/>
          <w:sz w:val="22"/>
          <w:szCs w:val="22"/>
          <w:lang w:val="es-PE"/>
        </w:rPr>
        <w:t>Palabras Clave</w:t>
      </w:r>
      <w:r w:rsidRPr="00021A49">
        <w:rPr>
          <w:rFonts w:ascii="Arial" w:hAnsi="Arial" w:cs="Arial"/>
          <w:b/>
          <w:bCs/>
          <w:sz w:val="22"/>
          <w:szCs w:val="22"/>
        </w:rPr>
        <w:t>:</w:t>
      </w:r>
      <w:r w:rsidRPr="00021A49">
        <w:rPr>
          <w:rFonts w:ascii="Arial" w:hAnsi="Arial" w:cs="Arial"/>
          <w:sz w:val="22"/>
          <w:szCs w:val="22"/>
        </w:rPr>
        <w:t xml:space="preserve"> </w:t>
      </w:r>
    </w:p>
    <w:p w14:paraId="654251E6" w14:textId="17695F4D" w:rsidR="00021A49" w:rsidRPr="00021A49" w:rsidRDefault="00021A49" w:rsidP="00AE2D7C">
      <w:pPr>
        <w:spacing w:line="276" w:lineRule="auto"/>
        <w:jc w:val="both"/>
        <w:rPr>
          <w:rFonts w:ascii="Arial" w:hAnsi="Arial" w:cs="Arial"/>
          <w:sz w:val="22"/>
          <w:szCs w:val="22"/>
          <w:lang w:val="es-PE"/>
        </w:rPr>
      </w:pPr>
      <w:r w:rsidRPr="00021A49">
        <w:rPr>
          <w:rFonts w:ascii="Arial" w:hAnsi="Arial" w:cs="Arial"/>
          <w:sz w:val="22"/>
          <w:szCs w:val="22"/>
        </w:rPr>
        <w:t>Cobre</w:t>
      </w:r>
      <w:r>
        <w:rPr>
          <w:rFonts w:ascii="Arial" w:hAnsi="Arial" w:cs="Arial"/>
          <w:sz w:val="22"/>
          <w:szCs w:val="22"/>
        </w:rPr>
        <w:t xml:space="preserve">, </w:t>
      </w:r>
      <w:proofErr w:type="spellStart"/>
      <w:r w:rsidRPr="00021A49">
        <w:rPr>
          <w:rFonts w:ascii="Arial" w:hAnsi="Arial" w:cs="Arial"/>
          <w:sz w:val="22"/>
          <w:szCs w:val="22"/>
        </w:rPr>
        <w:t>Soberanía</w:t>
      </w:r>
      <w:proofErr w:type="spellEnd"/>
      <w:r w:rsidRPr="00021A49">
        <w:rPr>
          <w:rFonts w:ascii="Arial" w:hAnsi="Arial" w:cs="Arial"/>
          <w:sz w:val="22"/>
          <w:szCs w:val="22"/>
        </w:rPr>
        <w:t xml:space="preserve"> mineral</w:t>
      </w:r>
      <w:r>
        <w:rPr>
          <w:rFonts w:ascii="Arial" w:hAnsi="Arial" w:cs="Arial"/>
          <w:sz w:val="22"/>
          <w:szCs w:val="22"/>
        </w:rPr>
        <w:t xml:space="preserve">, </w:t>
      </w:r>
      <w:proofErr w:type="spellStart"/>
      <w:r w:rsidRPr="00021A49">
        <w:rPr>
          <w:rFonts w:ascii="Arial" w:hAnsi="Arial" w:cs="Arial"/>
          <w:sz w:val="22"/>
          <w:szCs w:val="22"/>
        </w:rPr>
        <w:t>Transición</w:t>
      </w:r>
      <w:proofErr w:type="spellEnd"/>
      <w:r w:rsidRPr="00021A49">
        <w:rPr>
          <w:rFonts w:ascii="Arial" w:hAnsi="Arial" w:cs="Arial"/>
          <w:sz w:val="22"/>
          <w:szCs w:val="22"/>
        </w:rPr>
        <w:t xml:space="preserve"> energética</w:t>
      </w:r>
      <w:r>
        <w:rPr>
          <w:rFonts w:ascii="Arial" w:hAnsi="Arial" w:cs="Arial"/>
          <w:sz w:val="22"/>
          <w:szCs w:val="22"/>
        </w:rPr>
        <w:t xml:space="preserve">, </w:t>
      </w:r>
      <w:r w:rsidRPr="00021A49">
        <w:rPr>
          <w:rFonts w:ascii="Arial" w:hAnsi="Arial" w:cs="Arial"/>
          <w:sz w:val="22"/>
          <w:szCs w:val="22"/>
        </w:rPr>
        <w:t>Políticas públicas</w:t>
      </w:r>
      <w:r>
        <w:rPr>
          <w:rFonts w:ascii="Arial" w:hAnsi="Arial" w:cs="Arial"/>
          <w:sz w:val="22"/>
          <w:szCs w:val="22"/>
        </w:rPr>
        <w:t>,</w:t>
      </w:r>
      <w:r w:rsidRPr="00021A49">
        <w:rPr>
          <w:rFonts w:ascii="Arial" w:hAnsi="Arial" w:cs="Arial"/>
          <w:sz w:val="22"/>
          <w:szCs w:val="22"/>
        </w:rPr>
        <w:t xml:space="preserve"> </w:t>
      </w:r>
      <w:proofErr w:type="spellStart"/>
      <w:r w:rsidRPr="00021A49">
        <w:rPr>
          <w:rFonts w:ascii="Arial" w:hAnsi="Arial" w:cs="Arial"/>
          <w:sz w:val="22"/>
          <w:szCs w:val="22"/>
        </w:rPr>
        <w:t>Minerales</w:t>
      </w:r>
      <w:proofErr w:type="spellEnd"/>
      <w:r w:rsidRPr="00021A49">
        <w:rPr>
          <w:rFonts w:ascii="Arial" w:hAnsi="Arial" w:cs="Arial"/>
          <w:sz w:val="22"/>
          <w:szCs w:val="22"/>
        </w:rPr>
        <w:t xml:space="preserve"> críticos</w:t>
      </w:r>
      <w:r>
        <w:rPr>
          <w:rFonts w:ascii="Arial" w:hAnsi="Arial" w:cs="Arial"/>
          <w:sz w:val="22"/>
          <w:szCs w:val="22"/>
        </w:rPr>
        <w:t xml:space="preserve">, </w:t>
      </w:r>
      <w:proofErr w:type="spellStart"/>
      <w:r w:rsidRPr="00021A49">
        <w:rPr>
          <w:rFonts w:ascii="Arial" w:hAnsi="Arial" w:cs="Arial"/>
          <w:sz w:val="22"/>
          <w:szCs w:val="22"/>
        </w:rPr>
        <w:t>Sostenibilidad</w:t>
      </w:r>
      <w:proofErr w:type="spellEnd"/>
    </w:p>
    <w:p w14:paraId="151A4332" w14:textId="77777777" w:rsidR="00714AF7" w:rsidRPr="00530DCD" w:rsidRDefault="00714AF7" w:rsidP="00AE2D7C">
      <w:pPr>
        <w:spacing w:line="276" w:lineRule="auto"/>
        <w:rPr>
          <w:rFonts w:ascii="Arial" w:hAnsi="Arial" w:cs="Arial"/>
          <w:sz w:val="22"/>
          <w:szCs w:val="22"/>
          <w:lang w:val="es-PE"/>
        </w:rPr>
      </w:pPr>
    </w:p>
    <w:p w14:paraId="28B64058" w14:textId="3BCF8227" w:rsidR="00714AF7" w:rsidRDefault="00714AF7" w:rsidP="00AE2D7C">
      <w:pPr>
        <w:pStyle w:val="Prrafodelista"/>
        <w:numPr>
          <w:ilvl w:val="0"/>
          <w:numId w:val="1"/>
        </w:numPr>
        <w:spacing w:line="276" w:lineRule="auto"/>
        <w:rPr>
          <w:rFonts w:ascii="Arial" w:hAnsi="Arial" w:cs="Arial"/>
          <w:b/>
          <w:bCs/>
          <w:sz w:val="22"/>
          <w:szCs w:val="22"/>
          <w:lang w:val="es-PE"/>
        </w:rPr>
      </w:pPr>
      <w:r w:rsidRPr="00530DCD">
        <w:rPr>
          <w:rFonts w:ascii="Arial" w:hAnsi="Arial" w:cs="Arial"/>
          <w:b/>
          <w:bCs/>
          <w:sz w:val="22"/>
          <w:szCs w:val="22"/>
          <w:lang w:val="es-PE"/>
        </w:rPr>
        <w:t>Contexto y Alcance</w:t>
      </w:r>
    </w:p>
    <w:p w14:paraId="22E3983A" w14:textId="77777777" w:rsidR="00530DCD" w:rsidRPr="00530DCD" w:rsidRDefault="00530DCD" w:rsidP="00530DCD">
      <w:pPr>
        <w:pStyle w:val="Prrafodelista"/>
        <w:spacing w:line="276" w:lineRule="auto"/>
        <w:rPr>
          <w:rFonts w:ascii="Arial" w:hAnsi="Arial" w:cs="Arial"/>
          <w:b/>
          <w:bCs/>
          <w:sz w:val="22"/>
          <w:szCs w:val="22"/>
          <w:lang w:val="es-PE"/>
        </w:rPr>
      </w:pPr>
    </w:p>
    <w:p w14:paraId="7C453B7E" w14:textId="1356DA5E" w:rsidR="00714AF7" w:rsidRPr="00530DCD" w:rsidRDefault="00714AF7" w:rsidP="00AE2D7C">
      <w:pPr>
        <w:spacing w:line="276" w:lineRule="auto"/>
        <w:jc w:val="both"/>
        <w:rPr>
          <w:rFonts w:ascii="Arial" w:hAnsi="Arial" w:cs="Arial"/>
          <w:sz w:val="22"/>
          <w:szCs w:val="22"/>
          <w:lang w:val="es-PE"/>
        </w:rPr>
      </w:pPr>
      <w:r w:rsidRPr="00530DCD">
        <w:rPr>
          <w:rFonts w:ascii="Arial" w:hAnsi="Arial" w:cs="Arial"/>
          <w:sz w:val="22"/>
          <w:szCs w:val="22"/>
          <w:lang w:val="es-PE"/>
        </w:rPr>
        <w:t>En el siglo XXI, el cobre se ha consolidado como un recurso fundamental para la transición energética global, imprescindible en tecnologías limpias, electrificación y transformación industrial (IEA, 2021; CEPAL, 2022). Perú, como segundo mayor productor mundial de cobre, ocupa una posición estratégica no solo para su economía nacional, sino también para el abastecimiento global de este mineral crítico.</w:t>
      </w:r>
    </w:p>
    <w:p w14:paraId="07084A50" w14:textId="77777777" w:rsidR="00714AF7" w:rsidRPr="00530DCD" w:rsidRDefault="00714AF7" w:rsidP="00AE2D7C">
      <w:pPr>
        <w:spacing w:line="276" w:lineRule="auto"/>
        <w:jc w:val="both"/>
        <w:rPr>
          <w:rFonts w:ascii="Arial" w:hAnsi="Arial" w:cs="Arial"/>
          <w:sz w:val="22"/>
          <w:szCs w:val="22"/>
          <w:lang w:val="es-PE"/>
        </w:rPr>
      </w:pPr>
      <w:r w:rsidRPr="00530DCD">
        <w:rPr>
          <w:rFonts w:ascii="Arial" w:hAnsi="Arial" w:cs="Arial"/>
          <w:sz w:val="22"/>
          <w:szCs w:val="22"/>
          <w:lang w:val="es-PE"/>
        </w:rPr>
        <w:t>Sin embargo, la competencia geopolítica por minerales estratégicos se ha intensificado en los últimos años, como lo ilustran los conflictos en territorios ricos en estos recursos: el interés de Rusia en controlar zonas de Ucrania con reservas de tierras raras, o la creciente atención de Estados Unidos sobre Groenlandia por su potencial minero (U.S. Geological Survey, 2023; CEPAL, 2022). Estos casos revelan que la soberanía nacional en el siglo XXI depende en gran medida del acceso, regulación y control sobre recursos minerales críticos, incluido el cobre.</w:t>
      </w:r>
    </w:p>
    <w:p w14:paraId="64178426" w14:textId="77777777" w:rsidR="00714AF7" w:rsidRPr="00530DCD" w:rsidRDefault="00714AF7" w:rsidP="00AE2D7C">
      <w:pPr>
        <w:spacing w:line="276" w:lineRule="auto"/>
        <w:jc w:val="both"/>
        <w:rPr>
          <w:rFonts w:ascii="Arial" w:hAnsi="Arial" w:cs="Arial"/>
          <w:sz w:val="22"/>
          <w:szCs w:val="22"/>
          <w:lang w:val="es-PE"/>
        </w:rPr>
      </w:pPr>
    </w:p>
    <w:p w14:paraId="4BB1DB51" w14:textId="1635F125" w:rsidR="003C7399" w:rsidRDefault="00714AF7" w:rsidP="00AE2D7C">
      <w:pPr>
        <w:spacing w:line="276" w:lineRule="auto"/>
        <w:jc w:val="both"/>
        <w:rPr>
          <w:rFonts w:ascii="Arial" w:hAnsi="Arial" w:cs="Arial"/>
          <w:sz w:val="22"/>
          <w:szCs w:val="22"/>
          <w:lang w:val="es-PE"/>
        </w:rPr>
      </w:pPr>
      <w:r w:rsidRPr="00530DCD">
        <w:rPr>
          <w:rFonts w:ascii="Arial" w:hAnsi="Arial" w:cs="Arial"/>
          <w:sz w:val="22"/>
          <w:szCs w:val="22"/>
          <w:lang w:val="es-PE"/>
        </w:rPr>
        <w:t xml:space="preserve">En este escenario, surge la necesidad de evaluar qué acciones ha adoptado el Estado peruano para fortalecer su soberanía sobre el cobre y su articulación con una transición energética que no solo sea tecnológica, sino también justa y sostenible. El presente trabajo </w:t>
      </w:r>
      <w:r w:rsidRPr="00530DCD">
        <w:rPr>
          <w:rFonts w:ascii="Arial" w:hAnsi="Arial" w:cs="Arial"/>
          <w:sz w:val="22"/>
          <w:szCs w:val="22"/>
          <w:lang w:val="es-PE"/>
        </w:rPr>
        <w:lastRenderedPageBreak/>
        <w:t>se inscribe en el campo de la economía minera, las políticas públicas y la geopolítica de los recursos naturales, con un enfoque aplicado al desarrollo sostenible y al diseño de políticas inclusivas.</w:t>
      </w:r>
    </w:p>
    <w:p w14:paraId="2DD2F669" w14:textId="77777777" w:rsidR="00530DCD" w:rsidRPr="00530DCD" w:rsidRDefault="00530DCD" w:rsidP="00AE2D7C">
      <w:pPr>
        <w:spacing w:line="276" w:lineRule="auto"/>
        <w:jc w:val="both"/>
        <w:rPr>
          <w:rFonts w:ascii="Arial" w:hAnsi="Arial" w:cs="Arial"/>
          <w:sz w:val="22"/>
          <w:szCs w:val="22"/>
          <w:lang w:val="es-PE"/>
        </w:rPr>
      </w:pPr>
    </w:p>
    <w:p w14:paraId="4E2C116D" w14:textId="239729CE" w:rsidR="003C7399" w:rsidRDefault="00714AF7" w:rsidP="00AE2D7C">
      <w:pPr>
        <w:pStyle w:val="Prrafodelista"/>
        <w:numPr>
          <w:ilvl w:val="0"/>
          <w:numId w:val="1"/>
        </w:numPr>
        <w:spacing w:line="276" w:lineRule="auto"/>
        <w:rPr>
          <w:rFonts w:ascii="Arial" w:hAnsi="Arial" w:cs="Arial"/>
          <w:b/>
          <w:bCs/>
          <w:sz w:val="22"/>
          <w:szCs w:val="22"/>
          <w:lang w:val="es-PE"/>
        </w:rPr>
      </w:pPr>
      <w:r w:rsidRPr="00530DCD">
        <w:rPr>
          <w:rFonts w:ascii="Arial" w:hAnsi="Arial" w:cs="Arial"/>
          <w:b/>
          <w:bCs/>
          <w:sz w:val="22"/>
          <w:szCs w:val="22"/>
          <w:lang w:val="es-PE"/>
        </w:rPr>
        <w:t>Objetivo del trabajo</w:t>
      </w:r>
    </w:p>
    <w:p w14:paraId="730009BD" w14:textId="77777777" w:rsidR="00530DCD" w:rsidRPr="00530DCD" w:rsidRDefault="00530DCD" w:rsidP="00530DCD">
      <w:pPr>
        <w:pStyle w:val="Prrafodelista"/>
        <w:spacing w:line="276" w:lineRule="auto"/>
        <w:rPr>
          <w:rFonts w:ascii="Arial" w:hAnsi="Arial" w:cs="Arial"/>
          <w:b/>
          <w:bCs/>
          <w:sz w:val="22"/>
          <w:szCs w:val="22"/>
          <w:lang w:val="es-PE"/>
        </w:rPr>
      </w:pPr>
    </w:p>
    <w:p w14:paraId="48C68465" w14:textId="72F7599E" w:rsidR="003C7399" w:rsidRDefault="00714AF7" w:rsidP="00AE2D7C">
      <w:pPr>
        <w:spacing w:line="276" w:lineRule="auto"/>
        <w:jc w:val="both"/>
        <w:rPr>
          <w:rFonts w:ascii="Arial" w:hAnsi="Arial" w:cs="Arial"/>
          <w:sz w:val="22"/>
          <w:szCs w:val="22"/>
          <w:lang w:val="es-PE"/>
        </w:rPr>
      </w:pPr>
      <w:r w:rsidRPr="00530DCD">
        <w:rPr>
          <w:rFonts w:ascii="Arial" w:hAnsi="Arial" w:cs="Arial"/>
          <w:sz w:val="22"/>
          <w:szCs w:val="22"/>
          <w:lang w:val="es-PE"/>
        </w:rPr>
        <w:t>El estudio tiene como objetivo analizar si el Estado peruano ha implementado leyes, inversiones o incentivos específicos para fomentar la producción de cobre que contribuyan a la soberanía nacional y a una transición energética justa, en el marco de un escenario internacional de creciente disputa por minerales estratégicos. Se busca identificar avances, vacíos y oportunidades en la política pública nacional, evaluando su coherencia con los principios de sostenibilidad, equidad territorial y cumplimiento de la agenda climática.</w:t>
      </w:r>
    </w:p>
    <w:p w14:paraId="7DF1A842" w14:textId="77777777" w:rsidR="00530DCD" w:rsidRPr="00530DCD" w:rsidRDefault="00530DCD" w:rsidP="00AE2D7C">
      <w:pPr>
        <w:spacing w:line="276" w:lineRule="auto"/>
        <w:jc w:val="both"/>
        <w:rPr>
          <w:rFonts w:ascii="Arial" w:hAnsi="Arial" w:cs="Arial"/>
          <w:sz w:val="22"/>
          <w:szCs w:val="22"/>
          <w:lang w:val="es-PE"/>
        </w:rPr>
      </w:pPr>
    </w:p>
    <w:p w14:paraId="164085DF" w14:textId="4B595A01" w:rsidR="00714AF7" w:rsidRDefault="00714AF7" w:rsidP="00AE2D7C">
      <w:pPr>
        <w:pStyle w:val="Prrafodelista"/>
        <w:numPr>
          <w:ilvl w:val="0"/>
          <w:numId w:val="1"/>
        </w:numPr>
        <w:spacing w:line="276" w:lineRule="auto"/>
        <w:jc w:val="both"/>
        <w:rPr>
          <w:rFonts w:ascii="Arial" w:hAnsi="Arial" w:cs="Arial"/>
          <w:b/>
          <w:bCs/>
          <w:sz w:val="22"/>
          <w:szCs w:val="22"/>
          <w:lang w:val="es-PE"/>
        </w:rPr>
      </w:pPr>
      <w:r w:rsidRPr="00530DCD">
        <w:rPr>
          <w:rFonts w:ascii="Arial" w:hAnsi="Arial" w:cs="Arial"/>
          <w:b/>
          <w:bCs/>
          <w:sz w:val="22"/>
          <w:szCs w:val="22"/>
          <w:lang w:val="es-PE"/>
        </w:rPr>
        <w:t>M</w:t>
      </w:r>
      <w:r w:rsidRPr="00530DCD">
        <w:rPr>
          <w:rFonts w:ascii="Arial" w:hAnsi="Arial" w:cs="Arial"/>
          <w:b/>
          <w:bCs/>
          <w:sz w:val="22"/>
          <w:szCs w:val="22"/>
          <w:lang w:val="es-PE"/>
        </w:rPr>
        <w:t>etodología</w:t>
      </w:r>
    </w:p>
    <w:p w14:paraId="7A74C44D" w14:textId="77777777" w:rsidR="00530DCD" w:rsidRPr="00530DCD" w:rsidRDefault="00530DCD" w:rsidP="00530DCD">
      <w:pPr>
        <w:pStyle w:val="Prrafodelista"/>
        <w:spacing w:line="276" w:lineRule="auto"/>
        <w:jc w:val="both"/>
        <w:rPr>
          <w:rFonts w:ascii="Arial" w:hAnsi="Arial" w:cs="Arial"/>
          <w:b/>
          <w:bCs/>
          <w:sz w:val="22"/>
          <w:szCs w:val="22"/>
          <w:lang w:val="es-PE"/>
        </w:rPr>
      </w:pPr>
    </w:p>
    <w:p w14:paraId="0ED48245" w14:textId="77777777" w:rsidR="00714AF7" w:rsidRPr="00530DCD" w:rsidRDefault="00714AF7" w:rsidP="00AE2D7C">
      <w:pPr>
        <w:spacing w:line="276" w:lineRule="auto"/>
        <w:jc w:val="both"/>
        <w:rPr>
          <w:rFonts w:ascii="Arial" w:hAnsi="Arial" w:cs="Arial"/>
          <w:sz w:val="22"/>
          <w:szCs w:val="22"/>
          <w:lang w:val="es-PE"/>
        </w:rPr>
      </w:pPr>
      <w:r w:rsidRPr="00530DCD">
        <w:rPr>
          <w:rFonts w:ascii="Arial" w:hAnsi="Arial" w:cs="Arial"/>
          <w:sz w:val="22"/>
          <w:szCs w:val="22"/>
          <w:lang w:val="es-PE"/>
        </w:rPr>
        <w:t>Este estudio adopta un enfoque de investigación cualitativa, con un diseño documental y analítico, orientado a examinar la actuación del Estado peruano en la promoción del cobre como recurso estratégico, en el marco de la soberanía mineral y la transición energética justa. Este enfoque es comúnmente utilizado en estudios de políticas públicas extractivas y gobernanza de recursos naturales (Bebbington et al., 2018).</w:t>
      </w:r>
    </w:p>
    <w:p w14:paraId="09964226" w14:textId="77777777" w:rsidR="00714AF7" w:rsidRPr="00530DCD" w:rsidRDefault="00714AF7" w:rsidP="00AE2D7C">
      <w:pPr>
        <w:spacing w:line="276" w:lineRule="auto"/>
        <w:jc w:val="both"/>
        <w:rPr>
          <w:rFonts w:ascii="Arial" w:hAnsi="Arial" w:cs="Arial"/>
          <w:sz w:val="22"/>
          <w:szCs w:val="22"/>
          <w:lang w:val="es-PE"/>
        </w:rPr>
      </w:pPr>
    </w:p>
    <w:p w14:paraId="64745E4E" w14:textId="77777777" w:rsidR="00714AF7" w:rsidRPr="00530DCD" w:rsidRDefault="00714AF7" w:rsidP="00AE2D7C">
      <w:pPr>
        <w:spacing w:line="276" w:lineRule="auto"/>
        <w:jc w:val="both"/>
        <w:rPr>
          <w:rFonts w:ascii="Arial" w:hAnsi="Arial" w:cs="Arial"/>
          <w:sz w:val="22"/>
          <w:szCs w:val="22"/>
          <w:lang w:val="es-PE"/>
        </w:rPr>
      </w:pPr>
      <w:r w:rsidRPr="00530DCD">
        <w:rPr>
          <w:rFonts w:ascii="Arial" w:hAnsi="Arial" w:cs="Arial"/>
          <w:sz w:val="22"/>
          <w:szCs w:val="22"/>
          <w:lang w:val="es-PE"/>
        </w:rPr>
        <w:t>El análisis cubre el periodo 2010–2024, considerando que a partir de 2010 se intensificaron los procesos regulatorios y estratégicos relacionados con el sector minero en Perú, en paralelo con el auge internacional de los minerales críticos (IEA, 2021; CEPAL, 2022). Este rango temporal permite capturar la evolución institucional y las respuestas estatales ante la creciente presión por asegurar el abastecimiento sostenible de cobre, así como las demandas sociales por una minería responsable.</w:t>
      </w:r>
    </w:p>
    <w:p w14:paraId="5F52C082" w14:textId="77777777" w:rsidR="00714AF7" w:rsidRPr="00530DCD" w:rsidRDefault="00714AF7" w:rsidP="00AE2D7C">
      <w:pPr>
        <w:spacing w:line="276" w:lineRule="auto"/>
        <w:jc w:val="both"/>
        <w:rPr>
          <w:rFonts w:ascii="Arial" w:hAnsi="Arial" w:cs="Arial"/>
          <w:sz w:val="22"/>
          <w:szCs w:val="22"/>
          <w:lang w:val="es-PE"/>
        </w:rPr>
      </w:pPr>
    </w:p>
    <w:p w14:paraId="04B023D5" w14:textId="77777777" w:rsidR="00714AF7" w:rsidRPr="00530DCD" w:rsidRDefault="00714AF7" w:rsidP="00AE2D7C">
      <w:pPr>
        <w:spacing w:line="276" w:lineRule="auto"/>
        <w:jc w:val="both"/>
        <w:rPr>
          <w:rFonts w:ascii="Arial" w:hAnsi="Arial" w:cs="Arial"/>
          <w:sz w:val="22"/>
          <w:szCs w:val="22"/>
          <w:lang w:val="es-PE"/>
        </w:rPr>
      </w:pPr>
      <w:r w:rsidRPr="00530DCD">
        <w:rPr>
          <w:rFonts w:ascii="Arial" w:hAnsi="Arial" w:cs="Arial"/>
          <w:sz w:val="22"/>
          <w:szCs w:val="22"/>
          <w:lang w:val="es-PE"/>
        </w:rPr>
        <w:t>Las unidades de análisis incluyeron leyes, reglamentos, planes estratégicos, programas de inversión, mecanismos de incentivos y documentos normativos o técnicos emitidos por el Estado peruano. Esta selección responde tanto a precedentes en estudios comparativos sobre gobernanza de minerales estratégicos en países como Brasil y Chile (Moura et al., 2023), como a marcos institucionales que recomiendan examinar el ciclo completo de política pública (Howlett &amp; Ramesh, 2003).</w:t>
      </w:r>
    </w:p>
    <w:p w14:paraId="745B455E" w14:textId="77777777" w:rsidR="00714AF7" w:rsidRPr="00530DCD" w:rsidRDefault="00714AF7" w:rsidP="00AE2D7C">
      <w:pPr>
        <w:spacing w:line="276" w:lineRule="auto"/>
        <w:jc w:val="both"/>
        <w:rPr>
          <w:rFonts w:ascii="Arial" w:hAnsi="Arial" w:cs="Arial"/>
          <w:sz w:val="22"/>
          <w:szCs w:val="22"/>
          <w:lang w:val="es-PE"/>
        </w:rPr>
      </w:pPr>
    </w:p>
    <w:p w14:paraId="30CFA507" w14:textId="6C05CCED" w:rsidR="00714AF7" w:rsidRPr="00530DCD" w:rsidRDefault="00714AF7" w:rsidP="00AE2D7C">
      <w:pPr>
        <w:spacing w:line="276" w:lineRule="auto"/>
        <w:jc w:val="both"/>
        <w:rPr>
          <w:rFonts w:ascii="Arial" w:hAnsi="Arial" w:cs="Arial"/>
          <w:sz w:val="22"/>
          <w:szCs w:val="22"/>
          <w:lang w:val="es-PE"/>
        </w:rPr>
      </w:pPr>
      <w:r w:rsidRPr="00530DCD">
        <w:rPr>
          <w:rFonts w:ascii="Arial" w:hAnsi="Arial" w:cs="Arial"/>
          <w:sz w:val="22"/>
          <w:szCs w:val="22"/>
          <w:lang w:val="es-PE"/>
        </w:rPr>
        <w:t>La estrategia de búsqueda documental combinó el uso de palabras clave como “cobre Perú”, “transición energética”, “soberanía mineral”, “minerales críticos”, “política minera”, “formalización minera” e “inversión pública minera”, aplicadas en portales institucionales nacionales (MINEM, Congreso de la República, ProInversión, PCM, SNMPE, INGEMMET), así como en repositorios internacionales y multilaterales (CEPAL, IEA, BID, OCDE) y bases académicas (Scielo, Redalyc, Google Scholar). Se establecieron criterios de inclusión basados en la relevancia temática, el periodo de publicación (2010–2024), la pertinencia territorial (Perú) y la naturaleza oficial o académica del documento.</w:t>
      </w:r>
    </w:p>
    <w:p w14:paraId="28FAD416" w14:textId="77777777" w:rsidR="00714AF7" w:rsidRPr="00530DCD" w:rsidRDefault="00714AF7" w:rsidP="00AE2D7C">
      <w:pPr>
        <w:spacing w:line="276" w:lineRule="auto"/>
        <w:jc w:val="both"/>
        <w:rPr>
          <w:rFonts w:ascii="Arial" w:hAnsi="Arial" w:cs="Arial"/>
          <w:sz w:val="22"/>
          <w:szCs w:val="22"/>
          <w:lang w:val="es-PE"/>
        </w:rPr>
      </w:pPr>
      <w:r w:rsidRPr="00530DCD">
        <w:rPr>
          <w:rFonts w:ascii="Arial" w:hAnsi="Arial" w:cs="Arial"/>
          <w:sz w:val="22"/>
          <w:szCs w:val="22"/>
          <w:lang w:val="es-PE"/>
        </w:rPr>
        <w:lastRenderedPageBreak/>
        <w:t>Los resultados de la búsqueda se registraron en una tabla de búsqueda documental y luego se sistematizaron mediante una matriz de extracción de datos, orientada a codificar cada documento en tres dimensiones: (i) contribución a la soberanía nacional del recurso, (ii) aportes a una transición energética justa y (iii) inclusión de criterios de sostenibilidad social y ambiental. Esta matriz permitió realizar un análisis temático cualitativo (Fereday &amp; Muir-Cochrane, 2006), identificando patrones, vacíos normativos y oportunidades de mejora en la política minera del cobre en el Perú. Los hallazgos serán contrastados con experiencias comparadas de países mineros que han avanzado en integrar minerales estratégicos en sus agendas de desarrollo sostenible y transición climática (World Bank, 2020; OECD, 2021).</w:t>
      </w:r>
    </w:p>
    <w:p w14:paraId="79BAD043" w14:textId="77777777" w:rsidR="00714AF7" w:rsidRPr="00530DCD" w:rsidRDefault="00714AF7" w:rsidP="00AE2D7C">
      <w:pPr>
        <w:spacing w:line="276" w:lineRule="auto"/>
        <w:rPr>
          <w:rFonts w:ascii="Arial" w:hAnsi="Arial" w:cs="Arial"/>
          <w:sz w:val="22"/>
          <w:szCs w:val="22"/>
          <w:lang w:val="es-PE"/>
        </w:rPr>
      </w:pPr>
    </w:p>
    <w:p w14:paraId="7ED5D970" w14:textId="23A9B209" w:rsidR="00CF7780" w:rsidRDefault="00CF7780" w:rsidP="00AE2D7C">
      <w:pPr>
        <w:pStyle w:val="Prrafodelista"/>
        <w:numPr>
          <w:ilvl w:val="0"/>
          <w:numId w:val="1"/>
        </w:numPr>
        <w:spacing w:line="276" w:lineRule="auto"/>
        <w:rPr>
          <w:rFonts w:ascii="Arial" w:hAnsi="Arial" w:cs="Arial"/>
          <w:b/>
          <w:bCs/>
          <w:sz w:val="22"/>
          <w:szCs w:val="22"/>
          <w:lang w:val="es-PE"/>
        </w:rPr>
      </w:pPr>
      <w:r w:rsidRPr="00530DCD">
        <w:rPr>
          <w:rFonts w:ascii="Arial" w:hAnsi="Arial" w:cs="Arial"/>
          <w:b/>
          <w:bCs/>
          <w:sz w:val="22"/>
          <w:szCs w:val="22"/>
          <w:lang w:val="es-PE"/>
        </w:rPr>
        <w:t>Resultados alcanzados</w:t>
      </w:r>
    </w:p>
    <w:p w14:paraId="1A6CEBF4" w14:textId="77777777" w:rsidR="00530DCD" w:rsidRPr="00530DCD" w:rsidRDefault="00530DCD" w:rsidP="00530DCD">
      <w:pPr>
        <w:pStyle w:val="Prrafodelista"/>
        <w:spacing w:line="276" w:lineRule="auto"/>
        <w:rPr>
          <w:rFonts w:ascii="Arial" w:hAnsi="Arial" w:cs="Arial"/>
          <w:b/>
          <w:bCs/>
          <w:sz w:val="22"/>
          <w:szCs w:val="22"/>
          <w:lang w:val="es-PE"/>
        </w:rPr>
      </w:pPr>
    </w:p>
    <w:p w14:paraId="08163B96" w14:textId="77777777" w:rsidR="00E3557D" w:rsidRPr="00530DCD" w:rsidRDefault="00CF7780" w:rsidP="00AE2D7C">
      <w:pPr>
        <w:spacing w:line="276" w:lineRule="auto"/>
        <w:jc w:val="both"/>
        <w:rPr>
          <w:rFonts w:ascii="Arial" w:hAnsi="Arial" w:cs="Arial"/>
          <w:sz w:val="22"/>
          <w:szCs w:val="22"/>
          <w:lang w:val="es-PE"/>
        </w:rPr>
      </w:pPr>
      <w:r w:rsidRPr="00530DCD">
        <w:rPr>
          <w:rFonts w:ascii="Arial" w:hAnsi="Arial" w:cs="Arial"/>
          <w:sz w:val="22"/>
          <w:szCs w:val="22"/>
          <w:lang w:val="es-PE"/>
        </w:rPr>
        <w:t>El análisis de políticas públicas, leyes y planes emitidos por el Estado peruano entre 2010 y 2024 evidenció que sí existen instrumentos normativos y estratégicos que abordan la producción y exportación del cobre como eje del desarrollo económico nacional. Entre ellos destacan la Política Nacional de Minería (2021) y el Plan Nacional de Competitividad (2019) (MINEM, 2021; PCM, 2019).</w:t>
      </w:r>
    </w:p>
    <w:p w14:paraId="6FF3F54A" w14:textId="57F89639" w:rsidR="00CF7780" w:rsidRPr="00530DCD" w:rsidRDefault="00CF7780" w:rsidP="00AE2D7C">
      <w:pPr>
        <w:spacing w:line="276" w:lineRule="auto"/>
        <w:jc w:val="both"/>
        <w:rPr>
          <w:rFonts w:ascii="Arial" w:hAnsi="Arial" w:cs="Arial"/>
          <w:sz w:val="22"/>
          <w:szCs w:val="22"/>
          <w:lang w:val="es-PE"/>
        </w:rPr>
      </w:pPr>
      <w:r w:rsidRPr="00530DCD">
        <w:rPr>
          <w:rFonts w:ascii="Arial" w:hAnsi="Arial" w:cs="Arial"/>
          <w:sz w:val="22"/>
          <w:szCs w:val="22"/>
          <w:lang w:val="es-PE"/>
        </w:rPr>
        <w:br/>
        <w:t>Estos documentos reconocen el rol central del cobre en la transición energética global (IEA, 2021), pero su implementación no articula de manera directa el recurso con una estrategia de soberanía mineral ni con un modelo de transición energética justa. Aunque existen programas como el Plan de Cierre de Brechas en el Corredor Minero, no se identificó ninguna ley ni política explícita que declare al cobre como mineral estratégico nacional (Moura et al., 2023; World Bank, 2020).</w:t>
      </w:r>
    </w:p>
    <w:p w14:paraId="6B09E5E8" w14:textId="77777777" w:rsidR="003C7399" w:rsidRPr="00530DCD" w:rsidRDefault="003C7399" w:rsidP="00AE2D7C">
      <w:pPr>
        <w:spacing w:line="276" w:lineRule="auto"/>
        <w:jc w:val="both"/>
        <w:rPr>
          <w:rFonts w:ascii="Arial" w:hAnsi="Arial" w:cs="Arial"/>
          <w:sz w:val="22"/>
          <w:szCs w:val="22"/>
          <w:lang w:val="es-PE"/>
        </w:rPr>
      </w:pPr>
    </w:p>
    <w:p w14:paraId="73A2BB0D" w14:textId="2BD75E99" w:rsidR="00530DCD" w:rsidRDefault="00CF7780" w:rsidP="00530DCD">
      <w:pPr>
        <w:pStyle w:val="Prrafodelista"/>
        <w:numPr>
          <w:ilvl w:val="0"/>
          <w:numId w:val="1"/>
        </w:numPr>
        <w:spacing w:line="276" w:lineRule="auto"/>
        <w:jc w:val="both"/>
        <w:rPr>
          <w:rFonts w:ascii="Arial" w:hAnsi="Arial" w:cs="Arial"/>
          <w:b/>
          <w:bCs/>
          <w:sz w:val="22"/>
          <w:szCs w:val="22"/>
          <w:lang w:val="es-PE"/>
        </w:rPr>
      </w:pPr>
      <w:r w:rsidRPr="00530DCD">
        <w:rPr>
          <w:rFonts w:ascii="Arial" w:hAnsi="Arial" w:cs="Arial"/>
          <w:b/>
          <w:bCs/>
          <w:sz w:val="22"/>
          <w:szCs w:val="22"/>
          <w:lang w:val="es-PE"/>
        </w:rPr>
        <w:t>C</w:t>
      </w:r>
      <w:r w:rsidRPr="00530DCD">
        <w:rPr>
          <w:rFonts w:ascii="Arial" w:hAnsi="Arial" w:cs="Arial"/>
          <w:b/>
          <w:bCs/>
          <w:sz w:val="22"/>
          <w:szCs w:val="22"/>
          <w:lang w:val="es-PE"/>
        </w:rPr>
        <w:t>onclusión y recomendación</w:t>
      </w:r>
    </w:p>
    <w:p w14:paraId="26AB9AA5" w14:textId="77777777" w:rsidR="00530DCD" w:rsidRPr="00530DCD" w:rsidRDefault="00530DCD" w:rsidP="00530DCD">
      <w:pPr>
        <w:pStyle w:val="Prrafodelista"/>
        <w:spacing w:line="276" w:lineRule="auto"/>
        <w:jc w:val="both"/>
        <w:rPr>
          <w:rFonts w:ascii="Arial" w:hAnsi="Arial" w:cs="Arial"/>
          <w:b/>
          <w:bCs/>
          <w:sz w:val="22"/>
          <w:szCs w:val="22"/>
          <w:lang w:val="es-PE"/>
        </w:rPr>
      </w:pPr>
    </w:p>
    <w:p w14:paraId="78AE2098" w14:textId="7F740760" w:rsidR="00E3557D" w:rsidRPr="00530DCD" w:rsidRDefault="00CF7780" w:rsidP="00AE2D7C">
      <w:pPr>
        <w:spacing w:line="276" w:lineRule="auto"/>
        <w:jc w:val="both"/>
        <w:rPr>
          <w:rFonts w:ascii="Arial" w:hAnsi="Arial" w:cs="Arial"/>
          <w:sz w:val="22"/>
          <w:szCs w:val="22"/>
          <w:lang w:val="es-PE"/>
        </w:rPr>
      </w:pPr>
      <w:r w:rsidRPr="00530DCD">
        <w:rPr>
          <w:rFonts w:ascii="Arial" w:hAnsi="Arial" w:cs="Arial"/>
          <w:sz w:val="22"/>
          <w:szCs w:val="22"/>
          <w:lang w:val="es-PE"/>
        </w:rPr>
        <w:t>El Estado peruano ha avanzado en la formulación de políticas orientadas a la productividad, la inversión minera y la sostenibilidad ambiental. No obstante, no cuenta con una política integral que vincule explícitamente la producción cuprífera con objetivos de soberanía nacional y transición energética justa</w:t>
      </w:r>
      <w:r w:rsidR="00AE2D7C" w:rsidRPr="00530DCD">
        <w:rPr>
          <w:rFonts w:ascii="Arial" w:hAnsi="Arial" w:cs="Arial"/>
          <w:sz w:val="22"/>
          <w:szCs w:val="22"/>
          <w:lang w:val="es-PE"/>
        </w:rPr>
        <w:t xml:space="preserve">. </w:t>
      </w:r>
      <w:r w:rsidRPr="00530DCD">
        <w:rPr>
          <w:rFonts w:ascii="Arial" w:hAnsi="Arial" w:cs="Arial"/>
          <w:sz w:val="22"/>
          <w:szCs w:val="22"/>
          <w:lang w:val="es-PE"/>
        </w:rPr>
        <w:t>Las medidas existentes tienden a priorizar la competitividad económica, pero carecen de mecanismos que aseguren control estatal, redistribución del valor del cobre o beneficios claros para las comunidades productoras (CooperAcción, 2024; Bebbington et al., 2018).</w:t>
      </w:r>
    </w:p>
    <w:p w14:paraId="585FCD1C" w14:textId="77777777" w:rsidR="00E3557D" w:rsidRPr="00530DCD" w:rsidRDefault="00E3557D" w:rsidP="00AE2D7C">
      <w:pPr>
        <w:spacing w:line="276" w:lineRule="auto"/>
        <w:jc w:val="both"/>
        <w:rPr>
          <w:rFonts w:ascii="Arial" w:hAnsi="Arial" w:cs="Arial"/>
          <w:sz w:val="22"/>
          <w:szCs w:val="22"/>
          <w:lang w:val="es-PE"/>
        </w:rPr>
      </w:pPr>
    </w:p>
    <w:p w14:paraId="39B4DC20" w14:textId="4CCFE804" w:rsidR="00CF7780" w:rsidRDefault="00CF7780" w:rsidP="00AE2D7C">
      <w:pPr>
        <w:spacing w:line="276" w:lineRule="auto"/>
        <w:jc w:val="both"/>
        <w:rPr>
          <w:rFonts w:ascii="Arial" w:hAnsi="Arial" w:cs="Arial"/>
          <w:sz w:val="22"/>
          <w:szCs w:val="22"/>
          <w:lang w:val="es-PE"/>
        </w:rPr>
      </w:pPr>
      <w:r w:rsidRPr="00530DCD">
        <w:rPr>
          <w:rFonts w:ascii="Arial" w:hAnsi="Arial" w:cs="Arial"/>
          <w:sz w:val="22"/>
          <w:szCs w:val="22"/>
          <w:lang w:val="es-PE"/>
        </w:rPr>
        <w:t>Se recomienda que el Estado peruano elabore una Estrategia Nacional del Cobre como Mineral Crítico, alineada con compromisos climáticos, criterios de justicia territorial e instrumentos comparados de gobernanza soberana.</w:t>
      </w:r>
    </w:p>
    <w:p w14:paraId="524A4CA9" w14:textId="77777777" w:rsidR="00530DCD" w:rsidRDefault="00530DCD" w:rsidP="00AE2D7C">
      <w:pPr>
        <w:spacing w:line="276" w:lineRule="auto"/>
        <w:jc w:val="both"/>
        <w:rPr>
          <w:rFonts w:ascii="Arial" w:hAnsi="Arial" w:cs="Arial"/>
          <w:sz w:val="22"/>
          <w:szCs w:val="22"/>
          <w:lang w:val="es-PE"/>
        </w:rPr>
      </w:pPr>
    </w:p>
    <w:p w14:paraId="4E6CC4F3" w14:textId="77777777" w:rsidR="00530DCD" w:rsidRDefault="00530DCD" w:rsidP="00AE2D7C">
      <w:pPr>
        <w:spacing w:line="276" w:lineRule="auto"/>
        <w:jc w:val="both"/>
        <w:rPr>
          <w:rFonts w:ascii="Arial" w:hAnsi="Arial" w:cs="Arial"/>
          <w:sz w:val="22"/>
          <w:szCs w:val="22"/>
          <w:lang w:val="es-PE"/>
        </w:rPr>
      </w:pPr>
    </w:p>
    <w:p w14:paraId="68B8A21A" w14:textId="77777777" w:rsidR="00530DCD" w:rsidRDefault="00530DCD" w:rsidP="00AE2D7C">
      <w:pPr>
        <w:spacing w:line="276" w:lineRule="auto"/>
        <w:jc w:val="both"/>
        <w:rPr>
          <w:rFonts w:ascii="Arial" w:hAnsi="Arial" w:cs="Arial"/>
          <w:sz w:val="22"/>
          <w:szCs w:val="22"/>
          <w:lang w:val="es-PE"/>
        </w:rPr>
      </w:pPr>
    </w:p>
    <w:p w14:paraId="6769363B" w14:textId="77777777" w:rsidR="00530DCD" w:rsidRDefault="00530DCD" w:rsidP="00AE2D7C">
      <w:pPr>
        <w:spacing w:line="276" w:lineRule="auto"/>
        <w:jc w:val="both"/>
        <w:rPr>
          <w:rFonts w:ascii="Arial" w:hAnsi="Arial" w:cs="Arial"/>
          <w:sz w:val="22"/>
          <w:szCs w:val="22"/>
          <w:lang w:val="es-PE"/>
        </w:rPr>
      </w:pPr>
    </w:p>
    <w:p w14:paraId="56BD13CD" w14:textId="77777777" w:rsidR="00530DCD" w:rsidRPr="00530DCD" w:rsidRDefault="00530DCD" w:rsidP="00AE2D7C">
      <w:pPr>
        <w:spacing w:line="276" w:lineRule="auto"/>
        <w:jc w:val="both"/>
        <w:rPr>
          <w:rFonts w:ascii="Arial" w:hAnsi="Arial" w:cs="Arial"/>
          <w:sz w:val="22"/>
          <w:szCs w:val="22"/>
          <w:lang w:val="es-PE"/>
        </w:rPr>
      </w:pPr>
    </w:p>
    <w:p w14:paraId="326270EA" w14:textId="77777777" w:rsidR="00AE2D7C" w:rsidRPr="00530DCD" w:rsidRDefault="00AE2D7C" w:rsidP="00530DCD">
      <w:pPr>
        <w:spacing w:line="276" w:lineRule="auto"/>
        <w:rPr>
          <w:rFonts w:ascii="Arial" w:hAnsi="Arial" w:cs="Arial"/>
          <w:sz w:val="22"/>
          <w:szCs w:val="22"/>
          <w:lang w:val="es-PE"/>
        </w:rPr>
      </w:pPr>
    </w:p>
    <w:p w14:paraId="6C51184D" w14:textId="77A6BBED" w:rsidR="00714AF7" w:rsidRPr="00530DCD" w:rsidRDefault="003C7399" w:rsidP="00AE2D7C">
      <w:pPr>
        <w:pStyle w:val="Prrafodelista"/>
        <w:numPr>
          <w:ilvl w:val="0"/>
          <w:numId w:val="1"/>
        </w:numPr>
        <w:spacing w:line="276" w:lineRule="auto"/>
        <w:rPr>
          <w:rFonts w:ascii="Arial" w:hAnsi="Arial" w:cs="Arial"/>
          <w:b/>
          <w:bCs/>
          <w:sz w:val="22"/>
          <w:szCs w:val="22"/>
          <w:lang w:val="es-PE"/>
        </w:rPr>
      </w:pPr>
      <w:proofErr w:type="spellStart"/>
      <w:r w:rsidRPr="00530DCD">
        <w:rPr>
          <w:rFonts w:ascii="Arial" w:hAnsi="Arial" w:cs="Arial"/>
          <w:b/>
          <w:bCs/>
          <w:sz w:val="22"/>
          <w:szCs w:val="22"/>
          <w:lang w:val="en-US"/>
        </w:rPr>
        <w:lastRenderedPageBreak/>
        <w:t>Referencias</w:t>
      </w:r>
      <w:proofErr w:type="spellEnd"/>
    </w:p>
    <w:p w14:paraId="38D6E54C" w14:textId="77777777" w:rsidR="003C7399" w:rsidRPr="00530DCD" w:rsidRDefault="003C7399" w:rsidP="00AE2D7C">
      <w:pPr>
        <w:spacing w:before="100" w:beforeAutospacing="1" w:after="100" w:afterAutospacing="1" w:line="276" w:lineRule="auto"/>
        <w:rPr>
          <w:rFonts w:ascii="Arial" w:eastAsia="Times New Roman" w:hAnsi="Arial" w:cs="Arial"/>
          <w:kern w:val="0"/>
          <w:sz w:val="22"/>
          <w:szCs w:val="22"/>
          <w:lang w:val="en-US" w:eastAsia="es-MX"/>
          <w14:ligatures w14:val="none"/>
        </w:rPr>
      </w:pPr>
      <w:r w:rsidRPr="003C7399">
        <w:rPr>
          <w:rFonts w:ascii="Arial" w:eastAsia="Times New Roman" w:hAnsi="Arial" w:cs="Arial"/>
          <w:kern w:val="0"/>
          <w:sz w:val="22"/>
          <w:szCs w:val="22"/>
          <w:lang w:val="en-US" w:eastAsia="es-MX"/>
          <w14:ligatures w14:val="none"/>
        </w:rPr>
        <w:t xml:space="preserve">Bebbington, A., </w:t>
      </w:r>
      <w:proofErr w:type="spellStart"/>
      <w:r w:rsidRPr="003C7399">
        <w:rPr>
          <w:rFonts w:ascii="Arial" w:eastAsia="Times New Roman" w:hAnsi="Arial" w:cs="Arial"/>
          <w:kern w:val="0"/>
          <w:sz w:val="22"/>
          <w:szCs w:val="22"/>
          <w:lang w:val="en-US" w:eastAsia="es-MX"/>
          <w14:ligatures w14:val="none"/>
        </w:rPr>
        <w:t>Abdulai</w:t>
      </w:r>
      <w:proofErr w:type="spellEnd"/>
      <w:r w:rsidRPr="003C7399">
        <w:rPr>
          <w:rFonts w:ascii="Arial" w:eastAsia="Times New Roman" w:hAnsi="Arial" w:cs="Arial"/>
          <w:kern w:val="0"/>
          <w:sz w:val="22"/>
          <w:szCs w:val="22"/>
          <w:lang w:val="en-US" w:eastAsia="es-MX"/>
          <w14:ligatures w14:val="none"/>
        </w:rPr>
        <w:t xml:space="preserve">, A.-G., </w:t>
      </w:r>
      <w:proofErr w:type="spellStart"/>
      <w:r w:rsidRPr="003C7399">
        <w:rPr>
          <w:rFonts w:ascii="Arial" w:eastAsia="Times New Roman" w:hAnsi="Arial" w:cs="Arial"/>
          <w:kern w:val="0"/>
          <w:sz w:val="22"/>
          <w:szCs w:val="22"/>
          <w:lang w:val="en-US" w:eastAsia="es-MX"/>
          <w14:ligatures w14:val="none"/>
        </w:rPr>
        <w:t>Hinfelaar</w:t>
      </w:r>
      <w:proofErr w:type="spellEnd"/>
      <w:r w:rsidRPr="003C7399">
        <w:rPr>
          <w:rFonts w:ascii="Arial" w:eastAsia="Times New Roman" w:hAnsi="Arial" w:cs="Arial"/>
          <w:kern w:val="0"/>
          <w:sz w:val="22"/>
          <w:szCs w:val="22"/>
          <w:lang w:val="en-US" w:eastAsia="es-MX"/>
          <w14:ligatures w14:val="none"/>
        </w:rPr>
        <w:t xml:space="preserve">, M., Humphreys Bebbington, D., &amp; Sanborn, C. (2018). </w:t>
      </w:r>
      <w:r w:rsidRPr="003C7399">
        <w:rPr>
          <w:rFonts w:ascii="Arial" w:eastAsia="Times New Roman" w:hAnsi="Arial" w:cs="Arial"/>
          <w:i/>
          <w:iCs/>
          <w:kern w:val="0"/>
          <w:sz w:val="22"/>
          <w:szCs w:val="22"/>
          <w:lang w:val="en-US" w:eastAsia="es-MX"/>
          <w14:ligatures w14:val="none"/>
        </w:rPr>
        <w:t>Governing Extractive Industries: Politics, Histories, Ideas</w:t>
      </w:r>
      <w:r w:rsidRPr="003C7399">
        <w:rPr>
          <w:rFonts w:ascii="Arial" w:eastAsia="Times New Roman" w:hAnsi="Arial" w:cs="Arial"/>
          <w:kern w:val="0"/>
          <w:sz w:val="22"/>
          <w:szCs w:val="22"/>
          <w:lang w:val="en-US" w:eastAsia="es-MX"/>
          <w14:ligatures w14:val="none"/>
        </w:rPr>
        <w:t>. Oxford University Press.</w:t>
      </w:r>
    </w:p>
    <w:p w14:paraId="2AB62034" w14:textId="42119D93" w:rsidR="003C7399" w:rsidRPr="003C7399" w:rsidRDefault="003C7399" w:rsidP="00AE2D7C">
      <w:pPr>
        <w:spacing w:before="100" w:beforeAutospacing="1" w:after="100" w:afterAutospacing="1" w:line="276" w:lineRule="auto"/>
        <w:rPr>
          <w:rFonts w:ascii="Arial" w:eastAsia="Times New Roman" w:hAnsi="Arial" w:cs="Arial"/>
          <w:kern w:val="0"/>
          <w:sz w:val="22"/>
          <w:szCs w:val="22"/>
          <w:lang w:val="en-US" w:eastAsia="es-MX"/>
          <w14:ligatures w14:val="none"/>
        </w:rPr>
      </w:pPr>
      <w:r w:rsidRPr="003C7399">
        <w:rPr>
          <w:rFonts w:ascii="Arial" w:eastAsia="Times New Roman" w:hAnsi="Arial" w:cs="Arial"/>
          <w:kern w:val="0"/>
          <w:sz w:val="22"/>
          <w:szCs w:val="22"/>
          <w:lang w:val="en-US" w:eastAsia="es-MX"/>
          <w14:ligatures w14:val="none"/>
        </w:rPr>
        <w:t xml:space="preserve">CEPAL. </w:t>
      </w:r>
      <w:r w:rsidRPr="003C7399">
        <w:rPr>
          <w:rFonts w:ascii="Arial" w:eastAsia="Times New Roman" w:hAnsi="Arial" w:cs="Arial"/>
          <w:kern w:val="0"/>
          <w:sz w:val="22"/>
          <w:szCs w:val="22"/>
          <w:lang w:val="es-PE" w:eastAsia="es-MX"/>
          <w14:ligatures w14:val="none"/>
        </w:rPr>
        <w:t xml:space="preserve">(2022). </w:t>
      </w:r>
      <w:r w:rsidRPr="003C7399">
        <w:rPr>
          <w:rFonts w:ascii="Arial" w:eastAsia="Times New Roman" w:hAnsi="Arial" w:cs="Arial"/>
          <w:i/>
          <w:iCs/>
          <w:kern w:val="0"/>
          <w:sz w:val="22"/>
          <w:szCs w:val="22"/>
          <w:lang w:val="es-PE" w:eastAsia="es-MX"/>
          <w14:ligatures w14:val="none"/>
        </w:rPr>
        <w:t>Minerales críticos para la transición energética y la electromovilidad: oportunidades para América Latina y el Caribe</w:t>
      </w:r>
      <w:r w:rsidRPr="003C7399">
        <w:rPr>
          <w:rFonts w:ascii="Arial" w:eastAsia="Times New Roman" w:hAnsi="Arial" w:cs="Arial"/>
          <w:kern w:val="0"/>
          <w:sz w:val="22"/>
          <w:szCs w:val="22"/>
          <w:lang w:val="es-PE" w:eastAsia="es-MX"/>
          <w14:ligatures w14:val="none"/>
        </w:rPr>
        <w:t>. Comisión Económica para América Latina y el Caribe. https://repositorio.cepal.org/handle/11362/48416</w:t>
      </w:r>
    </w:p>
    <w:p w14:paraId="27FE312D" w14:textId="4635DF4D" w:rsidR="003C7399" w:rsidRPr="003C7399" w:rsidRDefault="003C7399" w:rsidP="00AE2D7C">
      <w:pPr>
        <w:spacing w:before="100" w:beforeAutospacing="1" w:after="100" w:afterAutospacing="1" w:line="276" w:lineRule="auto"/>
        <w:rPr>
          <w:rFonts w:ascii="Arial" w:eastAsia="Times New Roman" w:hAnsi="Arial" w:cs="Arial"/>
          <w:kern w:val="0"/>
          <w:sz w:val="22"/>
          <w:szCs w:val="22"/>
          <w:lang w:val="es-PE" w:eastAsia="es-MX"/>
          <w14:ligatures w14:val="none"/>
        </w:rPr>
      </w:pPr>
      <w:r w:rsidRPr="003C7399">
        <w:rPr>
          <w:rFonts w:ascii="Arial" w:eastAsia="Times New Roman" w:hAnsi="Arial" w:cs="Arial"/>
          <w:kern w:val="0"/>
          <w:sz w:val="22"/>
          <w:szCs w:val="22"/>
          <w:lang w:val="es-PE" w:eastAsia="es-MX"/>
          <w14:ligatures w14:val="none"/>
        </w:rPr>
        <w:t xml:space="preserve">CooperAcción. (2024). </w:t>
      </w:r>
      <w:r w:rsidRPr="003C7399">
        <w:rPr>
          <w:rFonts w:ascii="Arial" w:eastAsia="Times New Roman" w:hAnsi="Arial" w:cs="Arial"/>
          <w:i/>
          <w:iCs/>
          <w:kern w:val="0"/>
          <w:sz w:val="22"/>
          <w:szCs w:val="22"/>
          <w:lang w:val="es-PE" w:eastAsia="es-MX"/>
          <w14:ligatures w14:val="none"/>
        </w:rPr>
        <w:t>El cobre para la transición energética y el corredor del sur andino</w:t>
      </w:r>
      <w:r w:rsidRPr="003C7399">
        <w:rPr>
          <w:rFonts w:ascii="Arial" w:eastAsia="Times New Roman" w:hAnsi="Arial" w:cs="Arial"/>
          <w:kern w:val="0"/>
          <w:sz w:val="22"/>
          <w:szCs w:val="22"/>
          <w:lang w:val="es-PE" w:eastAsia="es-MX"/>
          <w14:ligatures w14:val="none"/>
        </w:rPr>
        <w:t xml:space="preserve">. </w:t>
      </w:r>
      <w:r w:rsidRPr="003C7399">
        <w:rPr>
          <w:rFonts w:ascii="Arial" w:eastAsia="Times New Roman" w:hAnsi="Arial" w:cs="Arial"/>
          <w:kern w:val="0"/>
          <w:sz w:val="22"/>
          <w:szCs w:val="22"/>
          <w:lang w:val="es-PE" w:eastAsia="es-MX"/>
          <w14:ligatures w14:val="none"/>
        </w:rPr>
        <w:fldChar w:fldCharType="begin"/>
      </w:r>
      <w:r w:rsidRPr="003C7399">
        <w:rPr>
          <w:rFonts w:ascii="Arial" w:eastAsia="Times New Roman" w:hAnsi="Arial" w:cs="Arial"/>
          <w:kern w:val="0"/>
          <w:sz w:val="22"/>
          <w:szCs w:val="22"/>
          <w:lang w:val="es-PE" w:eastAsia="es-MX"/>
          <w14:ligatures w14:val="none"/>
        </w:rPr>
        <w:instrText>HYPERLINK "https://cooperaccion.org.pe" \t "_new"</w:instrText>
      </w:r>
      <w:r w:rsidRPr="003C7399">
        <w:rPr>
          <w:rFonts w:ascii="Arial" w:eastAsia="Times New Roman" w:hAnsi="Arial" w:cs="Arial"/>
          <w:kern w:val="0"/>
          <w:sz w:val="22"/>
          <w:szCs w:val="22"/>
          <w:lang w:val="es-PE" w:eastAsia="es-MX"/>
          <w14:ligatures w14:val="none"/>
        </w:rPr>
      </w:r>
      <w:r w:rsidRPr="003C7399">
        <w:rPr>
          <w:rFonts w:ascii="Arial" w:eastAsia="Times New Roman" w:hAnsi="Arial" w:cs="Arial"/>
          <w:kern w:val="0"/>
          <w:sz w:val="22"/>
          <w:szCs w:val="22"/>
          <w:lang w:val="es-PE" w:eastAsia="es-MX"/>
          <w14:ligatures w14:val="none"/>
        </w:rPr>
        <w:fldChar w:fldCharType="separate"/>
      </w:r>
      <w:r w:rsidRPr="003C7399">
        <w:rPr>
          <w:rFonts w:ascii="Arial" w:eastAsia="Times New Roman" w:hAnsi="Arial" w:cs="Arial"/>
          <w:color w:val="0000FF"/>
          <w:kern w:val="0"/>
          <w:sz w:val="22"/>
          <w:szCs w:val="22"/>
          <w:u w:val="single"/>
          <w:lang w:val="es-PE" w:eastAsia="es-MX"/>
          <w14:ligatures w14:val="none"/>
        </w:rPr>
        <w:t>https://cooperaccion.org.pe</w:t>
      </w:r>
      <w:r w:rsidRPr="003C7399">
        <w:rPr>
          <w:rFonts w:ascii="Arial" w:eastAsia="Times New Roman" w:hAnsi="Arial" w:cs="Arial"/>
          <w:kern w:val="0"/>
          <w:sz w:val="22"/>
          <w:szCs w:val="22"/>
          <w:lang w:val="es-PE" w:eastAsia="es-MX"/>
          <w14:ligatures w14:val="none"/>
        </w:rPr>
        <w:fldChar w:fldCharType="end"/>
      </w:r>
    </w:p>
    <w:p w14:paraId="5DB14D5C" w14:textId="58361068" w:rsidR="003C7399" w:rsidRPr="003C7399" w:rsidRDefault="003C7399" w:rsidP="00AE2D7C">
      <w:pPr>
        <w:spacing w:before="100" w:beforeAutospacing="1" w:after="100" w:afterAutospacing="1" w:line="276" w:lineRule="auto"/>
        <w:rPr>
          <w:rFonts w:ascii="Arial" w:eastAsia="Times New Roman" w:hAnsi="Arial" w:cs="Arial"/>
          <w:kern w:val="0"/>
          <w:sz w:val="22"/>
          <w:szCs w:val="22"/>
          <w:lang w:val="en-US" w:eastAsia="es-MX"/>
          <w14:ligatures w14:val="none"/>
        </w:rPr>
      </w:pPr>
      <w:proofErr w:type="spellStart"/>
      <w:r w:rsidRPr="003C7399">
        <w:rPr>
          <w:rFonts w:ascii="Arial" w:eastAsia="Times New Roman" w:hAnsi="Arial" w:cs="Arial"/>
          <w:kern w:val="0"/>
          <w:sz w:val="22"/>
          <w:szCs w:val="22"/>
          <w:lang w:val="en-US" w:eastAsia="es-MX"/>
          <w14:ligatures w14:val="none"/>
        </w:rPr>
        <w:t>Fereday</w:t>
      </w:r>
      <w:proofErr w:type="spellEnd"/>
      <w:r w:rsidRPr="003C7399">
        <w:rPr>
          <w:rFonts w:ascii="Arial" w:eastAsia="Times New Roman" w:hAnsi="Arial" w:cs="Arial"/>
          <w:kern w:val="0"/>
          <w:sz w:val="22"/>
          <w:szCs w:val="22"/>
          <w:lang w:val="en-US" w:eastAsia="es-MX"/>
          <w14:ligatures w14:val="none"/>
        </w:rPr>
        <w:t xml:space="preserve">, J., &amp; Muir-Cochrane, E. (2006). Demonstrating rigor using thematic analysis: A hybrid approach of inductive and deductive coding and theme development. </w:t>
      </w:r>
      <w:r w:rsidRPr="003C7399">
        <w:rPr>
          <w:rFonts w:ascii="Arial" w:eastAsia="Times New Roman" w:hAnsi="Arial" w:cs="Arial"/>
          <w:i/>
          <w:iCs/>
          <w:kern w:val="0"/>
          <w:sz w:val="22"/>
          <w:szCs w:val="22"/>
          <w:lang w:val="en-US" w:eastAsia="es-MX"/>
          <w14:ligatures w14:val="none"/>
        </w:rPr>
        <w:t>International Journal of Qualitative Methods, 5</w:t>
      </w:r>
      <w:r w:rsidRPr="003C7399">
        <w:rPr>
          <w:rFonts w:ascii="Arial" w:eastAsia="Times New Roman" w:hAnsi="Arial" w:cs="Arial"/>
          <w:kern w:val="0"/>
          <w:sz w:val="22"/>
          <w:szCs w:val="22"/>
          <w:lang w:val="en-US" w:eastAsia="es-MX"/>
          <w14:ligatures w14:val="none"/>
        </w:rPr>
        <w:t>(1), 80–92. https://doi.org/10.1177/160940690600500107</w:t>
      </w:r>
    </w:p>
    <w:p w14:paraId="75F19D3B" w14:textId="4AD9358D" w:rsidR="003C7399" w:rsidRPr="003C7399" w:rsidRDefault="003C7399" w:rsidP="00AE2D7C">
      <w:pPr>
        <w:spacing w:before="100" w:beforeAutospacing="1" w:after="100" w:afterAutospacing="1" w:line="276" w:lineRule="auto"/>
        <w:rPr>
          <w:rFonts w:ascii="Arial" w:eastAsia="Times New Roman" w:hAnsi="Arial" w:cs="Arial"/>
          <w:kern w:val="0"/>
          <w:sz w:val="22"/>
          <w:szCs w:val="22"/>
          <w:lang w:val="en-US" w:eastAsia="es-MX"/>
          <w14:ligatures w14:val="none"/>
        </w:rPr>
      </w:pPr>
      <w:r w:rsidRPr="003C7399">
        <w:rPr>
          <w:rFonts w:ascii="Arial" w:eastAsia="Times New Roman" w:hAnsi="Arial" w:cs="Arial"/>
          <w:kern w:val="0"/>
          <w:sz w:val="22"/>
          <w:szCs w:val="22"/>
          <w:lang w:val="en-US" w:eastAsia="es-MX"/>
          <w14:ligatures w14:val="none"/>
        </w:rPr>
        <w:t xml:space="preserve">Howlett, M., &amp; Ramesh, M. (2003). </w:t>
      </w:r>
      <w:r w:rsidRPr="003C7399">
        <w:rPr>
          <w:rFonts w:ascii="Arial" w:eastAsia="Times New Roman" w:hAnsi="Arial" w:cs="Arial"/>
          <w:i/>
          <w:iCs/>
          <w:kern w:val="0"/>
          <w:sz w:val="22"/>
          <w:szCs w:val="22"/>
          <w:lang w:val="en-US" w:eastAsia="es-MX"/>
          <w14:ligatures w14:val="none"/>
        </w:rPr>
        <w:t>Studying Public Policy: Policy Cycles and Policy Subsystems</w:t>
      </w:r>
      <w:r w:rsidRPr="003C7399">
        <w:rPr>
          <w:rFonts w:ascii="Arial" w:eastAsia="Times New Roman" w:hAnsi="Arial" w:cs="Arial"/>
          <w:kern w:val="0"/>
          <w:sz w:val="22"/>
          <w:szCs w:val="22"/>
          <w:lang w:val="en-US" w:eastAsia="es-MX"/>
          <w14:ligatures w14:val="none"/>
        </w:rPr>
        <w:t xml:space="preserve"> (2nd ed.). Oxford University Press.</w:t>
      </w:r>
    </w:p>
    <w:p w14:paraId="5129E654" w14:textId="09E847C1" w:rsidR="003C7399" w:rsidRPr="003C7399" w:rsidRDefault="003C7399" w:rsidP="00AE2D7C">
      <w:pPr>
        <w:spacing w:before="100" w:beforeAutospacing="1" w:after="100" w:afterAutospacing="1" w:line="276" w:lineRule="auto"/>
        <w:rPr>
          <w:rFonts w:ascii="Arial" w:eastAsia="Times New Roman" w:hAnsi="Arial" w:cs="Arial"/>
          <w:kern w:val="0"/>
          <w:sz w:val="22"/>
          <w:szCs w:val="22"/>
          <w:lang w:val="en-US" w:eastAsia="es-MX"/>
          <w14:ligatures w14:val="none"/>
        </w:rPr>
      </w:pPr>
      <w:r w:rsidRPr="003C7399">
        <w:rPr>
          <w:rFonts w:ascii="Arial" w:eastAsia="Times New Roman" w:hAnsi="Arial" w:cs="Arial"/>
          <w:kern w:val="0"/>
          <w:sz w:val="22"/>
          <w:szCs w:val="22"/>
          <w:lang w:val="en-US" w:eastAsia="es-MX"/>
          <w14:ligatures w14:val="none"/>
        </w:rPr>
        <w:t xml:space="preserve">International Energy Agency (IEA). (2021). </w:t>
      </w:r>
      <w:r w:rsidRPr="003C7399">
        <w:rPr>
          <w:rFonts w:ascii="Arial" w:eastAsia="Times New Roman" w:hAnsi="Arial" w:cs="Arial"/>
          <w:i/>
          <w:iCs/>
          <w:kern w:val="0"/>
          <w:sz w:val="22"/>
          <w:szCs w:val="22"/>
          <w:lang w:val="en-US" w:eastAsia="es-MX"/>
          <w14:ligatures w14:val="none"/>
        </w:rPr>
        <w:t>The Role of Critical Minerals in Clean Energy Transitions</w:t>
      </w:r>
      <w:r w:rsidRPr="003C7399">
        <w:rPr>
          <w:rFonts w:ascii="Arial" w:eastAsia="Times New Roman" w:hAnsi="Arial" w:cs="Arial"/>
          <w:kern w:val="0"/>
          <w:sz w:val="22"/>
          <w:szCs w:val="22"/>
          <w:lang w:val="en-US" w:eastAsia="es-MX"/>
          <w14:ligatures w14:val="none"/>
        </w:rPr>
        <w:t>. https://www.iea.org/reports/the-role-of-critical-minerals-in-clean-energy-transitions</w:t>
      </w:r>
    </w:p>
    <w:p w14:paraId="4F761522" w14:textId="2F156F50" w:rsidR="003C7399" w:rsidRPr="003C7399" w:rsidRDefault="003C7399" w:rsidP="00AE2D7C">
      <w:pPr>
        <w:spacing w:before="100" w:beforeAutospacing="1" w:after="100" w:afterAutospacing="1" w:line="276" w:lineRule="auto"/>
        <w:rPr>
          <w:rFonts w:ascii="Arial" w:eastAsia="Times New Roman" w:hAnsi="Arial" w:cs="Arial"/>
          <w:kern w:val="0"/>
          <w:sz w:val="22"/>
          <w:szCs w:val="22"/>
          <w:lang w:val="es-PE" w:eastAsia="es-MX"/>
          <w14:ligatures w14:val="none"/>
        </w:rPr>
      </w:pPr>
      <w:r w:rsidRPr="003C7399">
        <w:rPr>
          <w:rFonts w:ascii="Arial" w:eastAsia="Times New Roman" w:hAnsi="Arial" w:cs="Arial"/>
          <w:kern w:val="0"/>
          <w:sz w:val="22"/>
          <w:szCs w:val="22"/>
          <w:lang w:val="es-PE" w:eastAsia="es-MX"/>
          <w14:ligatures w14:val="none"/>
        </w:rPr>
        <w:t xml:space="preserve">MINEM. (2021). </w:t>
      </w:r>
      <w:r w:rsidRPr="003C7399">
        <w:rPr>
          <w:rFonts w:ascii="Arial" w:eastAsia="Times New Roman" w:hAnsi="Arial" w:cs="Arial"/>
          <w:i/>
          <w:iCs/>
          <w:kern w:val="0"/>
          <w:sz w:val="22"/>
          <w:szCs w:val="22"/>
          <w:lang w:val="es-PE" w:eastAsia="es-MX"/>
          <w14:ligatures w14:val="none"/>
        </w:rPr>
        <w:t>Política Nacional Multisectorial de Minería al 2030</w:t>
      </w:r>
      <w:r w:rsidRPr="003C7399">
        <w:rPr>
          <w:rFonts w:ascii="Arial" w:eastAsia="Times New Roman" w:hAnsi="Arial" w:cs="Arial"/>
          <w:kern w:val="0"/>
          <w:sz w:val="22"/>
          <w:szCs w:val="22"/>
          <w:lang w:val="es-PE" w:eastAsia="es-MX"/>
          <w14:ligatures w14:val="none"/>
        </w:rPr>
        <w:t>. Ministerio de Energía y Minas del Perú. https://www.gob.pe/minem</w:t>
      </w:r>
    </w:p>
    <w:p w14:paraId="0015936B" w14:textId="645C0C61" w:rsidR="003C7399" w:rsidRPr="003C7399" w:rsidRDefault="003C7399" w:rsidP="00AE2D7C">
      <w:pPr>
        <w:spacing w:before="100" w:beforeAutospacing="1" w:after="100" w:afterAutospacing="1" w:line="276" w:lineRule="auto"/>
        <w:rPr>
          <w:rFonts w:ascii="Arial" w:eastAsia="Times New Roman" w:hAnsi="Arial" w:cs="Arial"/>
          <w:kern w:val="0"/>
          <w:sz w:val="22"/>
          <w:szCs w:val="22"/>
          <w:lang w:val="en-US" w:eastAsia="es-MX"/>
          <w14:ligatures w14:val="none"/>
        </w:rPr>
      </w:pPr>
      <w:r w:rsidRPr="003C7399">
        <w:rPr>
          <w:rFonts w:ascii="Arial" w:eastAsia="Times New Roman" w:hAnsi="Arial" w:cs="Arial"/>
          <w:kern w:val="0"/>
          <w:sz w:val="22"/>
          <w:szCs w:val="22"/>
          <w:lang w:val="es-PE" w:eastAsia="es-MX"/>
          <w14:ligatures w14:val="none"/>
        </w:rPr>
        <w:t xml:space="preserve">Moura, R., Silva, A. L., &amp; Almeida, V. M. (2023). Políticas para minerais críticos no Brasil: desafios e oportunidades para a transição energética. </w:t>
      </w:r>
      <w:proofErr w:type="spellStart"/>
      <w:r w:rsidRPr="003C7399">
        <w:rPr>
          <w:rFonts w:ascii="Arial" w:eastAsia="Times New Roman" w:hAnsi="Arial" w:cs="Arial"/>
          <w:i/>
          <w:iCs/>
          <w:kern w:val="0"/>
          <w:sz w:val="22"/>
          <w:szCs w:val="22"/>
          <w:lang w:val="en-US" w:eastAsia="es-MX"/>
          <w14:ligatures w14:val="none"/>
        </w:rPr>
        <w:t>Revista</w:t>
      </w:r>
      <w:proofErr w:type="spellEnd"/>
      <w:r w:rsidRPr="003C7399">
        <w:rPr>
          <w:rFonts w:ascii="Arial" w:eastAsia="Times New Roman" w:hAnsi="Arial" w:cs="Arial"/>
          <w:i/>
          <w:iCs/>
          <w:kern w:val="0"/>
          <w:sz w:val="22"/>
          <w:szCs w:val="22"/>
          <w:lang w:val="en-US" w:eastAsia="es-MX"/>
          <w14:ligatures w14:val="none"/>
        </w:rPr>
        <w:t xml:space="preserve"> </w:t>
      </w:r>
      <w:proofErr w:type="spellStart"/>
      <w:r w:rsidRPr="003C7399">
        <w:rPr>
          <w:rFonts w:ascii="Arial" w:eastAsia="Times New Roman" w:hAnsi="Arial" w:cs="Arial"/>
          <w:i/>
          <w:iCs/>
          <w:kern w:val="0"/>
          <w:sz w:val="22"/>
          <w:szCs w:val="22"/>
          <w:lang w:val="en-US" w:eastAsia="es-MX"/>
          <w14:ligatures w14:val="none"/>
        </w:rPr>
        <w:t>Brasileira</w:t>
      </w:r>
      <w:proofErr w:type="spellEnd"/>
      <w:r w:rsidRPr="003C7399">
        <w:rPr>
          <w:rFonts w:ascii="Arial" w:eastAsia="Times New Roman" w:hAnsi="Arial" w:cs="Arial"/>
          <w:i/>
          <w:iCs/>
          <w:kern w:val="0"/>
          <w:sz w:val="22"/>
          <w:szCs w:val="22"/>
          <w:lang w:val="en-US" w:eastAsia="es-MX"/>
          <w14:ligatures w14:val="none"/>
        </w:rPr>
        <w:t xml:space="preserve"> de </w:t>
      </w:r>
      <w:proofErr w:type="spellStart"/>
      <w:r w:rsidRPr="003C7399">
        <w:rPr>
          <w:rFonts w:ascii="Arial" w:eastAsia="Times New Roman" w:hAnsi="Arial" w:cs="Arial"/>
          <w:i/>
          <w:iCs/>
          <w:kern w:val="0"/>
          <w:sz w:val="22"/>
          <w:szCs w:val="22"/>
          <w:lang w:val="en-US" w:eastAsia="es-MX"/>
          <w14:ligatures w14:val="none"/>
        </w:rPr>
        <w:t>Geopolítica</w:t>
      </w:r>
      <w:proofErr w:type="spellEnd"/>
      <w:r w:rsidRPr="003C7399">
        <w:rPr>
          <w:rFonts w:ascii="Arial" w:eastAsia="Times New Roman" w:hAnsi="Arial" w:cs="Arial"/>
          <w:i/>
          <w:iCs/>
          <w:kern w:val="0"/>
          <w:sz w:val="22"/>
          <w:szCs w:val="22"/>
          <w:lang w:val="en-US" w:eastAsia="es-MX"/>
          <w14:ligatures w14:val="none"/>
        </w:rPr>
        <w:t>, 9</w:t>
      </w:r>
      <w:r w:rsidRPr="003C7399">
        <w:rPr>
          <w:rFonts w:ascii="Arial" w:eastAsia="Times New Roman" w:hAnsi="Arial" w:cs="Arial"/>
          <w:kern w:val="0"/>
          <w:sz w:val="22"/>
          <w:szCs w:val="22"/>
          <w:lang w:val="en-US" w:eastAsia="es-MX"/>
          <w14:ligatures w14:val="none"/>
        </w:rPr>
        <w:t>(2), 56–79. https://doi.org/10.5281/zenodo.8030402</w:t>
      </w:r>
    </w:p>
    <w:p w14:paraId="56C53015" w14:textId="3B1B0553" w:rsidR="003C7399" w:rsidRPr="003C7399" w:rsidRDefault="003C7399" w:rsidP="00AE2D7C">
      <w:pPr>
        <w:spacing w:before="100" w:beforeAutospacing="1" w:after="100" w:afterAutospacing="1" w:line="276" w:lineRule="auto"/>
        <w:rPr>
          <w:rFonts w:ascii="Arial" w:eastAsia="Times New Roman" w:hAnsi="Arial" w:cs="Arial"/>
          <w:kern w:val="0"/>
          <w:sz w:val="22"/>
          <w:szCs w:val="22"/>
          <w:lang w:val="en-US" w:eastAsia="es-MX"/>
          <w14:ligatures w14:val="none"/>
        </w:rPr>
      </w:pPr>
      <w:r w:rsidRPr="003C7399">
        <w:rPr>
          <w:rFonts w:ascii="Arial" w:eastAsia="Times New Roman" w:hAnsi="Arial" w:cs="Arial"/>
          <w:kern w:val="0"/>
          <w:sz w:val="22"/>
          <w:szCs w:val="22"/>
          <w:lang w:val="en-US" w:eastAsia="es-MX"/>
          <w14:ligatures w14:val="none"/>
        </w:rPr>
        <w:t xml:space="preserve">OECD. (2021). </w:t>
      </w:r>
      <w:r w:rsidRPr="003C7399">
        <w:rPr>
          <w:rFonts w:ascii="Arial" w:eastAsia="Times New Roman" w:hAnsi="Arial" w:cs="Arial"/>
          <w:i/>
          <w:iCs/>
          <w:kern w:val="0"/>
          <w:sz w:val="22"/>
          <w:szCs w:val="22"/>
          <w:lang w:val="en-US" w:eastAsia="es-MX"/>
          <w14:ligatures w14:val="none"/>
        </w:rPr>
        <w:t>Mining Regions and Cities: Case Studies from the Andes</w:t>
      </w:r>
      <w:r w:rsidRPr="003C7399">
        <w:rPr>
          <w:rFonts w:ascii="Arial" w:eastAsia="Times New Roman" w:hAnsi="Arial" w:cs="Arial"/>
          <w:kern w:val="0"/>
          <w:sz w:val="22"/>
          <w:szCs w:val="22"/>
          <w:lang w:val="en-US" w:eastAsia="es-MX"/>
          <w14:ligatures w14:val="none"/>
        </w:rPr>
        <w:t xml:space="preserve">. </w:t>
      </w:r>
      <w:proofErr w:type="spellStart"/>
      <w:r w:rsidRPr="003C7399">
        <w:rPr>
          <w:rFonts w:ascii="Arial" w:eastAsia="Times New Roman" w:hAnsi="Arial" w:cs="Arial"/>
          <w:kern w:val="0"/>
          <w:sz w:val="22"/>
          <w:szCs w:val="22"/>
          <w:lang w:val="en-US" w:eastAsia="es-MX"/>
          <w14:ligatures w14:val="none"/>
        </w:rPr>
        <w:t>Organisation</w:t>
      </w:r>
      <w:proofErr w:type="spellEnd"/>
      <w:r w:rsidRPr="003C7399">
        <w:rPr>
          <w:rFonts w:ascii="Arial" w:eastAsia="Times New Roman" w:hAnsi="Arial" w:cs="Arial"/>
          <w:kern w:val="0"/>
          <w:sz w:val="22"/>
          <w:szCs w:val="22"/>
          <w:lang w:val="en-US" w:eastAsia="es-MX"/>
          <w14:ligatures w14:val="none"/>
        </w:rPr>
        <w:t xml:space="preserve"> for Economic Co-operation and Development. </w:t>
      </w:r>
      <w:hyperlink r:id="rId6" w:tgtFrame="_new" w:history="1">
        <w:r w:rsidRPr="003C7399">
          <w:rPr>
            <w:rFonts w:ascii="Arial" w:eastAsia="Times New Roman" w:hAnsi="Arial" w:cs="Arial"/>
            <w:color w:val="0000FF"/>
            <w:kern w:val="0"/>
            <w:sz w:val="22"/>
            <w:szCs w:val="22"/>
            <w:u w:val="single"/>
            <w:lang w:val="en-US" w:eastAsia="es-MX"/>
            <w14:ligatures w14:val="none"/>
          </w:rPr>
          <w:t>https://www.oecd.org</w:t>
        </w:r>
      </w:hyperlink>
    </w:p>
    <w:p w14:paraId="65D28905" w14:textId="16A8153A" w:rsidR="003C7399" w:rsidRPr="003C7399" w:rsidRDefault="003C7399" w:rsidP="00AE2D7C">
      <w:pPr>
        <w:spacing w:before="100" w:beforeAutospacing="1" w:after="100" w:afterAutospacing="1" w:line="276" w:lineRule="auto"/>
        <w:rPr>
          <w:rFonts w:ascii="Arial" w:eastAsia="Times New Roman" w:hAnsi="Arial" w:cs="Arial"/>
          <w:kern w:val="0"/>
          <w:sz w:val="22"/>
          <w:szCs w:val="22"/>
          <w:lang w:val="es-PE" w:eastAsia="es-MX"/>
          <w14:ligatures w14:val="none"/>
        </w:rPr>
      </w:pPr>
      <w:r w:rsidRPr="003C7399">
        <w:rPr>
          <w:rFonts w:ascii="Arial" w:eastAsia="Times New Roman" w:hAnsi="Arial" w:cs="Arial"/>
          <w:kern w:val="0"/>
          <w:sz w:val="22"/>
          <w:szCs w:val="22"/>
          <w:lang w:val="es-PE" w:eastAsia="es-MX"/>
          <w14:ligatures w14:val="none"/>
        </w:rPr>
        <w:t xml:space="preserve">PCM. (2019). </w:t>
      </w:r>
      <w:r w:rsidRPr="003C7399">
        <w:rPr>
          <w:rFonts w:ascii="Arial" w:eastAsia="Times New Roman" w:hAnsi="Arial" w:cs="Arial"/>
          <w:i/>
          <w:iCs/>
          <w:kern w:val="0"/>
          <w:sz w:val="22"/>
          <w:szCs w:val="22"/>
          <w:lang w:val="es-PE" w:eastAsia="es-MX"/>
          <w14:ligatures w14:val="none"/>
        </w:rPr>
        <w:t>Plan Nacional de Competitividad y Productividad 2019–2030</w:t>
      </w:r>
      <w:r w:rsidRPr="003C7399">
        <w:rPr>
          <w:rFonts w:ascii="Arial" w:eastAsia="Times New Roman" w:hAnsi="Arial" w:cs="Arial"/>
          <w:kern w:val="0"/>
          <w:sz w:val="22"/>
          <w:szCs w:val="22"/>
          <w:lang w:val="es-PE" w:eastAsia="es-MX"/>
          <w14:ligatures w14:val="none"/>
        </w:rPr>
        <w:t>. Presidencia del Consejo de Ministros del Perú. https://www.pcm.gob.pe</w:t>
      </w:r>
    </w:p>
    <w:p w14:paraId="78CD916D" w14:textId="77777777" w:rsidR="003C7399" w:rsidRPr="00530DCD" w:rsidRDefault="003C7399" w:rsidP="00AE2D7C">
      <w:pPr>
        <w:spacing w:before="100" w:beforeAutospacing="1" w:after="100" w:afterAutospacing="1" w:line="276" w:lineRule="auto"/>
        <w:rPr>
          <w:rFonts w:ascii="Arial" w:eastAsia="Times New Roman" w:hAnsi="Arial" w:cs="Arial"/>
          <w:kern w:val="0"/>
          <w:sz w:val="22"/>
          <w:szCs w:val="22"/>
          <w:lang w:val="en-US" w:eastAsia="es-MX"/>
          <w14:ligatures w14:val="none"/>
        </w:rPr>
      </w:pPr>
      <w:r w:rsidRPr="003C7399">
        <w:rPr>
          <w:rFonts w:ascii="Arial" w:eastAsia="Times New Roman" w:hAnsi="Arial" w:cs="Arial"/>
          <w:kern w:val="0"/>
          <w:sz w:val="22"/>
          <w:szCs w:val="22"/>
          <w:lang w:val="en-US" w:eastAsia="es-MX"/>
          <w14:ligatures w14:val="none"/>
        </w:rPr>
        <w:t xml:space="preserve">U.S. Geological Survey (USGS). (2023). </w:t>
      </w:r>
      <w:r w:rsidRPr="003C7399">
        <w:rPr>
          <w:rFonts w:ascii="Arial" w:eastAsia="Times New Roman" w:hAnsi="Arial" w:cs="Arial"/>
          <w:i/>
          <w:iCs/>
          <w:kern w:val="0"/>
          <w:sz w:val="22"/>
          <w:szCs w:val="22"/>
          <w:lang w:val="en-US" w:eastAsia="es-MX"/>
          <w14:ligatures w14:val="none"/>
        </w:rPr>
        <w:t>Critical Minerals Review 2023</w:t>
      </w:r>
      <w:r w:rsidRPr="003C7399">
        <w:rPr>
          <w:rFonts w:ascii="Arial" w:eastAsia="Times New Roman" w:hAnsi="Arial" w:cs="Arial"/>
          <w:kern w:val="0"/>
          <w:sz w:val="22"/>
          <w:szCs w:val="22"/>
          <w:lang w:val="en-US" w:eastAsia="es-MX"/>
          <w14:ligatures w14:val="none"/>
        </w:rPr>
        <w:t xml:space="preserve">. United States Department of the Interior. </w:t>
      </w:r>
      <w:hyperlink r:id="rId7" w:tgtFrame="_new" w:history="1">
        <w:r w:rsidRPr="003C7399">
          <w:rPr>
            <w:rFonts w:ascii="Arial" w:eastAsia="Times New Roman" w:hAnsi="Arial" w:cs="Arial"/>
            <w:color w:val="0000FF"/>
            <w:kern w:val="0"/>
            <w:sz w:val="22"/>
            <w:szCs w:val="22"/>
            <w:u w:val="single"/>
            <w:lang w:val="en-US" w:eastAsia="es-MX"/>
            <w14:ligatures w14:val="none"/>
          </w:rPr>
          <w:t>https://www.usgs.gov</w:t>
        </w:r>
      </w:hyperlink>
    </w:p>
    <w:p w14:paraId="303A7E9B" w14:textId="4E1D7EF3" w:rsidR="003C7399" w:rsidRPr="00530DCD" w:rsidRDefault="003C7399" w:rsidP="00530DCD">
      <w:pPr>
        <w:spacing w:before="100" w:beforeAutospacing="1" w:after="100" w:afterAutospacing="1" w:line="276" w:lineRule="auto"/>
        <w:rPr>
          <w:rFonts w:ascii="Arial" w:eastAsia="Times New Roman" w:hAnsi="Arial" w:cs="Arial"/>
          <w:kern w:val="0"/>
          <w:sz w:val="22"/>
          <w:szCs w:val="22"/>
          <w:lang w:val="en-US" w:eastAsia="es-MX"/>
          <w14:ligatures w14:val="none"/>
        </w:rPr>
      </w:pPr>
      <w:r w:rsidRPr="003C7399">
        <w:rPr>
          <w:rFonts w:ascii="Arial" w:eastAsia="Times New Roman" w:hAnsi="Arial" w:cs="Arial"/>
          <w:kern w:val="0"/>
          <w:sz w:val="22"/>
          <w:szCs w:val="22"/>
          <w:lang w:val="en-US" w:eastAsia="es-MX"/>
          <w14:ligatures w14:val="none"/>
        </w:rPr>
        <w:t xml:space="preserve">World Bank. (2020). </w:t>
      </w:r>
      <w:r w:rsidRPr="003C7399">
        <w:rPr>
          <w:rFonts w:ascii="Arial" w:eastAsia="Times New Roman" w:hAnsi="Arial" w:cs="Arial"/>
          <w:i/>
          <w:iCs/>
          <w:kern w:val="0"/>
          <w:sz w:val="22"/>
          <w:szCs w:val="22"/>
          <w:lang w:val="en-US" w:eastAsia="es-MX"/>
          <w14:ligatures w14:val="none"/>
        </w:rPr>
        <w:t>Minerals for Climate Action: The Mineral Intensity of the Clean Energy Transition</w:t>
      </w:r>
      <w:r w:rsidRPr="003C7399">
        <w:rPr>
          <w:rFonts w:ascii="Arial" w:eastAsia="Times New Roman" w:hAnsi="Arial" w:cs="Arial"/>
          <w:kern w:val="0"/>
          <w:sz w:val="22"/>
          <w:szCs w:val="22"/>
          <w:lang w:val="en-US" w:eastAsia="es-MX"/>
          <w14:ligatures w14:val="none"/>
        </w:rPr>
        <w:t xml:space="preserve">. World Bank Group. </w:t>
      </w:r>
      <w:hyperlink r:id="rId8" w:history="1">
        <w:r w:rsidR="00530DCD" w:rsidRPr="003C7399">
          <w:rPr>
            <w:rStyle w:val="Hipervnculo"/>
            <w:rFonts w:ascii="Arial" w:eastAsia="Times New Roman" w:hAnsi="Arial" w:cs="Arial"/>
            <w:kern w:val="0"/>
            <w:sz w:val="22"/>
            <w:szCs w:val="22"/>
            <w:lang w:val="en-US" w:eastAsia="es-MX"/>
            <w14:ligatures w14:val="none"/>
          </w:rPr>
          <w:t>https://documents.worldbank.org/en/publication/documents-reports/documentdetail/876831595585005347</w:t>
        </w:r>
      </w:hyperlink>
    </w:p>
    <w:sectPr w:rsidR="003C7399" w:rsidRPr="00530DCD" w:rsidSect="00530DCD">
      <w:pgSz w:w="12240" w:h="15840"/>
      <w:pgMar w:top="1417" w:right="1609" w:bottom="1417" w:left="155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841884"/>
    <w:multiLevelType w:val="hybridMultilevel"/>
    <w:tmpl w:val="4580CE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6217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AF7"/>
    <w:rsid w:val="00021A49"/>
    <w:rsid w:val="000F5F62"/>
    <w:rsid w:val="003C7399"/>
    <w:rsid w:val="005030D0"/>
    <w:rsid w:val="00530DCD"/>
    <w:rsid w:val="00537A1D"/>
    <w:rsid w:val="00621304"/>
    <w:rsid w:val="00714AF7"/>
    <w:rsid w:val="0076196B"/>
    <w:rsid w:val="00A3170D"/>
    <w:rsid w:val="00A72A12"/>
    <w:rsid w:val="00AE2D7C"/>
    <w:rsid w:val="00CF7780"/>
    <w:rsid w:val="00D45D4D"/>
    <w:rsid w:val="00E355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07DF4454"/>
  <w15:chartTrackingRefBased/>
  <w15:docId w15:val="{2D80FAB2-05D4-5D41-90F6-ECA992628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PT"/>
    </w:rPr>
  </w:style>
  <w:style w:type="paragraph" w:styleId="Ttulo2">
    <w:name w:val="heading 2"/>
    <w:basedOn w:val="Normal"/>
    <w:link w:val="Ttulo2Car"/>
    <w:uiPriority w:val="9"/>
    <w:qFormat/>
    <w:rsid w:val="00537A1D"/>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next w:val="Normal"/>
    <w:link w:val="Ttulo3Car"/>
    <w:autoRedefine/>
    <w:uiPriority w:val="9"/>
    <w:unhideWhenUsed/>
    <w:qFormat/>
    <w:rsid w:val="00537A1D"/>
    <w:pPr>
      <w:keepNext/>
      <w:keepLines/>
      <w:spacing w:before="40"/>
      <w:outlineLvl w:val="2"/>
    </w:pPr>
    <w:rPr>
      <w:rFonts w:ascii="Times New Roman" w:eastAsiaTheme="majorEastAsia" w:hAnsi="Times New Roman" w:cstheme="majorBidi"/>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37A1D"/>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537A1D"/>
    <w:rPr>
      <w:rFonts w:ascii="Times New Roman" w:eastAsiaTheme="majorEastAsia" w:hAnsi="Times New Roman" w:cstheme="majorBidi"/>
      <w:color w:val="000000" w:themeColor="text1"/>
    </w:rPr>
  </w:style>
  <w:style w:type="paragraph" w:styleId="Prrafodelista">
    <w:name w:val="List Paragraph"/>
    <w:basedOn w:val="Normal"/>
    <w:uiPriority w:val="34"/>
    <w:qFormat/>
    <w:rsid w:val="00714AF7"/>
    <w:pPr>
      <w:ind w:left="720"/>
      <w:contextualSpacing/>
    </w:pPr>
  </w:style>
  <w:style w:type="character" w:styleId="Hipervnculo">
    <w:name w:val="Hyperlink"/>
    <w:basedOn w:val="Fuentedeprrafopredeter"/>
    <w:uiPriority w:val="99"/>
    <w:unhideWhenUsed/>
    <w:rsid w:val="00CF7780"/>
    <w:rPr>
      <w:color w:val="0563C1" w:themeColor="hyperlink"/>
      <w:u w:val="single"/>
    </w:rPr>
  </w:style>
  <w:style w:type="character" w:styleId="Mencinsinresolver">
    <w:name w:val="Unresolved Mention"/>
    <w:basedOn w:val="Fuentedeprrafopredeter"/>
    <w:uiPriority w:val="99"/>
    <w:semiHidden/>
    <w:unhideWhenUsed/>
    <w:rsid w:val="00CF7780"/>
    <w:rPr>
      <w:color w:val="605E5C"/>
      <w:shd w:val="clear" w:color="auto" w:fill="E1DFDD"/>
    </w:rPr>
  </w:style>
  <w:style w:type="paragraph" w:styleId="NormalWeb">
    <w:name w:val="Normal (Web)"/>
    <w:basedOn w:val="Normal"/>
    <w:uiPriority w:val="99"/>
    <w:semiHidden/>
    <w:unhideWhenUsed/>
    <w:rsid w:val="003C7399"/>
    <w:pPr>
      <w:spacing w:before="100" w:beforeAutospacing="1" w:after="100" w:afterAutospacing="1"/>
    </w:pPr>
    <w:rPr>
      <w:rFonts w:ascii="Times New Roman" w:eastAsia="Times New Roman" w:hAnsi="Times New Roman" w:cs="Times New Roman"/>
      <w:kern w:val="0"/>
      <w:lang w:val="es-PE" w:eastAsia="es-MX"/>
      <w14:ligatures w14:val="none"/>
    </w:rPr>
  </w:style>
  <w:style w:type="character" w:styleId="nfasis">
    <w:name w:val="Emphasis"/>
    <w:basedOn w:val="Fuentedeprrafopredeter"/>
    <w:uiPriority w:val="20"/>
    <w:qFormat/>
    <w:rsid w:val="003C73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77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s.worldbank.org/en/publication/documents-reports/documentdetail/876831595585005347" TargetMode="External"/><Relationship Id="rId3" Type="http://schemas.openxmlformats.org/officeDocument/2006/relationships/settings" Target="settings.xml"/><Relationship Id="rId7" Type="http://schemas.openxmlformats.org/officeDocument/2006/relationships/hyperlink" Target="https://www.usg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ecd.org" TargetMode="External"/><Relationship Id="rId5" Type="http://schemas.openxmlformats.org/officeDocument/2006/relationships/hyperlink" Target="mailto:gabriela.galindo.538@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1608</Words>
  <Characters>8844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Galindo</dc:creator>
  <cp:keywords/>
  <dc:description/>
  <cp:lastModifiedBy>Gabriela Galindo</cp:lastModifiedBy>
  <cp:revision>3</cp:revision>
  <dcterms:created xsi:type="dcterms:W3CDTF">2025-05-13T04:43:00Z</dcterms:created>
  <dcterms:modified xsi:type="dcterms:W3CDTF">2025-05-13T04:43:00Z</dcterms:modified>
</cp:coreProperties>
</file>