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D0ED34" w14:textId="77CC239D" w:rsidR="00365C44" w:rsidRPr="00F86DD1" w:rsidRDefault="00365C44" w:rsidP="00F86DD1">
      <w:pPr>
        <w:pStyle w:val="Sinespaciado"/>
        <w:jc w:val="center"/>
        <w:rPr>
          <w:rFonts w:ascii="Arial" w:hAnsi="Arial" w:cs="Arial"/>
          <w:b/>
          <w:bCs/>
        </w:rPr>
      </w:pPr>
      <w:r w:rsidRPr="00F86DD1">
        <w:rPr>
          <w:rFonts w:ascii="Arial" w:hAnsi="Arial" w:cs="Arial"/>
          <w:b/>
          <w:bCs/>
        </w:rPr>
        <w:t>OPTIMIZACIÓN DE LA VENTILACIÓN AUXILIAR EN MINERÍA SUBTERRÁNEA: ANÁLISIS DE DUCTOS SEMI RÍGIDOS Y FLEXIBLES</w:t>
      </w:r>
    </w:p>
    <w:p w14:paraId="079D6AE1" w14:textId="0F005BDD" w:rsidR="00365C44" w:rsidRDefault="00365C44" w:rsidP="00F86DD1">
      <w:pPr>
        <w:pStyle w:val="Sinespaciado"/>
        <w:jc w:val="center"/>
        <w:rPr>
          <w:rFonts w:ascii="Arial" w:hAnsi="Arial" w:cs="Arial"/>
          <w:b/>
          <w:bCs/>
        </w:rPr>
      </w:pPr>
      <w:r w:rsidRPr="00F86DD1">
        <w:rPr>
          <w:rFonts w:ascii="Arial" w:hAnsi="Arial" w:cs="Arial"/>
          <w:b/>
          <w:bCs/>
        </w:rPr>
        <w:t>(</w:t>
      </w:r>
      <w:r w:rsidR="00F73AA5" w:rsidRPr="00F86DD1">
        <w:rPr>
          <w:rFonts w:ascii="Arial" w:hAnsi="Arial" w:cs="Arial"/>
          <w:b/>
          <w:bCs/>
        </w:rPr>
        <w:t>Operaciones Mineras y Gestión Activos</w:t>
      </w:r>
      <w:r w:rsidRPr="00F86DD1">
        <w:rPr>
          <w:rFonts w:ascii="Arial" w:hAnsi="Arial" w:cs="Arial"/>
          <w:b/>
          <w:bCs/>
        </w:rPr>
        <w:t xml:space="preserve"> - Servicios auxiliares)</w:t>
      </w:r>
    </w:p>
    <w:p w14:paraId="69D19EF8" w14:textId="77777777" w:rsidR="00F86DD1" w:rsidRPr="00F86DD1" w:rsidRDefault="00F86DD1" w:rsidP="00F86DD1">
      <w:pPr>
        <w:pStyle w:val="Sinespaciado"/>
        <w:jc w:val="center"/>
        <w:rPr>
          <w:rFonts w:ascii="Arial" w:hAnsi="Arial" w:cs="Arial"/>
          <w:b/>
          <w:bCs/>
        </w:rPr>
      </w:pPr>
    </w:p>
    <w:p w14:paraId="2EB772CF" w14:textId="0C88DA3D" w:rsidR="00365C44" w:rsidRPr="00F86DD1" w:rsidRDefault="00365C44" w:rsidP="00365C44">
      <w:pPr>
        <w:spacing w:line="276" w:lineRule="auto"/>
        <w:jc w:val="center"/>
        <w:rPr>
          <w:rFonts w:ascii="Arial" w:hAnsi="Arial" w:cs="Arial"/>
          <w:b/>
          <w:bCs/>
          <w:sz w:val="18"/>
          <w:szCs w:val="18"/>
        </w:rPr>
      </w:pPr>
      <w:r w:rsidRPr="00F86DD1">
        <w:rPr>
          <w:rFonts w:ascii="Arial" w:hAnsi="Arial" w:cs="Arial"/>
          <w:b/>
          <w:bCs/>
          <w:sz w:val="18"/>
          <w:szCs w:val="18"/>
        </w:rPr>
        <w:t>Frank Renso Mariluz Falcon</w:t>
      </w:r>
      <w:r w:rsidRPr="00F86DD1">
        <w:rPr>
          <w:rFonts w:ascii="Arial" w:hAnsi="Arial" w:cs="Arial"/>
          <w:b/>
          <w:bCs/>
          <w:sz w:val="18"/>
          <w:szCs w:val="18"/>
          <w:vertAlign w:val="superscript"/>
        </w:rPr>
        <w:t>1</w:t>
      </w:r>
      <w:r w:rsidRPr="00F86DD1">
        <w:rPr>
          <w:rFonts w:ascii="Arial" w:hAnsi="Arial" w:cs="Arial"/>
          <w:b/>
          <w:bCs/>
          <w:sz w:val="18"/>
          <w:szCs w:val="18"/>
        </w:rPr>
        <w:t>, Carlos Andrés Pozo Bulnes</w:t>
      </w:r>
      <w:r w:rsidRPr="00F86DD1">
        <w:rPr>
          <w:rFonts w:ascii="Arial" w:hAnsi="Arial" w:cs="Arial"/>
          <w:b/>
          <w:bCs/>
          <w:sz w:val="18"/>
          <w:szCs w:val="18"/>
          <w:vertAlign w:val="superscript"/>
        </w:rPr>
        <w:t>2</w:t>
      </w:r>
      <w:r w:rsidRPr="00F86DD1">
        <w:rPr>
          <w:rFonts w:ascii="Arial" w:hAnsi="Arial" w:cs="Arial"/>
          <w:b/>
          <w:bCs/>
          <w:sz w:val="18"/>
          <w:szCs w:val="18"/>
        </w:rPr>
        <w:t xml:space="preserve"> y Margot Brenda Villanueva Salazar</w:t>
      </w:r>
      <w:r w:rsidRPr="00F86DD1">
        <w:rPr>
          <w:rFonts w:ascii="Arial" w:hAnsi="Arial" w:cs="Arial"/>
          <w:b/>
          <w:bCs/>
          <w:sz w:val="18"/>
          <w:szCs w:val="18"/>
          <w:vertAlign w:val="superscript"/>
        </w:rPr>
        <w:t>3</w:t>
      </w:r>
    </w:p>
    <w:p w14:paraId="25085D0F" w14:textId="4F93C95C" w:rsidR="00A460F6" w:rsidRPr="002443F1" w:rsidRDefault="00365C44" w:rsidP="00F86DD1">
      <w:pPr>
        <w:pStyle w:val="Sinespaciado"/>
        <w:jc w:val="both"/>
        <w:rPr>
          <w:rFonts w:ascii="Arial" w:hAnsi="Arial" w:cs="Arial"/>
          <w:sz w:val="18"/>
          <w:szCs w:val="18"/>
        </w:rPr>
      </w:pPr>
      <w:r w:rsidRPr="002443F1">
        <w:rPr>
          <w:rFonts w:ascii="Arial" w:hAnsi="Arial" w:cs="Arial"/>
          <w:sz w:val="18"/>
          <w:szCs w:val="18"/>
          <w:vertAlign w:val="superscript"/>
        </w:rPr>
        <w:t>1</w:t>
      </w:r>
      <w:r w:rsidR="00A460F6" w:rsidRPr="002443F1">
        <w:rPr>
          <w:rFonts w:ascii="Arial" w:hAnsi="Arial" w:cs="Arial"/>
          <w:sz w:val="18"/>
          <w:szCs w:val="18"/>
        </w:rPr>
        <w:t>Gerente general, VPSConsulting, Lima, Perú (</w:t>
      </w:r>
      <w:hyperlink r:id="rId5" w:history="1">
        <w:r w:rsidR="00F86DD1" w:rsidRPr="002443F1">
          <w:rPr>
            <w:rStyle w:val="Hipervnculo"/>
            <w:rFonts w:ascii="Arial" w:hAnsi="Arial" w:cs="Arial"/>
            <w:sz w:val="18"/>
            <w:szCs w:val="18"/>
          </w:rPr>
          <w:t>frank.mariluz@vpsconsulting.com.pe</w:t>
        </w:r>
      </w:hyperlink>
      <w:r w:rsidRPr="002443F1">
        <w:rPr>
          <w:rFonts w:ascii="Arial" w:hAnsi="Arial" w:cs="Arial"/>
          <w:sz w:val="18"/>
          <w:szCs w:val="18"/>
        </w:rPr>
        <w:t>, 987278625)</w:t>
      </w:r>
    </w:p>
    <w:p w14:paraId="6EBCB072" w14:textId="4236AA4F" w:rsidR="00365C44" w:rsidRPr="002443F1" w:rsidRDefault="00F86DD1" w:rsidP="00F86DD1">
      <w:pPr>
        <w:pStyle w:val="Sinespaciado"/>
        <w:jc w:val="both"/>
        <w:rPr>
          <w:rFonts w:ascii="Arial" w:hAnsi="Arial" w:cs="Arial"/>
          <w:sz w:val="18"/>
          <w:szCs w:val="18"/>
        </w:rPr>
      </w:pPr>
      <w:r w:rsidRPr="002443F1">
        <w:rPr>
          <w:rFonts w:ascii="Arial" w:hAnsi="Arial" w:cs="Arial"/>
          <w:sz w:val="18"/>
          <w:szCs w:val="18"/>
          <w:vertAlign w:val="superscript"/>
        </w:rPr>
        <w:t>2</w:t>
      </w:r>
      <w:r w:rsidRPr="002443F1">
        <w:rPr>
          <w:rFonts w:ascii="Arial" w:hAnsi="Arial" w:cs="Arial"/>
          <w:sz w:val="18"/>
          <w:szCs w:val="18"/>
        </w:rPr>
        <w:t>Jefe de proyectos</w:t>
      </w:r>
      <w:r w:rsidR="00365C44" w:rsidRPr="002443F1">
        <w:rPr>
          <w:rFonts w:ascii="Arial" w:hAnsi="Arial" w:cs="Arial"/>
          <w:sz w:val="18"/>
          <w:szCs w:val="18"/>
        </w:rPr>
        <w:t>, VPSConsulting, Lima, Perú (</w:t>
      </w:r>
      <w:hyperlink r:id="rId6" w:history="1">
        <w:r w:rsidR="00365C44" w:rsidRPr="002443F1">
          <w:rPr>
            <w:rStyle w:val="Hipervnculo"/>
            <w:rFonts w:ascii="Arial" w:hAnsi="Arial" w:cs="Arial"/>
            <w:sz w:val="18"/>
            <w:szCs w:val="18"/>
          </w:rPr>
          <w:t>ingenieria@vpsconsulting.com.pe</w:t>
        </w:r>
      </w:hyperlink>
      <w:r w:rsidR="00365C44" w:rsidRPr="002443F1">
        <w:rPr>
          <w:rFonts w:ascii="Arial" w:hAnsi="Arial" w:cs="Arial"/>
          <w:sz w:val="18"/>
          <w:szCs w:val="18"/>
        </w:rPr>
        <w:t xml:space="preserve">  ,934612301)</w:t>
      </w:r>
    </w:p>
    <w:p w14:paraId="626BCE15" w14:textId="2DF0D8CF" w:rsidR="00A460F6" w:rsidRPr="002443F1" w:rsidRDefault="00F86DD1" w:rsidP="00F86DD1">
      <w:pPr>
        <w:pStyle w:val="Sinespaciado"/>
        <w:jc w:val="both"/>
        <w:rPr>
          <w:rFonts w:ascii="Arial" w:hAnsi="Arial" w:cs="Arial"/>
          <w:sz w:val="18"/>
          <w:szCs w:val="18"/>
        </w:rPr>
      </w:pPr>
      <w:r w:rsidRPr="002443F1">
        <w:rPr>
          <w:rFonts w:ascii="Arial" w:hAnsi="Arial" w:cs="Arial"/>
          <w:sz w:val="18"/>
          <w:szCs w:val="18"/>
          <w:vertAlign w:val="superscript"/>
        </w:rPr>
        <w:t>3</w:t>
      </w:r>
      <w:r w:rsidRPr="002443F1">
        <w:rPr>
          <w:rFonts w:ascii="Arial" w:hAnsi="Arial" w:cs="Arial"/>
          <w:sz w:val="18"/>
          <w:szCs w:val="18"/>
        </w:rPr>
        <w:t>Asistente de proyectos</w:t>
      </w:r>
      <w:r w:rsidR="00365C44" w:rsidRPr="002443F1">
        <w:rPr>
          <w:rFonts w:ascii="Arial" w:hAnsi="Arial" w:cs="Arial"/>
          <w:sz w:val="18"/>
          <w:szCs w:val="18"/>
        </w:rPr>
        <w:t>, VPSConsulting, Lima, Perú (</w:t>
      </w:r>
      <w:hyperlink r:id="rId7" w:history="1">
        <w:r w:rsidR="00365C44" w:rsidRPr="002443F1">
          <w:rPr>
            <w:rStyle w:val="Hipervnculo"/>
            <w:rFonts w:ascii="Arial" w:hAnsi="Arial" w:cs="Arial"/>
            <w:sz w:val="18"/>
            <w:szCs w:val="18"/>
          </w:rPr>
          <w:t>soporte.tecnico@vpsconsulting.com.pe</w:t>
        </w:r>
      </w:hyperlink>
      <w:r w:rsidR="00365C44" w:rsidRPr="002443F1">
        <w:rPr>
          <w:rFonts w:ascii="Arial" w:hAnsi="Arial" w:cs="Arial"/>
          <w:sz w:val="18"/>
          <w:szCs w:val="18"/>
        </w:rPr>
        <w:t xml:space="preserve"> ,993368017)</w:t>
      </w:r>
    </w:p>
    <w:p w14:paraId="339E83C7" w14:textId="77777777" w:rsidR="00F86DD1" w:rsidRPr="00F86DD1" w:rsidRDefault="00F86DD1" w:rsidP="00F86DD1">
      <w:pPr>
        <w:pStyle w:val="Sinespaciado"/>
        <w:jc w:val="both"/>
        <w:rPr>
          <w:rFonts w:ascii="Arial" w:hAnsi="Arial" w:cs="Arial"/>
          <w:sz w:val="20"/>
          <w:szCs w:val="20"/>
        </w:rPr>
      </w:pPr>
    </w:p>
    <w:p w14:paraId="190240A4" w14:textId="07BD3C21" w:rsidR="00F73AA5" w:rsidRPr="00F86DD1" w:rsidRDefault="00F73AA5" w:rsidP="00F73AA5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F86DD1">
        <w:rPr>
          <w:rFonts w:ascii="Arial" w:hAnsi="Arial" w:cs="Arial"/>
          <w:sz w:val="20"/>
          <w:szCs w:val="20"/>
        </w:rPr>
        <w:t>Palabras claves: Dimensionamiento de ductos, ductos de ventilación, pérdidas por fricción, pérdidas por choques, pérdidas por fugas, caída de presión</w:t>
      </w:r>
      <w:r w:rsidR="00A460F6" w:rsidRPr="00F86DD1">
        <w:rPr>
          <w:rFonts w:ascii="Arial" w:hAnsi="Arial" w:cs="Arial"/>
          <w:sz w:val="20"/>
          <w:szCs w:val="20"/>
        </w:rPr>
        <w:t>.</w:t>
      </w:r>
    </w:p>
    <w:p w14:paraId="34FD6DD9" w14:textId="629F6C15" w:rsidR="00A81219" w:rsidRPr="00F73AA5" w:rsidRDefault="00751A09" w:rsidP="00F73AA5">
      <w:pPr>
        <w:spacing w:line="360" w:lineRule="auto"/>
        <w:jc w:val="both"/>
        <w:rPr>
          <w:rFonts w:ascii="Arial" w:hAnsi="Arial" w:cs="Arial"/>
          <w:b/>
          <w:bCs/>
        </w:rPr>
      </w:pPr>
      <w:r w:rsidRPr="00F73AA5">
        <w:rPr>
          <w:rFonts w:ascii="Arial" w:hAnsi="Arial" w:cs="Arial"/>
          <w:b/>
          <w:bCs/>
        </w:rPr>
        <w:t>Introducción</w:t>
      </w:r>
    </w:p>
    <w:p w14:paraId="4F41EB8E" w14:textId="6DAE441F" w:rsidR="00751A09" w:rsidRPr="00F73AA5" w:rsidRDefault="0065554E" w:rsidP="00F73AA5">
      <w:pPr>
        <w:spacing w:line="360" w:lineRule="auto"/>
        <w:jc w:val="both"/>
        <w:rPr>
          <w:rFonts w:ascii="Arial" w:hAnsi="Arial" w:cs="Arial"/>
        </w:rPr>
      </w:pPr>
      <w:r w:rsidRPr="00F73AA5">
        <w:rPr>
          <w:rFonts w:ascii="Arial" w:hAnsi="Arial" w:cs="Arial"/>
        </w:rPr>
        <w:t>La ventilación en minería subterránea es un factor crucial para la seguridad y operatividad de una mina. El diseño adecuado de los circuitos auxiliares de ventilación permite minimizar pérdidas de caudal, reducir la caída de presión y optimizar el consumo de energía. Sin embargo, en muchas operaciones mineras, la elección del tipo de ducto no recibe la atención adecuada, afectando la eficiencia global del sistema.</w:t>
      </w:r>
      <w:r w:rsidRPr="00F73AA5">
        <w:rPr>
          <w:rFonts w:ascii="Arial" w:hAnsi="Arial" w:cs="Arial"/>
        </w:rPr>
        <w:br/>
      </w:r>
      <w:r w:rsidRPr="00F73AA5">
        <w:rPr>
          <w:rFonts w:ascii="Arial" w:hAnsi="Arial" w:cs="Arial"/>
        </w:rPr>
        <w:br/>
      </w:r>
      <w:r w:rsidR="00522DFC" w:rsidRPr="00F73AA5">
        <w:rPr>
          <w:rFonts w:ascii="Arial" w:hAnsi="Arial" w:cs="Arial"/>
        </w:rPr>
        <w:t>En este contexto, el presente estudio compara dos tipos de ductos de ventilación utilizados en minería subterránea: los ductos flexibles y los ductos semi rígidos. A través de análisis matemáticos y evaluaciones en diferentes escenarios, se busca determinar cuál de estos sistemas ofrece un mejor rendimiento en términos de caída de presión, pérdidas de caudal por fugas y costos operativos. La optimización de estos circuitos no solo mejora la eficiencia del sistema de ventilación, sino que también reduce el consumo energético de los ventiladores, contribuyendo a operaciones mineras más sostenibles y rentables.</w:t>
      </w:r>
    </w:p>
    <w:p w14:paraId="2AEC4C2B" w14:textId="2DDCAECB" w:rsidR="00751A09" w:rsidRPr="00F73AA5" w:rsidRDefault="00751A09" w:rsidP="00F73AA5">
      <w:pPr>
        <w:spacing w:line="360" w:lineRule="auto"/>
        <w:jc w:val="both"/>
        <w:rPr>
          <w:rFonts w:ascii="Arial" w:hAnsi="Arial" w:cs="Arial"/>
          <w:b/>
          <w:bCs/>
        </w:rPr>
      </w:pPr>
      <w:r w:rsidRPr="00F73AA5">
        <w:rPr>
          <w:rFonts w:ascii="Arial" w:hAnsi="Arial" w:cs="Arial"/>
          <w:b/>
          <w:bCs/>
        </w:rPr>
        <w:t>Objetivos</w:t>
      </w:r>
    </w:p>
    <w:p w14:paraId="1C89F540" w14:textId="77777777" w:rsidR="00751A09" w:rsidRPr="00F73AA5" w:rsidRDefault="00751A09" w:rsidP="00F73AA5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lang w:val="es-ES"/>
        </w:rPr>
      </w:pPr>
      <w:r w:rsidRPr="00F73AA5">
        <w:rPr>
          <w:rFonts w:ascii="Arial" w:hAnsi="Arial" w:cs="Arial"/>
          <w:lang w:val="es-ES"/>
        </w:rPr>
        <w:t>Demostrar que los ductos semi rígidos ofrecen una menor caída de presión y pérdidas por fugas que los ductos flexibles utilizados comúnmente en minería subterránea.</w:t>
      </w:r>
    </w:p>
    <w:p w14:paraId="73924A90" w14:textId="77777777" w:rsidR="00751A09" w:rsidRPr="00F73AA5" w:rsidRDefault="00751A09" w:rsidP="00F73AA5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lang w:val="es-ES"/>
        </w:rPr>
      </w:pPr>
      <w:r w:rsidRPr="00F73AA5">
        <w:rPr>
          <w:rFonts w:ascii="Arial" w:hAnsi="Arial" w:cs="Arial"/>
          <w:lang w:val="es-ES"/>
        </w:rPr>
        <w:t>Realizar un análisis de la longitud máxima de cobertura en diferentes escenarios para demostrar las ventajas operativas que ofrecen los ductos semi rígidos respecto a los ductos flexibles.</w:t>
      </w:r>
    </w:p>
    <w:p w14:paraId="4E43623F" w14:textId="77777777" w:rsidR="00751A09" w:rsidRPr="00F73AA5" w:rsidRDefault="00751A09" w:rsidP="00F73AA5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lang w:val="es-ES"/>
        </w:rPr>
      </w:pPr>
      <w:r w:rsidRPr="00F73AA5">
        <w:rPr>
          <w:rFonts w:ascii="Arial" w:hAnsi="Arial" w:cs="Arial"/>
          <w:lang w:val="es-ES"/>
        </w:rPr>
        <w:t>Realizar un análisis de la caída de presión y la pérdida de caudal por fugas en diferentes escenarios para evidenciar las ventajas operativas que ofrecen los ductos semi rígidos respecto a los ductos flexibles.</w:t>
      </w:r>
    </w:p>
    <w:p w14:paraId="41AB53A8" w14:textId="6AC2CC2D" w:rsidR="00751A09" w:rsidRPr="00F73AA5" w:rsidRDefault="007E692E" w:rsidP="00F73AA5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Analizar las ventajas económicas que ofrece el uso de los ductos semi rígidos por sobre los ductos flexibles en materia de costo operativo.</w:t>
      </w:r>
    </w:p>
    <w:p w14:paraId="2464373B" w14:textId="52F89767" w:rsidR="00751A09" w:rsidRPr="00F73AA5" w:rsidRDefault="00751A09" w:rsidP="00F73AA5">
      <w:pPr>
        <w:spacing w:line="360" w:lineRule="auto"/>
        <w:jc w:val="both"/>
        <w:rPr>
          <w:rFonts w:ascii="Arial" w:hAnsi="Arial" w:cs="Arial"/>
          <w:b/>
          <w:bCs/>
        </w:rPr>
      </w:pPr>
      <w:r w:rsidRPr="00F73AA5">
        <w:rPr>
          <w:rFonts w:ascii="Arial" w:hAnsi="Arial" w:cs="Arial"/>
          <w:b/>
          <w:bCs/>
        </w:rPr>
        <w:lastRenderedPageBreak/>
        <w:t>Metodología</w:t>
      </w:r>
    </w:p>
    <w:p w14:paraId="6D19B037" w14:textId="3D936E92" w:rsidR="0065554E" w:rsidRPr="00F73AA5" w:rsidRDefault="0065554E" w:rsidP="00F73AA5">
      <w:pPr>
        <w:spacing w:line="360" w:lineRule="auto"/>
        <w:jc w:val="both"/>
        <w:rPr>
          <w:rFonts w:ascii="Arial" w:hAnsi="Arial" w:cs="Arial"/>
        </w:rPr>
      </w:pPr>
      <w:r w:rsidRPr="00F73AA5">
        <w:rPr>
          <w:rFonts w:ascii="Arial" w:hAnsi="Arial" w:cs="Arial"/>
        </w:rPr>
        <w:t>El estudio se realizó en cuatro fases principales:</w:t>
      </w:r>
    </w:p>
    <w:p w14:paraId="26FB8570" w14:textId="5F7F9E5E" w:rsidR="00751A09" w:rsidRPr="00F73AA5" w:rsidRDefault="00751A09" w:rsidP="00F73AA5">
      <w:pPr>
        <w:spacing w:line="360" w:lineRule="auto"/>
        <w:jc w:val="both"/>
        <w:rPr>
          <w:rFonts w:ascii="Arial" w:hAnsi="Arial" w:cs="Arial"/>
          <w:b/>
          <w:bCs/>
        </w:rPr>
      </w:pPr>
      <w:r w:rsidRPr="00F73AA5">
        <w:rPr>
          <w:rFonts w:ascii="Arial" w:hAnsi="Arial" w:cs="Arial"/>
          <w:b/>
          <w:bCs/>
        </w:rPr>
        <w:t>Modelo matemático</w:t>
      </w:r>
    </w:p>
    <w:p w14:paraId="69BAFDBC" w14:textId="0892AD72" w:rsidR="0065554E" w:rsidRPr="00F73AA5" w:rsidRDefault="0065554E" w:rsidP="00F73AA5">
      <w:pPr>
        <w:spacing w:line="360" w:lineRule="auto"/>
        <w:jc w:val="both"/>
        <w:rPr>
          <w:rFonts w:ascii="Arial" w:hAnsi="Arial" w:cs="Arial"/>
        </w:rPr>
      </w:pPr>
      <w:r w:rsidRPr="00F73AA5">
        <w:rPr>
          <w:rFonts w:ascii="Arial" w:hAnsi="Arial" w:cs="Arial"/>
        </w:rPr>
        <w:t xml:space="preserve">Se utilizaron ecuaciones de caída de presión por fricción (Fórmula de Atkinson), pérdidas por choques y pérdidas de caudal por fugas para modelar el comportamiento del flujo de aire en los ductos. El método </w:t>
      </w:r>
      <w:r w:rsidR="007E692E">
        <w:rPr>
          <w:rFonts w:ascii="Arial" w:hAnsi="Arial" w:cs="Arial"/>
        </w:rPr>
        <w:t>propuesto por</w:t>
      </w:r>
      <w:r w:rsidRPr="00F73AA5">
        <w:rPr>
          <w:rFonts w:ascii="Arial" w:hAnsi="Arial" w:cs="Arial"/>
        </w:rPr>
        <w:t xml:space="preserve"> Toraño et al. (2002) fue empleado para estimar la resistencia del sistema y las pérdidas de caudal, considerando distintos coeficientes de fugas y factores de fricción.</w:t>
      </w:r>
    </w:p>
    <w:tbl>
      <w:tblPr>
        <w:tblStyle w:val="Tablaconcuadrcula1"/>
        <w:tblW w:w="8784" w:type="dxa"/>
        <w:jc w:val="center"/>
        <w:tblLook w:val="04A0" w:firstRow="1" w:lastRow="0" w:firstColumn="1" w:lastColumn="0" w:noHBand="0" w:noVBand="1"/>
      </w:tblPr>
      <w:tblGrid>
        <w:gridCol w:w="2830"/>
        <w:gridCol w:w="2977"/>
        <w:gridCol w:w="2977"/>
      </w:tblGrid>
      <w:tr w:rsidR="00C0510E" w:rsidRPr="00F73AA5" w14:paraId="385B3833" w14:textId="77777777" w:rsidTr="001236CD">
        <w:trPr>
          <w:trHeight w:val="909"/>
          <w:jc w:val="center"/>
        </w:trPr>
        <w:tc>
          <w:tcPr>
            <w:tcW w:w="2830" w:type="dxa"/>
            <w:vAlign w:val="center"/>
          </w:tcPr>
          <w:p w14:paraId="52E651B7" w14:textId="77777777" w:rsidR="00C0510E" w:rsidRPr="008700DE" w:rsidRDefault="00C0510E" w:rsidP="008700DE">
            <w:pPr>
              <w:pStyle w:val="Sinespaciado"/>
              <w:rPr>
                <w:sz w:val="20"/>
                <w:szCs w:val="20"/>
                <w:lang w:val="es-ES"/>
              </w:rPr>
            </w:pPr>
          </w:p>
          <w:p w14:paraId="68D9B557" w14:textId="77777777" w:rsidR="00C0510E" w:rsidRPr="008700DE" w:rsidRDefault="00000000" w:rsidP="008700DE">
            <w:pPr>
              <w:pStyle w:val="Sinespaciado"/>
              <w:rPr>
                <w:sz w:val="20"/>
                <w:szCs w:val="20"/>
                <w:lang w:val="es-E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0"/>
                        <w:szCs w:val="20"/>
                        <w:lang w:val="es-E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  <w:lang w:val="es-ES"/>
                      </w:rPr>
                      <m:t>ΔP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  <w:lang w:val="es-ES"/>
                      </w:rPr>
                      <m:t>friction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  <w:lang w:val="es-ES"/>
                  </w:rPr>
                  <m:t xml:space="preserve">= </m:t>
                </m:r>
                <m:d>
                  <m:dPr>
                    <m:ctrlPr>
                      <w:rPr>
                        <w:rFonts w:ascii="Cambria Math" w:hAnsi="Cambria Math"/>
                        <w:sz w:val="20"/>
                        <w:szCs w:val="20"/>
                        <w:lang w:val="es-ES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  <w:lang w:val="es-ES"/>
                      </w:rPr>
                      <m:t>k</m:t>
                    </m:r>
                    <m:f>
                      <m:f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  <w:lang w:val="es-ES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  <w:lang w:val="es-ES"/>
                          </w:rPr>
                          <m:t>ρ</m:t>
                        </m:r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s-ES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s-ES"/>
                              </w:rPr>
                              <m:t>ρ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s-ES"/>
                              </w:rPr>
                              <m:t>std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  <w:lang w:val="es-ES"/>
                      </w:rPr>
                      <m:t>.</m:t>
                    </m:r>
                    <m:f>
                      <m:f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  <w:lang w:val="es-ES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  <w:lang w:val="es-ES"/>
                          </w:rPr>
                          <m:t>per.L</m:t>
                        </m:r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s-ES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s-ES"/>
                              </w:rPr>
                              <m:t>A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s-ES"/>
                              </w:rPr>
                              <m:t>3</m:t>
                            </m:r>
                          </m:sup>
                        </m:sSup>
                      </m:den>
                    </m:f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  <w:lang w:val="es-ES"/>
                  </w:rPr>
                  <m:t>.</m:t>
                </m:r>
                <m:sSup>
                  <m:sSupPr>
                    <m:ctrlPr>
                      <w:rPr>
                        <w:rFonts w:ascii="Cambria Math" w:hAnsi="Cambria Math"/>
                        <w:sz w:val="20"/>
                        <w:szCs w:val="20"/>
                        <w:lang w:val="es-ES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  <w:lang w:val="es-ES"/>
                      </w:rPr>
                      <m:t>Q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  <w:lang w:val="es-ES"/>
                      </w:rPr>
                      <m:t>2</m:t>
                    </m:r>
                  </m:sup>
                </m:sSup>
              </m:oMath>
            </m:oMathPara>
          </w:p>
          <w:p w14:paraId="030EBEF9" w14:textId="77777777" w:rsidR="00C0510E" w:rsidRPr="008700DE" w:rsidRDefault="00C0510E" w:rsidP="008700DE">
            <w:pPr>
              <w:pStyle w:val="Sinespaciado"/>
              <w:rPr>
                <w:sz w:val="20"/>
                <w:szCs w:val="20"/>
                <w:lang w:val="es-ES"/>
              </w:rPr>
            </w:pPr>
          </w:p>
        </w:tc>
        <w:tc>
          <w:tcPr>
            <w:tcW w:w="2977" w:type="dxa"/>
            <w:vAlign w:val="center"/>
          </w:tcPr>
          <w:p w14:paraId="742841AD" w14:textId="727B24A0" w:rsidR="00C0510E" w:rsidRPr="008700DE" w:rsidRDefault="00000000" w:rsidP="008700DE">
            <w:pPr>
              <w:pStyle w:val="Sinespaciado"/>
              <w:rPr>
                <w:rFonts w:eastAsiaTheme="minorEastAsia"/>
                <w:sz w:val="20"/>
                <w:szCs w:val="20"/>
                <w:lang w:val="es-E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0"/>
                        <w:szCs w:val="20"/>
                        <w:lang w:val="es-E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  <w:lang w:val="es-ES"/>
                      </w:rPr>
                      <m:t>ΔP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  <w:lang w:val="es-ES"/>
                      </w:rPr>
                      <m:t>shock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  <w:lang w:val="es-ES"/>
                  </w:rPr>
                  <m:t>= X .ρ</m:t>
                </m:r>
                <m:f>
                  <m:fPr>
                    <m:ctrlPr>
                      <w:rPr>
                        <w:rFonts w:ascii="Cambria Math" w:hAnsi="Cambria Math"/>
                        <w:sz w:val="20"/>
                        <w:szCs w:val="20"/>
                        <w:lang w:val="es-ES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  <w:lang w:val="es-ES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  <w:lang w:val="es-ES"/>
                          </w:rPr>
                          <m:t>v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  <w:lang w:val="es-ES"/>
                          </w:rPr>
                          <m:t>2</m:t>
                        </m:r>
                      </m:sup>
                    </m:sSup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  <w:lang w:val="es-ES"/>
                      </w:rPr>
                      <m:t>2</m:t>
                    </m:r>
                  </m:den>
                </m:f>
              </m:oMath>
            </m:oMathPara>
          </w:p>
          <w:p w14:paraId="288EB6C4" w14:textId="3FBA8B34" w:rsidR="00C0510E" w:rsidRPr="008700DE" w:rsidRDefault="00000000" w:rsidP="008700DE">
            <w:pPr>
              <w:pStyle w:val="Sinespaciado"/>
              <w:rPr>
                <w:rFonts w:eastAsiaTheme="minorEastAsia"/>
                <w:sz w:val="20"/>
                <w:szCs w:val="20"/>
                <w:lang w:val="es-E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0"/>
                        <w:szCs w:val="20"/>
                        <w:lang w:val="es-E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  <w:lang w:val="es-ES"/>
                      </w:rPr>
                      <m:t>L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  <w:lang w:val="es-ES"/>
                      </w:rPr>
                      <m:t>eq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  <w:lang w:val="es-ES"/>
                  </w:rPr>
                  <m:t>= 0.15</m:t>
                </m:r>
                <m:f>
                  <m:fPr>
                    <m:ctrlPr>
                      <w:rPr>
                        <w:rFonts w:ascii="Cambria Math" w:hAnsi="Cambria Math"/>
                        <w:sz w:val="20"/>
                        <w:szCs w:val="20"/>
                        <w:lang w:val="es-ES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  <w:lang w:val="es-ES"/>
                      </w:rPr>
                      <m:t>X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  <w:lang w:val="es-ES"/>
                      </w:rPr>
                      <m:t>k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  <w:lang w:val="es-ES"/>
                  </w:rPr>
                  <m:t>.</m:t>
                </m:r>
                <m:sSub>
                  <m:sSubPr>
                    <m:ctrlPr>
                      <w:rPr>
                        <w:rFonts w:ascii="Cambria Math" w:hAnsi="Cambria Math"/>
                        <w:sz w:val="20"/>
                        <w:szCs w:val="20"/>
                        <w:lang w:val="es-E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  <w:lang w:val="es-ES"/>
                      </w:rPr>
                      <m:t>D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  <w:lang w:val="es-ES"/>
                      </w:rPr>
                      <m:t>h</m:t>
                    </m:r>
                  </m:sub>
                </m:sSub>
              </m:oMath>
            </m:oMathPara>
          </w:p>
          <w:p w14:paraId="3A940632" w14:textId="34E7E7F6" w:rsidR="00C0510E" w:rsidRPr="008700DE" w:rsidRDefault="00000000" w:rsidP="008700DE">
            <w:pPr>
              <w:pStyle w:val="Sinespaciado"/>
              <w:rPr>
                <w:rFonts w:eastAsiaTheme="minorEastAsia"/>
                <w:sz w:val="20"/>
                <w:szCs w:val="20"/>
                <w:lang w:val="es-E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0"/>
                        <w:szCs w:val="20"/>
                        <w:lang w:val="es-E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  <w:lang w:val="es-ES"/>
                      </w:rPr>
                      <m:t>ΔP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  <w:lang w:val="es-ES"/>
                      </w:rPr>
                      <m:t>shock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  <w:lang w:val="es-ES"/>
                  </w:rPr>
                  <m:t xml:space="preserve">= </m:t>
                </m:r>
                <m:d>
                  <m:dPr>
                    <m:ctrlPr>
                      <w:rPr>
                        <w:rFonts w:ascii="Cambria Math" w:hAnsi="Cambria Math"/>
                        <w:sz w:val="20"/>
                        <w:szCs w:val="20"/>
                        <w:lang w:val="es-ES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  <w:lang w:val="es-ES"/>
                      </w:rPr>
                      <m:t>k</m:t>
                    </m:r>
                    <m:f>
                      <m:f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  <w:lang w:val="es-ES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  <w:lang w:val="es-ES"/>
                          </w:rPr>
                          <m:t>ρ</m:t>
                        </m:r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s-ES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s-ES"/>
                              </w:rPr>
                              <m:t>ρ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s-ES"/>
                              </w:rPr>
                              <m:t>std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  <w:lang w:val="es-ES"/>
                      </w:rPr>
                      <m:t>.</m:t>
                    </m:r>
                    <m:f>
                      <m:f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  <w:lang w:val="es-ES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  <w:lang w:val="es-ES"/>
                          </w:rPr>
                          <m:t>per.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s-ES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s-ES"/>
                              </w:rPr>
                              <m:t>L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s-ES"/>
                              </w:rPr>
                              <m:t>eq</m:t>
                            </m:r>
                          </m:sub>
                        </m:sSub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s-ES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s-ES"/>
                              </w:rPr>
                              <m:t>A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s-ES"/>
                              </w:rPr>
                              <m:t>3</m:t>
                            </m:r>
                          </m:sup>
                        </m:sSup>
                      </m:den>
                    </m:f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  <w:lang w:val="es-ES"/>
                  </w:rPr>
                  <m:t>.</m:t>
                </m:r>
                <m:sSup>
                  <m:sSupPr>
                    <m:ctrlPr>
                      <w:rPr>
                        <w:rFonts w:ascii="Cambria Math" w:hAnsi="Cambria Math"/>
                        <w:sz w:val="20"/>
                        <w:szCs w:val="20"/>
                        <w:lang w:val="es-ES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  <w:lang w:val="es-ES"/>
                      </w:rPr>
                      <m:t>Q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  <w:lang w:val="es-ES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2977" w:type="dxa"/>
            <w:vAlign w:val="center"/>
          </w:tcPr>
          <w:p w14:paraId="5BBE8E05" w14:textId="77777777" w:rsidR="00C0510E" w:rsidRPr="00F73AA5" w:rsidRDefault="00000000" w:rsidP="00F73AA5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rial"/>
                        <w:iCs/>
                        <w:sz w:val="20"/>
                        <w:szCs w:val="20"/>
                        <w:lang w:val="es-E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Arial"/>
                        <w:sz w:val="20"/>
                        <w:szCs w:val="20"/>
                        <w:lang w:val="es-ES"/>
                      </w:rPr>
                      <m:t>Q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Arial"/>
                        <w:sz w:val="20"/>
                        <w:szCs w:val="20"/>
                        <w:lang w:val="es-ES"/>
                      </w:rPr>
                      <m:t>n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Arial"/>
                    <w:sz w:val="20"/>
                    <w:szCs w:val="20"/>
                    <w:lang w:val="es-ES"/>
                  </w:rPr>
                  <m:t xml:space="preserve">= </m:t>
                </m:r>
                <m:sSub>
                  <m:sSubPr>
                    <m:ctrlPr>
                      <w:rPr>
                        <w:rFonts w:ascii="Cambria Math" w:hAnsi="Cambria Math" w:cs="Arial"/>
                        <w:iCs/>
                        <w:sz w:val="20"/>
                        <w:szCs w:val="20"/>
                        <w:lang w:val="es-E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Arial"/>
                        <w:sz w:val="20"/>
                        <w:szCs w:val="20"/>
                        <w:lang w:val="es-ES"/>
                      </w:rPr>
                      <m:t>Q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Arial"/>
                        <w:sz w:val="20"/>
                        <w:szCs w:val="20"/>
                        <w:lang w:val="es-ES"/>
                      </w:rPr>
                      <m:t>v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Arial"/>
                    <w:sz w:val="20"/>
                    <w:szCs w:val="20"/>
                    <w:lang w:val="es-ES"/>
                  </w:rPr>
                  <m:t xml:space="preserve"> .</m:t>
                </m:r>
                <m:sSup>
                  <m:sSupPr>
                    <m:ctrlPr>
                      <w:rPr>
                        <w:rFonts w:ascii="Cambria Math" w:hAnsi="Cambria Math" w:cs="Arial"/>
                        <w:iCs/>
                        <w:sz w:val="20"/>
                        <w:szCs w:val="20"/>
                        <w:lang w:val="es-ES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Arial"/>
                        <w:sz w:val="20"/>
                        <w:szCs w:val="20"/>
                        <w:lang w:val="es-ES"/>
                      </w:rPr>
                      <m:t>(1-k)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Arial"/>
                        <w:sz w:val="20"/>
                        <w:szCs w:val="20"/>
                        <w:lang w:val="es-ES"/>
                      </w:rPr>
                      <m:t>n</m:t>
                    </m:r>
                  </m:sup>
                </m:sSup>
              </m:oMath>
            </m:oMathPara>
          </w:p>
        </w:tc>
      </w:tr>
      <w:tr w:rsidR="00C0510E" w:rsidRPr="00F73AA5" w14:paraId="339E834B" w14:textId="77777777" w:rsidTr="007E692E">
        <w:trPr>
          <w:trHeight w:val="657"/>
          <w:jc w:val="center"/>
        </w:trPr>
        <w:tc>
          <w:tcPr>
            <w:tcW w:w="8784" w:type="dxa"/>
            <w:gridSpan w:val="3"/>
          </w:tcPr>
          <w:p w14:paraId="4F16AAAD" w14:textId="7A491758" w:rsidR="008700DE" w:rsidRPr="008700DE" w:rsidRDefault="00C0510E" w:rsidP="008700DE">
            <w:pPr>
              <w:pStyle w:val="Sinespaciado"/>
              <w:rPr>
                <w:rFonts w:ascii="Arial" w:eastAsiaTheme="minorEastAsia" w:hAnsi="Arial" w:cs="Arial"/>
                <w:sz w:val="20"/>
                <w:szCs w:val="20"/>
                <w:lang w:val="es-MX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  <w:lang w:val="es-MX"/>
                  </w:rPr>
                  <m:t>∆P=</m:t>
                </m:r>
                <m:sSub>
                  <m:sSubPr>
                    <m:ctrlPr>
                      <w:rPr>
                        <w:rFonts w:ascii="Cambria Math" w:hAnsi="Cambria Math"/>
                        <w:sz w:val="20"/>
                        <w:szCs w:val="20"/>
                        <w:lang w:val="es-MX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  <w:lang w:val="es-MX"/>
                      </w:rPr>
                      <m:t>R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  <w:lang w:val="es-MX"/>
                      </w:rPr>
                      <m:t>i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sz w:val="20"/>
                        <w:szCs w:val="20"/>
                        <w:lang w:val="es-MX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  <w:lang w:val="es-MX"/>
                      </w:rPr>
                      <m:t>L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  <w:lang w:val="es-MX"/>
                      </w:rPr>
                      <m:t>i</m:t>
                    </m:r>
                  </m:sub>
                </m:sSub>
                <m:f>
                  <m:fPr>
                    <m:ctrlPr>
                      <w:rPr>
                        <w:rFonts w:ascii="Cambria Math" w:hAnsi="Cambria Math"/>
                        <w:sz w:val="20"/>
                        <w:szCs w:val="20"/>
                        <w:lang w:val="es-MX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  <w:lang w:val="es-MX"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s-MX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s-MX"/>
                              </w:rPr>
                              <m:t>Q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s-MX"/>
                              </w:rPr>
                              <m:t>f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  <w:lang w:val="es-MX"/>
                          </w:rPr>
                          <m:t>2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  <w:lang w:val="es-MX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  <w:lang w:val="es-MX"/>
                          </w:rPr>
                          <m:t>(1-k)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  <w:lang w:val="es-MX"/>
                          </w:rPr>
                          <m:t>2n</m:t>
                        </m:r>
                      </m:sup>
                    </m:sSup>
                  </m:den>
                </m:f>
                <m:f>
                  <m:fPr>
                    <m:ctrlPr>
                      <w:rPr>
                        <w:rFonts w:ascii="Cambria Math" w:hAnsi="Cambria Math"/>
                        <w:sz w:val="20"/>
                        <w:szCs w:val="20"/>
                        <w:lang w:val="es-MX"/>
                      </w:rPr>
                    </m:ctrlPr>
                  </m:fPr>
                  <m:num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  <w:sz w:val="20"/>
                            <w:szCs w:val="20"/>
                            <w:lang w:val="es-MX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s-MX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s-MX"/>
                              </w:rPr>
                              <m:t>(1-k)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s-MX"/>
                              </w:rPr>
                              <m:t>2n+2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  <w:lang w:val="es-MX"/>
                          </w:rPr>
                          <m:t>-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s-MX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s-MX"/>
                              </w:rPr>
                              <m:t>(1-k)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s-MX"/>
                              </w:rPr>
                              <m:t>2</m:t>
                            </m:r>
                          </m:sup>
                        </m:sSup>
                      </m:e>
                    </m:d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  <w:lang w:val="es-MX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  <w:lang w:val="es-MX"/>
                          </w:rPr>
                          <m:t>(1-k)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  <w:lang w:val="es-MX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  <w:lang w:val="es-MX"/>
                      </w:rPr>
                      <m:t>-1</m:t>
                    </m:r>
                  </m:den>
                </m:f>
              </m:oMath>
            </m:oMathPara>
          </w:p>
        </w:tc>
      </w:tr>
    </w:tbl>
    <w:p w14:paraId="44014363" w14:textId="77777777" w:rsidR="007E692E" w:rsidRDefault="007E692E" w:rsidP="00F73AA5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0A260760" w14:textId="54EA851B" w:rsidR="00751A09" w:rsidRPr="00F73AA5" w:rsidRDefault="00751A09" w:rsidP="00F73AA5">
      <w:pPr>
        <w:spacing w:line="360" w:lineRule="auto"/>
        <w:jc w:val="both"/>
        <w:rPr>
          <w:rFonts w:ascii="Arial" w:hAnsi="Arial" w:cs="Arial"/>
          <w:b/>
          <w:bCs/>
        </w:rPr>
      </w:pPr>
      <w:r w:rsidRPr="00F73AA5">
        <w:rPr>
          <w:rFonts w:ascii="Arial" w:hAnsi="Arial" w:cs="Arial"/>
          <w:b/>
          <w:bCs/>
        </w:rPr>
        <w:t>Parámetros de ventilación</w:t>
      </w:r>
    </w:p>
    <w:p w14:paraId="7F272D01" w14:textId="77777777" w:rsidR="00522DFC" w:rsidRPr="00F73AA5" w:rsidRDefault="0065554E" w:rsidP="00F73AA5">
      <w:pPr>
        <w:spacing w:line="360" w:lineRule="auto"/>
        <w:jc w:val="both"/>
        <w:rPr>
          <w:rFonts w:ascii="Arial" w:hAnsi="Arial" w:cs="Arial"/>
        </w:rPr>
      </w:pPr>
      <w:r w:rsidRPr="00F73AA5">
        <w:rPr>
          <w:rFonts w:ascii="Arial" w:hAnsi="Arial" w:cs="Arial"/>
        </w:rPr>
        <w:t>Para cada tipo de ducto se establecieron parámetros clave, incluyendo:</w:t>
      </w:r>
    </w:p>
    <w:p w14:paraId="3EE485B3" w14:textId="77777777" w:rsidR="00522DFC" w:rsidRPr="00F73AA5" w:rsidRDefault="0065554E" w:rsidP="00F73AA5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F73AA5">
        <w:rPr>
          <w:rFonts w:ascii="Arial" w:hAnsi="Arial" w:cs="Arial"/>
        </w:rPr>
        <w:t>Longitud por segmento.</w:t>
      </w:r>
    </w:p>
    <w:p w14:paraId="09FCE5F2" w14:textId="77777777" w:rsidR="00522DFC" w:rsidRPr="00F73AA5" w:rsidRDefault="0065554E" w:rsidP="00F73AA5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F73AA5">
        <w:rPr>
          <w:rFonts w:ascii="Arial" w:hAnsi="Arial" w:cs="Arial"/>
        </w:rPr>
        <w:t>Factor de fricción de Atkinson.</w:t>
      </w:r>
    </w:p>
    <w:p w14:paraId="3977A53D" w14:textId="77777777" w:rsidR="00522DFC" w:rsidRPr="00F73AA5" w:rsidRDefault="0065554E" w:rsidP="00F73AA5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F73AA5">
        <w:rPr>
          <w:rFonts w:ascii="Arial" w:hAnsi="Arial" w:cs="Arial"/>
        </w:rPr>
        <w:t>Coeficiente de fugas por segmento.</w:t>
      </w:r>
    </w:p>
    <w:p w14:paraId="7FAFE5EA" w14:textId="77777777" w:rsidR="00522DFC" w:rsidRPr="00F73AA5" w:rsidRDefault="0065554E" w:rsidP="00F73AA5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F73AA5">
        <w:rPr>
          <w:rFonts w:ascii="Arial" w:hAnsi="Arial" w:cs="Arial"/>
        </w:rPr>
        <w:t>Presión residual en la descarga.</w:t>
      </w:r>
    </w:p>
    <w:p w14:paraId="677C9E27" w14:textId="44154975" w:rsidR="0065554E" w:rsidRPr="00F73AA5" w:rsidRDefault="0065554E" w:rsidP="00F73AA5">
      <w:pPr>
        <w:pStyle w:val="Prrafodelista"/>
        <w:spacing w:line="360" w:lineRule="auto"/>
        <w:ind w:left="0"/>
        <w:jc w:val="both"/>
        <w:rPr>
          <w:rFonts w:ascii="Arial" w:hAnsi="Arial" w:cs="Arial"/>
        </w:rPr>
      </w:pPr>
      <w:r w:rsidRPr="00F73AA5">
        <w:rPr>
          <w:rFonts w:ascii="Arial" w:hAnsi="Arial" w:cs="Arial"/>
        </w:rPr>
        <w:t>Estos valores fueron utilizados en los cálculos de caída de presión y pérdidas de caudal.</w:t>
      </w:r>
    </w:p>
    <w:tbl>
      <w:tblPr>
        <w:tblW w:w="8938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18"/>
        <w:gridCol w:w="1554"/>
        <w:gridCol w:w="1418"/>
        <w:gridCol w:w="1417"/>
        <w:gridCol w:w="1559"/>
        <w:gridCol w:w="1572"/>
      </w:tblGrid>
      <w:tr w:rsidR="00C0510E" w:rsidRPr="00F73AA5" w14:paraId="445051DB" w14:textId="77777777" w:rsidTr="001236CD">
        <w:trPr>
          <w:trHeight w:val="285"/>
          <w:jc w:val="center"/>
        </w:trPr>
        <w:tc>
          <w:tcPr>
            <w:tcW w:w="893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FFFFFF"/>
              <w:right w:val="single" w:sz="4" w:space="0" w:color="auto"/>
            </w:tcBorders>
            <w:shd w:val="clear" w:color="000000" w:fill="002060"/>
            <w:noWrap/>
            <w:vAlign w:val="center"/>
            <w:hideMark/>
          </w:tcPr>
          <w:p w14:paraId="53998A02" w14:textId="77777777" w:rsidR="00C0510E" w:rsidRPr="008700DE" w:rsidRDefault="00C0510E" w:rsidP="008700DE">
            <w:pPr>
              <w:pStyle w:val="Sinespaciado"/>
              <w:jc w:val="center"/>
              <w:rPr>
                <w:lang w:eastAsia="es-PE"/>
              </w:rPr>
            </w:pPr>
            <w:r w:rsidRPr="008700DE">
              <w:rPr>
                <w:lang w:eastAsia="es-PE"/>
              </w:rPr>
              <w:t>Parámetros de ventilación por ducto</w:t>
            </w:r>
          </w:p>
        </w:tc>
      </w:tr>
      <w:tr w:rsidR="00C0510E" w:rsidRPr="00F73AA5" w14:paraId="1802A2C5" w14:textId="77777777" w:rsidTr="001236CD">
        <w:trPr>
          <w:trHeight w:val="840"/>
          <w:jc w:val="center"/>
        </w:trPr>
        <w:tc>
          <w:tcPr>
            <w:tcW w:w="1418" w:type="dxa"/>
            <w:tcBorders>
              <w:top w:val="single" w:sz="4" w:space="0" w:color="FFFFFF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2060"/>
            <w:vAlign w:val="center"/>
            <w:hideMark/>
          </w:tcPr>
          <w:p w14:paraId="5861244F" w14:textId="77777777" w:rsidR="00C0510E" w:rsidRPr="008700DE" w:rsidRDefault="00C0510E" w:rsidP="008700DE">
            <w:pPr>
              <w:pStyle w:val="Sinespaciado"/>
              <w:jc w:val="center"/>
              <w:rPr>
                <w:lang w:eastAsia="es-PE"/>
              </w:rPr>
            </w:pPr>
            <w:r w:rsidRPr="008700DE">
              <w:rPr>
                <w:lang w:eastAsia="es-PE"/>
              </w:rPr>
              <w:t>Tipo de ducto</w:t>
            </w:r>
          </w:p>
        </w:tc>
        <w:tc>
          <w:tcPr>
            <w:tcW w:w="1554" w:type="dxa"/>
            <w:tcBorders>
              <w:top w:val="single" w:sz="4" w:space="0" w:color="FFFFFF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2060"/>
            <w:vAlign w:val="center"/>
            <w:hideMark/>
          </w:tcPr>
          <w:p w14:paraId="21BADE2A" w14:textId="77777777" w:rsidR="00C0510E" w:rsidRPr="008700DE" w:rsidRDefault="00C0510E" w:rsidP="008700DE">
            <w:pPr>
              <w:pStyle w:val="Sinespaciado"/>
              <w:jc w:val="center"/>
              <w:rPr>
                <w:lang w:eastAsia="es-PE"/>
              </w:rPr>
            </w:pPr>
            <w:r w:rsidRPr="008700DE">
              <w:rPr>
                <w:lang w:eastAsia="es-PE"/>
              </w:rPr>
              <w:t>Longitud por segmento de ducto (m)</w:t>
            </w:r>
          </w:p>
        </w:tc>
        <w:tc>
          <w:tcPr>
            <w:tcW w:w="1418" w:type="dxa"/>
            <w:tcBorders>
              <w:top w:val="single" w:sz="4" w:space="0" w:color="FFFFFF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2060"/>
            <w:vAlign w:val="center"/>
            <w:hideMark/>
          </w:tcPr>
          <w:p w14:paraId="18E9C794" w14:textId="77777777" w:rsidR="00C0510E" w:rsidRPr="008700DE" w:rsidRDefault="00C0510E" w:rsidP="008700DE">
            <w:pPr>
              <w:pStyle w:val="Sinespaciado"/>
              <w:jc w:val="center"/>
              <w:rPr>
                <w:lang w:eastAsia="es-PE"/>
              </w:rPr>
            </w:pPr>
            <w:r w:rsidRPr="008700DE">
              <w:rPr>
                <w:lang w:eastAsia="es-PE"/>
              </w:rPr>
              <w:t>Cantidad de curvas (90°) por ducto</w:t>
            </w:r>
          </w:p>
        </w:tc>
        <w:tc>
          <w:tcPr>
            <w:tcW w:w="1417" w:type="dxa"/>
            <w:tcBorders>
              <w:top w:val="single" w:sz="4" w:space="0" w:color="FFFFFF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2060"/>
            <w:vAlign w:val="center"/>
            <w:hideMark/>
          </w:tcPr>
          <w:p w14:paraId="5B9A35D5" w14:textId="77777777" w:rsidR="00C0510E" w:rsidRPr="008700DE" w:rsidRDefault="00C0510E" w:rsidP="008700DE">
            <w:pPr>
              <w:pStyle w:val="Sinespaciado"/>
              <w:jc w:val="center"/>
              <w:rPr>
                <w:lang w:eastAsia="es-PE"/>
              </w:rPr>
            </w:pPr>
            <w:r w:rsidRPr="008700DE">
              <w:rPr>
                <w:lang w:eastAsia="es-PE"/>
              </w:rPr>
              <w:t>Factor de fricción de Atkinson (kg/m</w:t>
            </w:r>
            <w:r w:rsidRPr="008700DE">
              <w:rPr>
                <w:vertAlign w:val="superscript"/>
                <w:lang w:eastAsia="es-PE"/>
              </w:rPr>
              <w:t>3</w:t>
            </w:r>
            <w:r w:rsidRPr="008700DE">
              <w:rPr>
                <w:lang w:eastAsia="es-PE"/>
              </w:rPr>
              <w:t>)</w:t>
            </w:r>
          </w:p>
        </w:tc>
        <w:tc>
          <w:tcPr>
            <w:tcW w:w="1559" w:type="dxa"/>
            <w:tcBorders>
              <w:top w:val="single" w:sz="4" w:space="0" w:color="FFFFFF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2060"/>
            <w:vAlign w:val="center"/>
            <w:hideMark/>
          </w:tcPr>
          <w:p w14:paraId="461007A4" w14:textId="77777777" w:rsidR="00C0510E" w:rsidRPr="008700DE" w:rsidRDefault="00C0510E" w:rsidP="008700DE">
            <w:pPr>
              <w:pStyle w:val="Sinespaciado"/>
              <w:jc w:val="center"/>
              <w:rPr>
                <w:lang w:eastAsia="es-PE"/>
              </w:rPr>
            </w:pPr>
            <w:r w:rsidRPr="008700DE">
              <w:rPr>
                <w:lang w:eastAsia="es-PE"/>
              </w:rPr>
              <w:t>Coeficiente de fugas por segmento de ducto (%)</w:t>
            </w:r>
          </w:p>
        </w:tc>
        <w:tc>
          <w:tcPr>
            <w:tcW w:w="1572" w:type="dxa"/>
            <w:tcBorders>
              <w:top w:val="single" w:sz="4" w:space="0" w:color="FFFFFF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2060"/>
            <w:vAlign w:val="center"/>
            <w:hideMark/>
          </w:tcPr>
          <w:p w14:paraId="7002018E" w14:textId="77777777" w:rsidR="00C0510E" w:rsidRPr="008700DE" w:rsidRDefault="00C0510E" w:rsidP="008700DE">
            <w:pPr>
              <w:pStyle w:val="Sinespaciado"/>
              <w:jc w:val="center"/>
              <w:rPr>
                <w:lang w:eastAsia="es-PE"/>
              </w:rPr>
            </w:pPr>
            <w:r w:rsidRPr="008700DE">
              <w:rPr>
                <w:lang w:eastAsia="es-PE"/>
              </w:rPr>
              <w:t>Presión residual en descarga (%)</w:t>
            </w:r>
          </w:p>
        </w:tc>
      </w:tr>
      <w:tr w:rsidR="00C0510E" w:rsidRPr="00F73AA5" w14:paraId="775ACB0D" w14:textId="77777777" w:rsidTr="001236CD">
        <w:trPr>
          <w:trHeight w:val="570"/>
          <w:jc w:val="center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2B0E8C" w14:textId="77777777" w:rsidR="00C0510E" w:rsidRPr="008700DE" w:rsidRDefault="00C0510E" w:rsidP="008700DE">
            <w:pPr>
              <w:pStyle w:val="Sinespaciado"/>
              <w:jc w:val="center"/>
              <w:rPr>
                <w:lang w:eastAsia="es-PE"/>
              </w:rPr>
            </w:pPr>
            <w:r w:rsidRPr="008700DE">
              <w:rPr>
                <w:lang w:eastAsia="es-PE"/>
              </w:rPr>
              <w:t>Ducto flexible</w:t>
            </w:r>
          </w:p>
        </w:tc>
        <w:tc>
          <w:tcPr>
            <w:tcW w:w="1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D9E66D" w14:textId="77777777" w:rsidR="00C0510E" w:rsidRPr="008700DE" w:rsidRDefault="00C0510E" w:rsidP="008700DE">
            <w:pPr>
              <w:pStyle w:val="Sinespaciado"/>
              <w:jc w:val="center"/>
              <w:rPr>
                <w:lang w:eastAsia="es-PE"/>
              </w:rPr>
            </w:pPr>
            <w:r w:rsidRPr="008700DE">
              <w:rPr>
                <w:lang w:eastAsia="es-PE"/>
              </w:rPr>
              <w:t>15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69CE12" w14:textId="77777777" w:rsidR="00C0510E" w:rsidRPr="008700DE" w:rsidRDefault="00C0510E" w:rsidP="008700DE">
            <w:pPr>
              <w:pStyle w:val="Sinespaciado"/>
              <w:jc w:val="center"/>
              <w:rPr>
                <w:lang w:eastAsia="es-PE"/>
              </w:rPr>
            </w:pPr>
            <w:r w:rsidRPr="008700DE">
              <w:rPr>
                <w:lang w:eastAsia="es-PE"/>
              </w:rPr>
              <w:t>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1366A7" w14:textId="77777777" w:rsidR="00C0510E" w:rsidRPr="008700DE" w:rsidRDefault="00C0510E" w:rsidP="008700DE">
            <w:pPr>
              <w:pStyle w:val="Sinespaciado"/>
              <w:jc w:val="center"/>
              <w:rPr>
                <w:lang w:eastAsia="es-PE"/>
              </w:rPr>
            </w:pPr>
            <w:r w:rsidRPr="008700DE">
              <w:rPr>
                <w:lang w:eastAsia="es-PE"/>
              </w:rPr>
              <w:t>0.0037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55CD8A" w14:textId="77777777" w:rsidR="00C0510E" w:rsidRPr="008700DE" w:rsidRDefault="00C0510E" w:rsidP="008700DE">
            <w:pPr>
              <w:pStyle w:val="Sinespaciado"/>
              <w:jc w:val="center"/>
              <w:rPr>
                <w:lang w:eastAsia="es-PE"/>
              </w:rPr>
            </w:pPr>
            <w:r w:rsidRPr="008700DE">
              <w:rPr>
                <w:lang w:eastAsia="es-PE"/>
              </w:rPr>
              <w:t>0.6</w:t>
            </w:r>
          </w:p>
        </w:tc>
        <w:tc>
          <w:tcPr>
            <w:tcW w:w="1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BAFBCD" w14:textId="77777777" w:rsidR="00C0510E" w:rsidRPr="008700DE" w:rsidRDefault="00C0510E" w:rsidP="008700DE">
            <w:pPr>
              <w:pStyle w:val="Sinespaciado"/>
              <w:jc w:val="center"/>
              <w:rPr>
                <w:lang w:eastAsia="es-PE"/>
              </w:rPr>
            </w:pPr>
            <w:r w:rsidRPr="008700DE">
              <w:rPr>
                <w:lang w:eastAsia="es-PE"/>
              </w:rPr>
              <w:t>5</w:t>
            </w:r>
          </w:p>
        </w:tc>
      </w:tr>
      <w:tr w:rsidR="00C0510E" w:rsidRPr="00F73AA5" w14:paraId="42A06057" w14:textId="77777777" w:rsidTr="001236CD">
        <w:trPr>
          <w:trHeight w:val="570"/>
          <w:jc w:val="center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2C9AEB" w14:textId="77777777" w:rsidR="00C0510E" w:rsidRPr="008700DE" w:rsidRDefault="00C0510E" w:rsidP="008700DE">
            <w:pPr>
              <w:pStyle w:val="Sinespaciado"/>
              <w:jc w:val="center"/>
              <w:rPr>
                <w:lang w:eastAsia="es-PE"/>
              </w:rPr>
            </w:pPr>
            <w:r w:rsidRPr="008700DE">
              <w:rPr>
                <w:lang w:eastAsia="es-PE"/>
              </w:rPr>
              <w:t>Ducto semi rígido</w:t>
            </w:r>
          </w:p>
        </w:tc>
        <w:tc>
          <w:tcPr>
            <w:tcW w:w="1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402A79" w14:textId="77777777" w:rsidR="00C0510E" w:rsidRPr="008700DE" w:rsidRDefault="00C0510E" w:rsidP="008700DE">
            <w:pPr>
              <w:pStyle w:val="Sinespaciado"/>
              <w:jc w:val="center"/>
              <w:rPr>
                <w:lang w:eastAsia="es-PE"/>
              </w:rPr>
            </w:pPr>
            <w:r w:rsidRPr="008700DE">
              <w:rPr>
                <w:lang w:eastAsia="es-PE"/>
              </w:rPr>
              <w:t>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AA3C99" w14:textId="77777777" w:rsidR="00C0510E" w:rsidRPr="008700DE" w:rsidRDefault="00C0510E" w:rsidP="008700DE">
            <w:pPr>
              <w:pStyle w:val="Sinespaciado"/>
              <w:jc w:val="center"/>
              <w:rPr>
                <w:lang w:eastAsia="es-PE"/>
              </w:rPr>
            </w:pPr>
            <w:r w:rsidRPr="008700DE">
              <w:rPr>
                <w:lang w:eastAsia="es-PE"/>
              </w:rPr>
              <w:t>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E38EDA" w14:textId="77777777" w:rsidR="00C0510E" w:rsidRPr="008700DE" w:rsidRDefault="00C0510E" w:rsidP="008700DE">
            <w:pPr>
              <w:pStyle w:val="Sinespaciado"/>
              <w:jc w:val="center"/>
              <w:rPr>
                <w:lang w:eastAsia="es-PE"/>
              </w:rPr>
            </w:pPr>
            <w:r w:rsidRPr="008700DE">
              <w:rPr>
                <w:lang w:eastAsia="es-PE"/>
              </w:rPr>
              <w:t>0.0013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EC0FCB" w14:textId="77777777" w:rsidR="00C0510E" w:rsidRPr="008700DE" w:rsidRDefault="00C0510E" w:rsidP="008700DE">
            <w:pPr>
              <w:pStyle w:val="Sinespaciado"/>
              <w:jc w:val="center"/>
              <w:rPr>
                <w:lang w:eastAsia="es-PE"/>
              </w:rPr>
            </w:pPr>
            <w:r w:rsidRPr="008700DE">
              <w:rPr>
                <w:lang w:eastAsia="es-PE"/>
              </w:rPr>
              <w:t>0.2</w:t>
            </w:r>
          </w:p>
        </w:tc>
        <w:tc>
          <w:tcPr>
            <w:tcW w:w="1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26CD57" w14:textId="77777777" w:rsidR="00C0510E" w:rsidRPr="008700DE" w:rsidRDefault="00C0510E" w:rsidP="008700DE">
            <w:pPr>
              <w:pStyle w:val="Sinespaciado"/>
              <w:jc w:val="center"/>
              <w:rPr>
                <w:lang w:eastAsia="es-PE"/>
              </w:rPr>
            </w:pPr>
            <w:r w:rsidRPr="008700DE">
              <w:rPr>
                <w:lang w:eastAsia="es-PE"/>
              </w:rPr>
              <w:t>5</w:t>
            </w:r>
          </w:p>
        </w:tc>
      </w:tr>
    </w:tbl>
    <w:p w14:paraId="029B6DA0" w14:textId="77777777" w:rsidR="00C0510E" w:rsidRPr="00F73AA5" w:rsidRDefault="00C0510E" w:rsidP="00F73AA5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79A2BD66" w14:textId="4D7CA611" w:rsidR="00751A09" w:rsidRPr="00F73AA5" w:rsidRDefault="00751A09" w:rsidP="00F73AA5">
      <w:pPr>
        <w:spacing w:line="360" w:lineRule="auto"/>
        <w:jc w:val="both"/>
        <w:rPr>
          <w:rFonts w:ascii="Arial" w:hAnsi="Arial" w:cs="Arial"/>
          <w:b/>
          <w:bCs/>
        </w:rPr>
      </w:pPr>
      <w:r w:rsidRPr="00F73AA5">
        <w:rPr>
          <w:rFonts w:ascii="Arial" w:hAnsi="Arial" w:cs="Arial"/>
          <w:b/>
          <w:bCs/>
        </w:rPr>
        <w:t>Parámetros termo ambientales</w:t>
      </w:r>
    </w:p>
    <w:p w14:paraId="5DEF4BC4" w14:textId="2D6C748C" w:rsidR="0065554E" w:rsidRPr="00F73AA5" w:rsidRDefault="0065554E" w:rsidP="00F73AA5">
      <w:pPr>
        <w:spacing w:line="360" w:lineRule="auto"/>
        <w:jc w:val="both"/>
        <w:rPr>
          <w:rFonts w:ascii="Arial" w:hAnsi="Arial" w:cs="Arial"/>
        </w:rPr>
      </w:pPr>
      <w:r w:rsidRPr="00F73AA5">
        <w:rPr>
          <w:rFonts w:ascii="Arial" w:hAnsi="Arial" w:cs="Arial"/>
        </w:rPr>
        <w:t xml:space="preserve">Se consideraron variables como la temperatura del aire seco y húmedo, la presión barométrica y la densidad del aire. Estas variables influyen en la resistencia del ducto y </w:t>
      </w:r>
      <w:r w:rsidRPr="00F73AA5">
        <w:rPr>
          <w:rFonts w:ascii="Arial" w:hAnsi="Arial" w:cs="Arial"/>
        </w:rPr>
        <w:lastRenderedPageBreak/>
        <w:t>en la eficiencia del sistema de ventilación, por lo que fueron ajustadas según condiciones típicas de minería subterránea.</w:t>
      </w:r>
    </w:p>
    <w:p w14:paraId="2EC769F9" w14:textId="420D9B0F" w:rsidR="00751A09" w:rsidRPr="00F73AA5" w:rsidRDefault="00751A09" w:rsidP="00F73AA5">
      <w:pPr>
        <w:spacing w:line="360" w:lineRule="auto"/>
        <w:jc w:val="both"/>
        <w:rPr>
          <w:rFonts w:ascii="Arial" w:hAnsi="Arial" w:cs="Arial"/>
          <w:b/>
          <w:bCs/>
        </w:rPr>
      </w:pPr>
      <w:r w:rsidRPr="00F73AA5">
        <w:rPr>
          <w:rFonts w:ascii="Arial" w:hAnsi="Arial" w:cs="Arial"/>
          <w:b/>
          <w:bCs/>
        </w:rPr>
        <w:t>Parámetro de eficiencia y costo</w:t>
      </w:r>
    </w:p>
    <w:p w14:paraId="376E48C5" w14:textId="2ED46736" w:rsidR="0065554E" w:rsidRPr="00F73AA5" w:rsidRDefault="0065554E" w:rsidP="00F73AA5">
      <w:pPr>
        <w:spacing w:line="360" w:lineRule="auto"/>
        <w:jc w:val="both"/>
        <w:rPr>
          <w:rFonts w:ascii="Arial" w:hAnsi="Arial" w:cs="Arial"/>
        </w:rPr>
      </w:pPr>
      <w:r w:rsidRPr="00F73AA5">
        <w:rPr>
          <w:rFonts w:ascii="Arial" w:hAnsi="Arial" w:cs="Arial"/>
        </w:rPr>
        <w:t>El análisis económico incluyó el cálculo del consumo energético de los ventiladores en función de la caída de presión y la eficiencia mecánica del sistema. Se evaluó el costo anual de operación para determinar cuál configuración representa una mejor inversión a largo plazo.</w:t>
      </w:r>
    </w:p>
    <w:p w14:paraId="7E91B5FD" w14:textId="34850510" w:rsidR="00751A09" w:rsidRPr="00F73AA5" w:rsidRDefault="00751A09" w:rsidP="00F73AA5">
      <w:pPr>
        <w:spacing w:line="360" w:lineRule="auto"/>
        <w:jc w:val="both"/>
        <w:rPr>
          <w:rFonts w:ascii="Arial" w:hAnsi="Arial" w:cs="Arial"/>
          <w:b/>
          <w:bCs/>
        </w:rPr>
      </w:pPr>
      <w:r w:rsidRPr="00F73AA5">
        <w:rPr>
          <w:rFonts w:ascii="Arial" w:hAnsi="Arial" w:cs="Arial"/>
          <w:b/>
          <w:bCs/>
        </w:rPr>
        <w:t>Resultados</w:t>
      </w:r>
    </w:p>
    <w:p w14:paraId="37D7E357" w14:textId="4CAE0FC7" w:rsidR="0065554E" w:rsidRPr="00F73AA5" w:rsidRDefault="0065554E" w:rsidP="00F73AA5">
      <w:pPr>
        <w:pStyle w:val="Ttulo3"/>
        <w:spacing w:line="360" w:lineRule="auto"/>
        <w:jc w:val="both"/>
        <w:rPr>
          <w:rFonts w:ascii="Arial" w:hAnsi="Arial" w:cs="Arial"/>
          <w:color w:val="auto"/>
        </w:rPr>
      </w:pPr>
      <w:r w:rsidRPr="00F73AA5">
        <w:rPr>
          <w:rFonts w:ascii="Arial" w:hAnsi="Arial" w:cs="Arial"/>
          <w:color w:val="auto"/>
        </w:rPr>
        <w:t xml:space="preserve">Evaluación 1: </w:t>
      </w:r>
      <w:r w:rsidR="00603726" w:rsidRPr="00F73AA5">
        <w:rPr>
          <w:rFonts w:ascii="Arial" w:hAnsi="Arial" w:cs="Arial"/>
          <w:color w:val="auto"/>
        </w:rPr>
        <w:t>Análisis de longitud máxima de alcance de ducto</w:t>
      </w:r>
    </w:p>
    <w:p w14:paraId="5DA5C2D2" w14:textId="6A242FE8" w:rsidR="00DC29A5" w:rsidRPr="00F73AA5" w:rsidRDefault="0065554E" w:rsidP="00F73AA5">
      <w:pPr>
        <w:spacing w:line="360" w:lineRule="auto"/>
        <w:jc w:val="both"/>
        <w:rPr>
          <w:rFonts w:ascii="Arial" w:hAnsi="Arial" w:cs="Arial"/>
        </w:rPr>
      </w:pPr>
      <w:r w:rsidRPr="00F73AA5">
        <w:rPr>
          <w:rFonts w:ascii="Arial" w:hAnsi="Arial" w:cs="Arial"/>
        </w:rPr>
        <w:t>Los resultados obtenidos indican que los ductos semi rígidos tienen una mayor capacidad de transporte de aire a lo largo de la red de ventilación auxiliar, superando ampliamente a los ductos flexibles en términos de alcance.</w:t>
      </w:r>
    </w:p>
    <w:p w14:paraId="7121F76D" w14:textId="47A74332" w:rsidR="0065554E" w:rsidRPr="00F73AA5" w:rsidRDefault="0065554E" w:rsidP="00F73AA5">
      <w:pPr>
        <w:pStyle w:val="Ttulo3"/>
        <w:spacing w:line="360" w:lineRule="auto"/>
        <w:jc w:val="both"/>
        <w:rPr>
          <w:rFonts w:ascii="Arial" w:hAnsi="Arial" w:cs="Arial"/>
          <w:color w:val="auto"/>
        </w:rPr>
      </w:pPr>
      <w:r w:rsidRPr="00F73AA5">
        <w:rPr>
          <w:rFonts w:ascii="Arial" w:hAnsi="Arial" w:cs="Arial"/>
          <w:color w:val="auto"/>
        </w:rPr>
        <w:t xml:space="preserve">Evaluación 2: </w:t>
      </w:r>
      <w:r w:rsidR="00603726" w:rsidRPr="00F73AA5">
        <w:rPr>
          <w:rFonts w:ascii="Arial" w:hAnsi="Arial" w:cs="Arial"/>
          <w:color w:val="auto"/>
        </w:rPr>
        <w:t>Análisis de caída de presión y pérdida de caudal</w:t>
      </w:r>
    </w:p>
    <w:p w14:paraId="78472238" w14:textId="094EC308" w:rsidR="00DC29A5" w:rsidRPr="00F73AA5" w:rsidRDefault="0065554E" w:rsidP="00F73AA5">
      <w:pPr>
        <w:spacing w:line="360" w:lineRule="auto"/>
        <w:jc w:val="both"/>
        <w:rPr>
          <w:rFonts w:ascii="Arial" w:hAnsi="Arial" w:cs="Arial"/>
        </w:rPr>
      </w:pPr>
      <w:r w:rsidRPr="00F73AA5">
        <w:rPr>
          <w:rFonts w:ascii="Arial" w:hAnsi="Arial" w:cs="Arial"/>
        </w:rPr>
        <w:t>El análisis de caída de presión y pérdidas de caudal evidencia que los ductos semi rígidos generan una reducción significativa en las pérdidas de carga, lo que se traduce en un menor consumo de energía.</w:t>
      </w:r>
    </w:p>
    <w:p w14:paraId="7433284B" w14:textId="5D843520" w:rsidR="0065554E" w:rsidRPr="00F73AA5" w:rsidRDefault="0065554E" w:rsidP="00F73AA5">
      <w:pPr>
        <w:pStyle w:val="Ttulo2"/>
        <w:spacing w:line="360" w:lineRule="auto"/>
        <w:jc w:val="both"/>
        <w:rPr>
          <w:rFonts w:ascii="Arial" w:hAnsi="Arial" w:cs="Arial"/>
          <w:color w:val="auto"/>
          <w:sz w:val="22"/>
          <w:szCs w:val="22"/>
        </w:rPr>
      </w:pPr>
      <w:r w:rsidRPr="00F73AA5">
        <w:rPr>
          <w:rFonts w:ascii="Arial" w:hAnsi="Arial" w:cs="Arial"/>
          <w:color w:val="auto"/>
          <w:sz w:val="22"/>
          <w:szCs w:val="22"/>
        </w:rPr>
        <w:t xml:space="preserve">Ventajas </w:t>
      </w:r>
      <w:r w:rsidR="007E692E">
        <w:rPr>
          <w:rFonts w:ascii="Arial" w:hAnsi="Arial" w:cs="Arial"/>
          <w:color w:val="auto"/>
          <w:sz w:val="22"/>
          <w:szCs w:val="22"/>
        </w:rPr>
        <w:t>o</w:t>
      </w:r>
      <w:r w:rsidRPr="00F73AA5">
        <w:rPr>
          <w:rFonts w:ascii="Arial" w:hAnsi="Arial" w:cs="Arial"/>
          <w:color w:val="auto"/>
          <w:sz w:val="22"/>
          <w:szCs w:val="22"/>
        </w:rPr>
        <w:t xml:space="preserve">perativas de los </w:t>
      </w:r>
      <w:r w:rsidR="007E692E">
        <w:rPr>
          <w:rFonts w:ascii="Arial" w:hAnsi="Arial" w:cs="Arial"/>
          <w:color w:val="auto"/>
          <w:sz w:val="22"/>
          <w:szCs w:val="22"/>
        </w:rPr>
        <w:t>d</w:t>
      </w:r>
      <w:r w:rsidRPr="00F73AA5">
        <w:rPr>
          <w:rFonts w:ascii="Arial" w:hAnsi="Arial" w:cs="Arial"/>
          <w:color w:val="auto"/>
          <w:sz w:val="22"/>
          <w:szCs w:val="22"/>
        </w:rPr>
        <w:t xml:space="preserve">uctos Semi </w:t>
      </w:r>
      <w:r w:rsidR="007E692E">
        <w:rPr>
          <w:rFonts w:ascii="Arial" w:hAnsi="Arial" w:cs="Arial"/>
          <w:color w:val="auto"/>
          <w:sz w:val="22"/>
          <w:szCs w:val="22"/>
        </w:rPr>
        <w:t>r</w:t>
      </w:r>
      <w:r w:rsidRPr="00F73AA5">
        <w:rPr>
          <w:rFonts w:ascii="Arial" w:hAnsi="Arial" w:cs="Arial"/>
          <w:color w:val="auto"/>
          <w:sz w:val="22"/>
          <w:szCs w:val="22"/>
        </w:rPr>
        <w:t>ígidos</w:t>
      </w:r>
    </w:p>
    <w:p w14:paraId="6FF34DF7" w14:textId="77777777" w:rsidR="00FE68A7" w:rsidRPr="00F73AA5" w:rsidRDefault="0065554E" w:rsidP="00F73AA5">
      <w:pPr>
        <w:spacing w:line="360" w:lineRule="auto"/>
        <w:jc w:val="both"/>
        <w:rPr>
          <w:rFonts w:ascii="Arial" w:hAnsi="Arial" w:cs="Arial"/>
        </w:rPr>
      </w:pPr>
      <w:r w:rsidRPr="00F73AA5">
        <w:rPr>
          <w:rFonts w:ascii="Arial" w:hAnsi="Arial" w:cs="Arial"/>
        </w:rPr>
        <w:t>Los resultados obtenidos demuestran las ventajas de los ductos semi rígidos, entre ellas:</w:t>
      </w:r>
    </w:p>
    <w:p w14:paraId="195B687E" w14:textId="77777777" w:rsidR="00FE68A7" w:rsidRPr="00F73AA5" w:rsidRDefault="0065554E" w:rsidP="00F73AA5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Arial" w:hAnsi="Arial" w:cs="Arial"/>
        </w:rPr>
      </w:pPr>
      <w:r w:rsidRPr="00F73AA5">
        <w:rPr>
          <w:rFonts w:ascii="Arial" w:hAnsi="Arial" w:cs="Arial"/>
        </w:rPr>
        <w:t>Reducción de la caída de presión en más del 50%.</w:t>
      </w:r>
    </w:p>
    <w:p w14:paraId="2989DF3C" w14:textId="77777777" w:rsidR="00FE68A7" w:rsidRPr="00F73AA5" w:rsidRDefault="0065554E" w:rsidP="00F73AA5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Arial" w:hAnsi="Arial" w:cs="Arial"/>
        </w:rPr>
      </w:pPr>
      <w:r w:rsidRPr="00F73AA5">
        <w:rPr>
          <w:rFonts w:ascii="Arial" w:hAnsi="Arial" w:cs="Arial"/>
        </w:rPr>
        <w:t>Menores fugas de caudal, optimizando el transporte de aire.</w:t>
      </w:r>
    </w:p>
    <w:p w14:paraId="28185F51" w14:textId="77777777" w:rsidR="00FE68A7" w:rsidRPr="00F73AA5" w:rsidRDefault="0065554E" w:rsidP="00F73AA5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Arial" w:hAnsi="Arial" w:cs="Arial"/>
        </w:rPr>
      </w:pPr>
      <w:r w:rsidRPr="00F73AA5">
        <w:rPr>
          <w:rFonts w:ascii="Arial" w:hAnsi="Arial" w:cs="Arial"/>
        </w:rPr>
        <w:t>Reducción en el consumo de energía hasta un 60%.</w:t>
      </w:r>
    </w:p>
    <w:p w14:paraId="4DB32BDF" w14:textId="77777777" w:rsidR="00FE68A7" w:rsidRPr="00F73AA5" w:rsidRDefault="0065554E" w:rsidP="00F73AA5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Arial" w:hAnsi="Arial" w:cs="Arial"/>
        </w:rPr>
      </w:pPr>
      <w:r w:rsidRPr="00F73AA5">
        <w:rPr>
          <w:rFonts w:ascii="Arial" w:hAnsi="Arial" w:cs="Arial"/>
        </w:rPr>
        <w:t>Mayor resistencia mecánica y vida útil prolongada.</w:t>
      </w:r>
    </w:p>
    <w:p w14:paraId="3CD7D63D" w14:textId="0D5C929C" w:rsidR="0065554E" w:rsidRPr="00F73AA5" w:rsidRDefault="0065554E" w:rsidP="00F73AA5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Arial" w:hAnsi="Arial" w:cs="Arial"/>
        </w:rPr>
      </w:pPr>
      <w:r w:rsidRPr="00F73AA5">
        <w:rPr>
          <w:rFonts w:ascii="Arial" w:hAnsi="Arial" w:cs="Arial"/>
        </w:rPr>
        <w:t>Posibilidad de reutilización y menor impacto ambiental.</w:t>
      </w:r>
    </w:p>
    <w:p w14:paraId="5EC42CFE" w14:textId="165A5987" w:rsidR="00751A09" w:rsidRPr="00F73AA5" w:rsidRDefault="00751A09" w:rsidP="00F73AA5">
      <w:pPr>
        <w:spacing w:line="360" w:lineRule="auto"/>
        <w:jc w:val="both"/>
        <w:rPr>
          <w:rFonts w:ascii="Arial" w:hAnsi="Arial" w:cs="Arial"/>
          <w:b/>
          <w:bCs/>
        </w:rPr>
      </w:pPr>
      <w:r w:rsidRPr="00F73AA5">
        <w:rPr>
          <w:rFonts w:ascii="Arial" w:hAnsi="Arial" w:cs="Arial"/>
          <w:b/>
          <w:bCs/>
        </w:rPr>
        <w:t>Conclusiones</w:t>
      </w:r>
    </w:p>
    <w:p w14:paraId="2E871B84" w14:textId="10376A0D" w:rsidR="007E692E" w:rsidRPr="00F73AA5" w:rsidRDefault="0065554E" w:rsidP="00F73AA5">
      <w:pPr>
        <w:spacing w:line="360" w:lineRule="auto"/>
        <w:jc w:val="both"/>
        <w:rPr>
          <w:rFonts w:ascii="Arial" w:hAnsi="Arial" w:cs="Arial"/>
        </w:rPr>
      </w:pPr>
      <w:r w:rsidRPr="00F73AA5">
        <w:rPr>
          <w:rFonts w:ascii="Arial" w:hAnsi="Arial" w:cs="Arial"/>
        </w:rPr>
        <w:t>El estudio ha demostrado que los ductos semi rígidos representan una alternativa superior a los ductos flexibles en la ventilación auxiliar de minería subterránea. Su uso optimiza la eficiencia del sistema, reduce costos operativos y minimiza pérdidas de caudal y caída de presión. La adopción de esta tecnología puede generar ahorros significativos y mejorar la sostenibilidad de las operaciones mineras.</w:t>
      </w:r>
    </w:p>
    <w:sectPr w:rsidR="007E692E" w:rsidRPr="00F73AA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85C45"/>
    <w:multiLevelType w:val="hybridMultilevel"/>
    <w:tmpl w:val="2648F56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7D7BD9"/>
    <w:multiLevelType w:val="hybridMultilevel"/>
    <w:tmpl w:val="09E042C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E213D86"/>
    <w:multiLevelType w:val="hybridMultilevel"/>
    <w:tmpl w:val="2004B48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0624280">
    <w:abstractNumId w:val="2"/>
  </w:num>
  <w:num w:numId="2" w16cid:durableId="696858420">
    <w:abstractNumId w:val="0"/>
  </w:num>
  <w:num w:numId="3" w16cid:durableId="20617078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A09"/>
    <w:rsid w:val="001824DA"/>
    <w:rsid w:val="001A4768"/>
    <w:rsid w:val="00215C3D"/>
    <w:rsid w:val="002443F1"/>
    <w:rsid w:val="002B01AB"/>
    <w:rsid w:val="00365C44"/>
    <w:rsid w:val="004837C9"/>
    <w:rsid w:val="00522DFC"/>
    <w:rsid w:val="005268A3"/>
    <w:rsid w:val="005B1CCB"/>
    <w:rsid w:val="00603726"/>
    <w:rsid w:val="00624659"/>
    <w:rsid w:val="0065554E"/>
    <w:rsid w:val="00751A09"/>
    <w:rsid w:val="00780B3A"/>
    <w:rsid w:val="007E692E"/>
    <w:rsid w:val="008700DE"/>
    <w:rsid w:val="00A460F6"/>
    <w:rsid w:val="00A81219"/>
    <w:rsid w:val="00AC75E5"/>
    <w:rsid w:val="00BE4B7C"/>
    <w:rsid w:val="00BF1737"/>
    <w:rsid w:val="00C0510E"/>
    <w:rsid w:val="00D075E6"/>
    <w:rsid w:val="00DC29A5"/>
    <w:rsid w:val="00DE23FA"/>
    <w:rsid w:val="00F73AA5"/>
    <w:rsid w:val="00F86DD1"/>
    <w:rsid w:val="00F8717D"/>
    <w:rsid w:val="00FE6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B62F1AE"/>
  <w15:chartTrackingRefBased/>
  <w15:docId w15:val="{B86ED72B-0572-4F91-9EDA-59DE3B1A10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1A09"/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5554E"/>
    <w:pPr>
      <w:keepNext/>
      <w:keepLines/>
      <w:spacing w:before="200" w:after="0" w:line="276" w:lineRule="auto"/>
      <w:outlineLvl w:val="1"/>
    </w:pPr>
    <w:rPr>
      <w:rFonts w:asciiTheme="majorHAnsi" w:eastAsiaTheme="majorEastAsia" w:hAnsiTheme="majorHAnsi" w:cstheme="majorBidi"/>
      <w:b/>
      <w:bCs/>
      <w:color w:val="4472C4" w:themeColor="accent1"/>
      <w:kern w:val="0"/>
      <w:sz w:val="26"/>
      <w:szCs w:val="26"/>
      <w:lang w:val="en-US"/>
      <w14:ligatures w14:val="none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65554E"/>
    <w:pPr>
      <w:keepNext/>
      <w:keepLines/>
      <w:spacing w:before="200" w:after="0" w:line="276" w:lineRule="auto"/>
      <w:outlineLvl w:val="2"/>
    </w:pPr>
    <w:rPr>
      <w:rFonts w:asciiTheme="majorHAnsi" w:eastAsiaTheme="majorEastAsia" w:hAnsiTheme="majorHAnsi" w:cstheme="majorBidi"/>
      <w:b/>
      <w:bCs/>
      <w:color w:val="4472C4" w:themeColor="accent1"/>
      <w:kern w:val="0"/>
      <w:lang w:val="en-US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51A09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65554E"/>
    <w:rPr>
      <w:rFonts w:asciiTheme="majorHAnsi" w:eastAsiaTheme="majorEastAsia" w:hAnsiTheme="majorHAnsi" w:cstheme="majorBidi"/>
      <w:b/>
      <w:bCs/>
      <w:color w:val="4472C4" w:themeColor="accent1"/>
      <w:kern w:val="0"/>
      <w:sz w:val="26"/>
      <w:szCs w:val="26"/>
      <w:lang w:val="en-US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65554E"/>
    <w:rPr>
      <w:rFonts w:asciiTheme="majorHAnsi" w:eastAsiaTheme="majorEastAsia" w:hAnsiTheme="majorHAnsi" w:cstheme="majorBidi"/>
      <w:b/>
      <w:bCs/>
      <w:color w:val="4472C4" w:themeColor="accent1"/>
      <w:kern w:val="0"/>
      <w:lang w:val="en-US"/>
      <w14:ligatures w14:val="none"/>
    </w:rPr>
  </w:style>
  <w:style w:type="table" w:styleId="Tablaconcuadrcula">
    <w:name w:val="Table Grid"/>
    <w:basedOn w:val="Tablanormal"/>
    <w:uiPriority w:val="59"/>
    <w:rsid w:val="0065554E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1">
    <w:name w:val="Tabla con cuadrícula1"/>
    <w:basedOn w:val="Tablanormal"/>
    <w:next w:val="Tablaconcuadrcula"/>
    <w:uiPriority w:val="39"/>
    <w:rsid w:val="00C051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365C44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65C44"/>
    <w:rPr>
      <w:color w:val="605E5C"/>
      <w:shd w:val="clear" w:color="auto" w:fill="E1DFDD"/>
    </w:rPr>
  </w:style>
  <w:style w:type="paragraph" w:styleId="Sinespaciado">
    <w:name w:val="No Spacing"/>
    <w:uiPriority w:val="1"/>
    <w:qFormat/>
    <w:rsid w:val="00F86DD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soporte.tecnico@vpsconsulting.com.p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ingenieria@vpsconsulting.com.pe" TargetMode="External"/><Relationship Id="rId5" Type="http://schemas.openxmlformats.org/officeDocument/2006/relationships/hyperlink" Target="mailto:frank.mariluz@vpsconsulting.com.pe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216</TotalTime>
  <Pages>3</Pages>
  <Words>922</Words>
  <Characters>5076</Characters>
  <Application>Microsoft Office Word</Application>
  <DocSecurity>0</DocSecurity>
  <Lines>42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Frank Mariluz Falcon</cp:lastModifiedBy>
  <cp:revision>14</cp:revision>
  <dcterms:created xsi:type="dcterms:W3CDTF">2025-03-19T22:09:00Z</dcterms:created>
  <dcterms:modified xsi:type="dcterms:W3CDTF">2025-03-31T22:42:00Z</dcterms:modified>
</cp:coreProperties>
</file>