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E99FD" w14:textId="62891E12" w:rsidR="00355CF1" w:rsidRPr="00355CF1" w:rsidRDefault="00355CF1" w:rsidP="00355CF1">
      <w:pPr>
        <w:jc w:val="center"/>
        <w:rPr>
          <w:b/>
          <w:bCs/>
        </w:rPr>
      </w:pPr>
      <w:r w:rsidRPr="00355CF1">
        <w:rPr>
          <w:b/>
          <w:bCs/>
        </w:rPr>
        <w:t xml:space="preserve">Título: </w:t>
      </w:r>
      <w:r w:rsidR="00D343A0" w:rsidRPr="00D343A0">
        <w:rPr>
          <w:b/>
          <w:bCs/>
        </w:rPr>
        <w:t>¿Debe la consulta previa reconocerse como un derecho constitucional? Un enfoque desde la sostenibilidad social y el respeto a los derechos humanos</w:t>
      </w:r>
    </w:p>
    <w:p w14:paraId="41A63023" w14:textId="27FEE263" w:rsidR="00355CF1" w:rsidRPr="00355CF1" w:rsidRDefault="00355CF1" w:rsidP="00E565C7">
      <w:pPr>
        <w:jc w:val="both"/>
        <w:rPr>
          <w:b/>
          <w:bCs/>
        </w:rPr>
      </w:pPr>
      <w:r w:rsidRPr="00355CF1">
        <w:rPr>
          <w:b/>
          <w:bCs/>
        </w:rPr>
        <w:t>Categoría</w:t>
      </w:r>
      <w:proofErr w:type="gramStart"/>
      <w:r w:rsidR="00D343A0">
        <w:rPr>
          <w:b/>
          <w:bCs/>
        </w:rPr>
        <w:tab/>
      </w:r>
      <w:r w:rsidRPr="00355CF1">
        <w:rPr>
          <w:b/>
          <w:bCs/>
        </w:rPr>
        <w:t>:</w:t>
      </w:r>
      <w:r w:rsidR="00D343A0">
        <w:t>ESG</w:t>
      </w:r>
      <w:proofErr w:type="gramEnd"/>
      <w:r w:rsidRPr="00355CF1">
        <w:br/>
      </w:r>
      <w:r w:rsidRPr="00355CF1">
        <w:rPr>
          <w:b/>
          <w:bCs/>
        </w:rPr>
        <w:t>Tema</w:t>
      </w:r>
      <w:r w:rsidR="00D343A0">
        <w:rPr>
          <w:b/>
          <w:bCs/>
        </w:rPr>
        <w:tab/>
      </w:r>
      <w:r w:rsidR="00D343A0">
        <w:rPr>
          <w:b/>
          <w:bCs/>
        </w:rPr>
        <w:tab/>
      </w:r>
      <w:r w:rsidRPr="00355CF1">
        <w:rPr>
          <w:b/>
          <w:bCs/>
        </w:rPr>
        <w:t xml:space="preserve">: </w:t>
      </w:r>
      <w:r w:rsidR="00D343A0" w:rsidRPr="00D343A0">
        <w:rPr>
          <w:b/>
          <w:bCs/>
        </w:rPr>
        <w:t>Derechos Humanos y pueblos indígenas.</w:t>
      </w:r>
    </w:p>
    <w:p w14:paraId="1D83D66E" w14:textId="7808C805" w:rsidR="00355CF1" w:rsidRDefault="00355CF1" w:rsidP="00E565C7">
      <w:pPr>
        <w:jc w:val="both"/>
      </w:pPr>
      <w:r>
        <w:rPr>
          <w:b/>
          <w:bCs/>
        </w:rPr>
        <w:t xml:space="preserve">Datos del autor: </w:t>
      </w:r>
      <w:r w:rsidRPr="00355CF1">
        <w:t>Pamela Rivera Daza</w:t>
      </w:r>
      <w:r>
        <w:t xml:space="preserve"> – Abogada</w:t>
      </w:r>
      <w:r w:rsidR="00047D8B">
        <w:t xml:space="preserve"> – Comité del </w:t>
      </w:r>
      <w:proofErr w:type="spellStart"/>
      <w:r w:rsidR="00047D8B">
        <w:t>Greatt</w:t>
      </w:r>
      <w:proofErr w:type="spellEnd"/>
      <w:r w:rsidR="00047D8B">
        <w:t xml:space="preserve"> Ambiental y de Sostenibilidad en </w:t>
      </w:r>
      <w:proofErr w:type="spellStart"/>
      <w:r w:rsidR="00047D8B">
        <w:t>Women</w:t>
      </w:r>
      <w:proofErr w:type="spellEnd"/>
      <w:r w:rsidR="00047D8B">
        <w:t xml:space="preserve"> in </w:t>
      </w:r>
      <w:proofErr w:type="spellStart"/>
      <w:r w:rsidR="00047D8B">
        <w:t>Mining</w:t>
      </w:r>
      <w:proofErr w:type="spellEnd"/>
      <w:r w:rsidR="00047D8B">
        <w:t xml:space="preserve"> Perú (WIM PERÚ</w:t>
      </w:r>
      <w:r w:rsidR="00274B5D">
        <w:t>),</w:t>
      </w:r>
      <w:r>
        <w:t xml:space="preserve"> </w:t>
      </w:r>
      <w:hyperlink r:id="rId4" w:history="1">
        <w:r w:rsidRPr="00973660">
          <w:rPr>
            <w:rStyle w:val="Hipervnculo"/>
          </w:rPr>
          <w:t>p.riveradaza@gmail.com</w:t>
        </w:r>
      </w:hyperlink>
      <w:r>
        <w:t xml:space="preserve">, 974724355 </w:t>
      </w:r>
    </w:p>
    <w:p w14:paraId="411D827B" w14:textId="64A0A9F1" w:rsidR="00D22659" w:rsidRDefault="007F0AD1" w:rsidP="00E565C7">
      <w:pPr>
        <w:jc w:val="both"/>
      </w:pPr>
      <w:r w:rsidRPr="009474FE">
        <w:rPr>
          <w:b/>
          <w:bCs/>
        </w:rPr>
        <w:t>Datos del</w:t>
      </w:r>
      <w:r w:rsidR="0047132F" w:rsidRPr="009474FE">
        <w:rPr>
          <w:b/>
          <w:bCs/>
        </w:rPr>
        <w:t xml:space="preserve"> Coautor:</w:t>
      </w:r>
      <w:r w:rsidR="0047132F">
        <w:t xml:space="preserve">  Sara Blaz </w:t>
      </w:r>
      <w:r w:rsidR="00274B5D">
        <w:t>Rios –</w:t>
      </w:r>
      <w:r w:rsidR="00D22659" w:rsidRPr="00D22659">
        <w:t xml:space="preserve"> </w:t>
      </w:r>
      <w:r w:rsidR="00274B5D">
        <w:t>Bióloga</w:t>
      </w:r>
      <w:r w:rsidR="00D22659" w:rsidRPr="00D22659">
        <w:t xml:space="preserve"> – Comité del </w:t>
      </w:r>
      <w:proofErr w:type="spellStart"/>
      <w:r w:rsidR="00D22659" w:rsidRPr="00D22659">
        <w:t>Greatt</w:t>
      </w:r>
      <w:proofErr w:type="spellEnd"/>
      <w:r w:rsidR="00D22659" w:rsidRPr="00D22659">
        <w:t xml:space="preserve"> Ambiental y de Sostenibilidad en </w:t>
      </w:r>
      <w:proofErr w:type="spellStart"/>
      <w:r w:rsidR="00D22659" w:rsidRPr="00D22659">
        <w:t>Women</w:t>
      </w:r>
      <w:proofErr w:type="spellEnd"/>
      <w:r w:rsidR="00D22659" w:rsidRPr="00D22659">
        <w:t xml:space="preserve"> in </w:t>
      </w:r>
      <w:proofErr w:type="spellStart"/>
      <w:r w:rsidR="00D22659" w:rsidRPr="00D22659">
        <w:t>Mining</w:t>
      </w:r>
      <w:proofErr w:type="spellEnd"/>
      <w:r w:rsidR="00D22659" w:rsidRPr="00D22659">
        <w:t xml:space="preserve"> Perú (WIM PERÚ</w:t>
      </w:r>
      <w:r w:rsidR="00274B5D" w:rsidRPr="00D22659">
        <w:t>),</w:t>
      </w:r>
      <w:r w:rsidR="00D22659" w:rsidRPr="00D22659">
        <w:t xml:space="preserve"> </w:t>
      </w:r>
      <w:r w:rsidR="00424AEC">
        <w:t>sarablaz5</w:t>
      </w:r>
      <w:r w:rsidR="00064A9E">
        <w:t>6</w:t>
      </w:r>
      <w:r w:rsidR="00D22659" w:rsidRPr="00D22659">
        <w:t>@gmail.com, 9</w:t>
      </w:r>
      <w:r w:rsidR="00064A9E">
        <w:t>96601591</w:t>
      </w:r>
    </w:p>
    <w:p w14:paraId="7EBDFE18" w14:textId="77777777" w:rsidR="00D22659" w:rsidRDefault="00D22659" w:rsidP="00E565C7">
      <w:pPr>
        <w:jc w:val="both"/>
      </w:pPr>
    </w:p>
    <w:p w14:paraId="0A3AAC80" w14:textId="77777777" w:rsidR="00B2134B" w:rsidRDefault="00B2134B" w:rsidP="00E565C7">
      <w:pPr>
        <w:jc w:val="both"/>
        <w:rPr>
          <w:b/>
          <w:bCs/>
        </w:rPr>
      </w:pPr>
    </w:p>
    <w:p w14:paraId="5C37B85E" w14:textId="05AB73BD" w:rsidR="00355CF1" w:rsidRPr="00355CF1" w:rsidRDefault="00355CF1" w:rsidP="00355CF1">
      <w:r w:rsidRPr="00355CF1">
        <w:rPr>
          <w:b/>
          <w:bCs/>
        </w:rPr>
        <w:t>Resumen técnico</w:t>
      </w:r>
    </w:p>
    <w:p w14:paraId="35C4658D" w14:textId="439F3C10" w:rsidR="00D343A0" w:rsidRPr="00D343A0" w:rsidRDefault="00D343A0" w:rsidP="00D343A0">
      <w:pPr>
        <w:jc w:val="both"/>
      </w:pPr>
      <w:r w:rsidRPr="00D343A0">
        <w:t xml:space="preserve">En un escenario donde la sostenibilidad de la minería depende tanto de la responsabilidad ambiental como del respeto a los derechos humanos y la inclusión social, el presente trabajo aborda una tensión jurídica de fondo: la indefinición del derecho a la consulta previa como derecho fundamental explícito en el ordenamiento constitucional peruano. El pronunciamiento del Tribunal Constitucional en el expediente </w:t>
      </w:r>
      <w:proofErr w:type="spellStart"/>
      <w:r w:rsidRPr="00D343A0">
        <w:t>N.°</w:t>
      </w:r>
      <w:proofErr w:type="spellEnd"/>
      <w:r w:rsidRPr="00D343A0">
        <w:t xml:space="preserve"> 03066-2019-PA/TC ha reabierto el debate sobre si la consulta previa, reconocida por el Convenio 169 de la OIT y el bloque de constitucionalidad, debe figurar expresamente en la Constitución para asegurar su cumplimiento efectivo en contextos de expansión minera. Este análisis se desarrolla dentro del campo de la gobernanza social y jurídica en actividades extractivas, clave para cumplir con los estándares ESG.</w:t>
      </w:r>
    </w:p>
    <w:p w14:paraId="4A78B0DB" w14:textId="628BD5FE" w:rsidR="00D343A0" w:rsidRPr="00D343A0" w:rsidRDefault="00D343A0" w:rsidP="00D343A0">
      <w:pPr>
        <w:jc w:val="both"/>
      </w:pPr>
      <w:r w:rsidRPr="00D343A0">
        <w:t>Este trabajo tiene como objetivo demostrar que elevar la consulta previa al rango de derecho constitucional explícito permitiría mejorar su eficacia normativa y su aplicabilidad en el ámbito minero, fortaleciendo así el enfoque de sostenibilidad social y de gobernanza legítima. Asimismo, se propone evidenciar que su actual reconocimiento solo por vía indirecta no ha impedido conflictos socioambientales ni garantizados mecanismos de participación previa, libre e informada para los pueblos indígenas afectados por concesiones.</w:t>
      </w:r>
    </w:p>
    <w:p w14:paraId="1325AB36" w14:textId="77777777" w:rsidR="00D343A0" w:rsidRPr="00D343A0" w:rsidRDefault="00D343A0" w:rsidP="00D343A0">
      <w:pPr>
        <w:jc w:val="both"/>
      </w:pPr>
      <w:r w:rsidRPr="00D343A0">
        <w:t>La metodología empleada se basa en una revisión doctrinal y jurisprudencial, tanto del derecho nacional como del derecho internacional de los derechos humanos. Se incorporan los marcos interpretativos del control de convencionalidad, así como estudios de caso sobre omisiones de consulta previa en concesiones mineras otorgadas sin consentimiento comunitario. También se analizan los efectos sociales, institucionales y de legitimidad asociados a tales omisiones.</w:t>
      </w:r>
    </w:p>
    <w:p w14:paraId="2725EE71" w14:textId="77777777" w:rsidR="00D343A0" w:rsidRPr="00D343A0" w:rsidRDefault="00D343A0" w:rsidP="00D343A0">
      <w:pPr>
        <w:jc w:val="both"/>
      </w:pPr>
      <w:r w:rsidRPr="00D343A0">
        <w:t>Entre los resultados preliminares, se identifica que la falta de reconocimiento constitucional expreso genera ambigüedades normativas, vacíos regulatorios y criterios dispares en la administración pública. Por ejemplo, el TC ha afirmado en jurisprudencia reciente que la consulta previa es “un derecho fundamental tutelable a través del proceso de amparo” y que su ejercicio fortalece “la participación en la vida económica y social de la Nación”​. Sin embargo, sin una norma clara y vinculante en el texto constitucional, su aplicación efectiva queda sujeta a interpretaciones judiciales variables y a la voluntad política del Ejecutivo.</w:t>
      </w:r>
    </w:p>
    <w:p w14:paraId="753924E3" w14:textId="5DF5565C" w:rsidR="00D343A0" w:rsidRPr="00D343A0" w:rsidRDefault="00D343A0" w:rsidP="00D343A0">
      <w:pPr>
        <w:jc w:val="both"/>
      </w:pPr>
      <w:r w:rsidRPr="00D343A0">
        <w:t xml:space="preserve">A modo de conclusión, se recomienda iniciar un proceso de reforma constitucional para incorporar la consulta previa como derecho fundamental autónomo. Esta medida permitiría articular de forma coherente la legislación nacional con los tratados internacionales vigentes, dotar de previsibilidad al sector minero y reducir la conflictividad social. La investigación </w:t>
      </w:r>
      <w:r w:rsidRPr="00D343A0">
        <w:lastRenderedPageBreak/>
        <w:t>demostrará que este reconocimiento normativo no solo es jurídicamente viable, sino esencial para un modelo de minería responsable, inclusiva y alineada con los principios ESG.</w:t>
      </w:r>
    </w:p>
    <w:p w14:paraId="1045C929" w14:textId="7268B3BE" w:rsidR="00355CF1" w:rsidRPr="00355CF1" w:rsidRDefault="00355CF1" w:rsidP="00D343A0">
      <w:pPr>
        <w:jc w:val="both"/>
      </w:pPr>
    </w:p>
    <w:sectPr w:rsidR="00355CF1" w:rsidRPr="00355CF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CF1"/>
    <w:rsid w:val="00047D8B"/>
    <w:rsid w:val="00064A9E"/>
    <w:rsid w:val="001269E6"/>
    <w:rsid w:val="00165E68"/>
    <w:rsid w:val="00274B5D"/>
    <w:rsid w:val="00355CF1"/>
    <w:rsid w:val="00385C29"/>
    <w:rsid w:val="00424AEC"/>
    <w:rsid w:val="0047132F"/>
    <w:rsid w:val="007F0AD1"/>
    <w:rsid w:val="008C2370"/>
    <w:rsid w:val="0090651A"/>
    <w:rsid w:val="009474FE"/>
    <w:rsid w:val="00997B27"/>
    <w:rsid w:val="009F7491"/>
    <w:rsid w:val="00B2134B"/>
    <w:rsid w:val="00D22659"/>
    <w:rsid w:val="00D343A0"/>
    <w:rsid w:val="00E17384"/>
    <w:rsid w:val="00E565C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1D27B"/>
  <w15:chartTrackingRefBased/>
  <w15:docId w15:val="{1AAEC3BE-8495-4F10-812F-243B58C80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55C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55C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55CF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55CF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55CF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55CF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55CF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55CF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55CF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5CF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55CF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55CF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55CF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55CF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55CF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55CF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55CF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55CF1"/>
    <w:rPr>
      <w:rFonts w:eastAsiaTheme="majorEastAsia" w:cstheme="majorBidi"/>
      <w:color w:val="272727" w:themeColor="text1" w:themeTint="D8"/>
    </w:rPr>
  </w:style>
  <w:style w:type="paragraph" w:styleId="Ttulo">
    <w:name w:val="Title"/>
    <w:basedOn w:val="Normal"/>
    <w:next w:val="Normal"/>
    <w:link w:val="TtuloCar"/>
    <w:uiPriority w:val="10"/>
    <w:qFormat/>
    <w:rsid w:val="00355C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55CF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55CF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55CF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55CF1"/>
    <w:pPr>
      <w:spacing w:before="160"/>
      <w:jc w:val="center"/>
    </w:pPr>
    <w:rPr>
      <w:i/>
      <w:iCs/>
      <w:color w:val="404040" w:themeColor="text1" w:themeTint="BF"/>
    </w:rPr>
  </w:style>
  <w:style w:type="character" w:customStyle="1" w:styleId="CitaCar">
    <w:name w:val="Cita Car"/>
    <w:basedOn w:val="Fuentedeprrafopredeter"/>
    <w:link w:val="Cita"/>
    <w:uiPriority w:val="29"/>
    <w:rsid w:val="00355CF1"/>
    <w:rPr>
      <w:i/>
      <w:iCs/>
      <w:color w:val="404040" w:themeColor="text1" w:themeTint="BF"/>
    </w:rPr>
  </w:style>
  <w:style w:type="paragraph" w:styleId="Prrafodelista">
    <w:name w:val="List Paragraph"/>
    <w:basedOn w:val="Normal"/>
    <w:uiPriority w:val="34"/>
    <w:qFormat/>
    <w:rsid w:val="00355CF1"/>
    <w:pPr>
      <w:ind w:left="720"/>
      <w:contextualSpacing/>
    </w:pPr>
  </w:style>
  <w:style w:type="character" w:styleId="nfasisintenso">
    <w:name w:val="Intense Emphasis"/>
    <w:basedOn w:val="Fuentedeprrafopredeter"/>
    <w:uiPriority w:val="21"/>
    <w:qFormat/>
    <w:rsid w:val="00355CF1"/>
    <w:rPr>
      <w:i/>
      <w:iCs/>
      <w:color w:val="2F5496" w:themeColor="accent1" w:themeShade="BF"/>
    </w:rPr>
  </w:style>
  <w:style w:type="paragraph" w:styleId="Citadestacada">
    <w:name w:val="Intense Quote"/>
    <w:basedOn w:val="Normal"/>
    <w:next w:val="Normal"/>
    <w:link w:val="CitadestacadaCar"/>
    <w:uiPriority w:val="30"/>
    <w:qFormat/>
    <w:rsid w:val="00355C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55CF1"/>
    <w:rPr>
      <w:i/>
      <w:iCs/>
      <w:color w:val="2F5496" w:themeColor="accent1" w:themeShade="BF"/>
    </w:rPr>
  </w:style>
  <w:style w:type="character" w:styleId="Referenciaintensa">
    <w:name w:val="Intense Reference"/>
    <w:basedOn w:val="Fuentedeprrafopredeter"/>
    <w:uiPriority w:val="32"/>
    <w:qFormat/>
    <w:rsid w:val="00355CF1"/>
    <w:rPr>
      <w:b/>
      <w:bCs/>
      <w:smallCaps/>
      <w:color w:val="2F5496" w:themeColor="accent1" w:themeShade="BF"/>
      <w:spacing w:val="5"/>
    </w:rPr>
  </w:style>
  <w:style w:type="character" w:styleId="Hipervnculo">
    <w:name w:val="Hyperlink"/>
    <w:basedOn w:val="Fuentedeprrafopredeter"/>
    <w:uiPriority w:val="99"/>
    <w:unhideWhenUsed/>
    <w:rsid w:val="00355CF1"/>
    <w:rPr>
      <w:color w:val="0563C1" w:themeColor="hyperlink"/>
      <w:u w:val="single"/>
    </w:rPr>
  </w:style>
  <w:style w:type="character" w:styleId="Mencinsinresolver">
    <w:name w:val="Unresolved Mention"/>
    <w:basedOn w:val="Fuentedeprrafopredeter"/>
    <w:uiPriority w:val="99"/>
    <w:semiHidden/>
    <w:unhideWhenUsed/>
    <w:rsid w:val="00355C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212998">
      <w:bodyDiv w:val="1"/>
      <w:marLeft w:val="0"/>
      <w:marRight w:val="0"/>
      <w:marTop w:val="0"/>
      <w:marBottom w:val="0"/>
      <w:divBdr>
        <w:top w:val="none" w:sz="0" w:space="0" w:color="auto"/>
        <w:left w:val="none" w:sz="0" w:space="0" w:color="auto"/>
        <w:bottom w:val="none" w:sz="0" w:space="0" w:color="auto"/>
        <w:right w:val="none" w:sz="0" w:space="0" w:color="auto"/>
      </w:divBdr>
    </w:div>
    <w:div w:id="623315466">
      <w:bodyDiv w:val="1"/>
      <w:marLeft w:val="0"/>
      <w:marRight w:val="0"/>
      <w:marTop w:val="0"/>
      <w:marBottom w:val="0"/>
      <w:divBdr>
        <w:top w:val="none" w:sz="0" w:space="0" w:color="auto"/>
        <w:left w:val="none" w:sz="0" w:space="0" w:color="auto"/>
        <w:bottom w:val="none" w:sz="0" w:space="0" w:color="auto"/>
        <w:right w:val="none" w:sz="0" w:space="0" w:color="auto"/>
      </w:divBdr>
    </w:div>
    <w:div w:id="852718656">
      <w:bodyDiv w:val="1"/>
      <w:marLeft w:val="0"/>
      <w:marRight w:val="0"/>
      <w:marTop w:val="0"/>
      <w:marBottom w:val="0"/>
      <w:divBdr>
        <w:top w:val="none" w:sz="0" w:space="0" w:color="auto"/>
        <w:left w:val="none" w:sz="0" w:space="0" w:color="auto"/>
        <w:bottom w:val="none" w:sz="0" w:space="0" w:color="auto"/>
        <w:right w:val="none" w:sz="0" w:space="0" w:color="auto"/>
      </w:divBdr>
    </w:div>
    <w:div w:id="1126436708">
      <w:bodyDiv w:val="1"/>
      <w:marLeft w:val="0"/>
      <w:marRight w:val="0"/>
      <w:marTop w:val="0"/>
      <w:marBottom w:val="0"/>
      <w:divBdr>
        <w:top w:val="none" w:sz="0" w:space="0" w:color="auto"/>
        <w:left w:val="none" w:sz="0" w:space="0" w:color="auto"/>
        <w:bottom w:val="none" w:sz="0" w:space="0" w:color="auto"/>
        <w:right w:val="none" w:sz="0" w:space="0" w:color="auto"/>
      </w:divBdr>
    </w:div>
    <w:div w:id="1180580423">
      <w:bodyDiv w:val="1"/>
      <w:marLeft w:val="0"/>
      <w:marRight w:val="0"/>
      <w:marTop w:val="0"/>
      <w:marBottom w:val="0"/>
      <w:divBdr>
        <w:top w:val="none" w:sz="0" w:space="0" w:color="auto"/>
        <w:left w:val="none" w:sz="0" w:space="0" w:color="auto"/>
        <w:bottom w:val="none" w:sz="0" w:space="0" w:color="auto"/>
        <w:right w:val="none" w:sz="0" w:space="0" w:color="auto"/>
      </w:divBdr>
    </w:div>
    <w:div w:id="1930386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p.riveradaza@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2</Pages>
  <Words>555</Words>
  <Characters>3058</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 Rivera Daza</dc:creator>
  <cp:keywords/>
  <dc:description/>
  <cp:lastModifiedBy>sara blaz rios</cp:lastModifiedBy>
  <cp:revision>12</cp:revision>
  <dcterms:created xsi:type="dcterms:W3CDTF">2025-04-23T15:50:00Z</dcterms:created>
  <dcterms:modified xsi:type="dcterms:W3CDTF">2025-04-23T17:29:00Z</dcterms:modified>
</cp:coreProperties>
</file>