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8932" w14:textId="77777777" w:rsid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Título:</w:t>
      </w:r>
    </w:p>
    <w:p w14:paraId="5A38BFB7" w14:textId="11F8B0BA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Valorización de Emisiones de CO₂ en Minería a través de Cultivos de </w:t>
      </w:r>
      <w:proofErr w:type="spellStart"/>
      <w:r w:rsidRPr="00B622B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para la Generación de Productos de Alto Valor</w:t>
      </w:r>
    </w:p>
    <w:p w14:paraId="06C9B89D" w14:textId="77777777" w:rsidR="00657428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Categoría: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ESG (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Environmental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Social,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Governance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Tema: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65742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Gestión de residuos y economía circular</w:t>
      </w:r>
    </w:p>
    <w:p w14:paraId="4E1FB169" w14:textId="53A89E32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Palabras clave: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Captura de CO₂,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minería sostenible, biorreactores, economía circular, biomasa de alto valor</w:t>
      </w:r>
    </w:p>
    <w:p w14:paraId="30E5F27F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C19A938">
          <v:rect id="_x0000_i1025" style="width:0;height:1.5pt" o:hralign="center" o:hrstd="t" o:hr="t" fillcolor="#a0a0a0" stroked="f"/>
        </w:pict>
      </w:r>
    </w:p>
    <w:p w14:paraId="0094B474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1. Contexto</w:t>
      </w:r>
    </w:p>
    <w:p w14:paraId="63DB7019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sector minero enfrenta una creciente presión por adoptar estrategias sostenibles que reduzcan su impacto ambiental, particularmente en cuanto a la mitigación de emisiones de dióxido de carbono (CO₂). En este contexto, la biotecnología basada en microalgas surge como una solución prometedora. Gracias a su alta eficiencia fotosintética,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(espirulina) permite capturar CO₂ atmosférico y transformarlo en biomasa con aplicaciones de alto valor comercial, contribuyendo así a la transición hacia una minería climáticamente responsable.</w:t>
      </w:r>
    </w:p>
    <w:p w14:paraId="7468647E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F7DA7D5">
          <v:rect id="_x0000_i1026" style="width:0;height:1.5pt" o:hralign="center" o:hrstd="t" o:hr="t" fillcolor="#a0a0a0" stroked="f"/>
        </w:pict>
      </w:r>
    </w:p>
    <w:p w14:paraId="63E43347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2. Objetivo</w:t>
      </w:r>
    </w:p>
    <w:p w14:paraId="44900E39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Evaluar la viabilidad técnica y económica de utilizar cultivos controlados de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como estrategia de captura biológica de CO₂ en entornos mineros, generando simultáneamente productos comercializables de alto valor como suplementos proteicos, biofertilizantes y pigmentos naturales.</w:t>
      </w:r>
    </w:p>
    <w:p w14:paraId="657E7BF8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29C4BBA">
          <v:rect id="_x0000_i1027" style="width:0;height:1.5pt" o:hralign="center" o:hrstd="t" o:hr="t" fillcolor="#a0a0a0" stroked="f"/>
        </w:pict>
      </w:r>
    </w:p>
    <w:p w14:paraId="4066BC13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 Metodología</w:t>
      </w:r>
    </w:p>
    <w:p w14:paraId="4049FCB8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 implementó un sistema de cultivo en estanques abiertos tipo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raceway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pond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una superficie total de 70 m² (20 metros de largo por 3.5 metros de ancho), utilizando agua y condiciones controladas de agitación, iluminación y nutrientes. Durante un periodo experimental de 31 días en septiembre de 2024, se midieron los indicadores de crecimiento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biomásico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tasa de captura de CO₂ y calidad nutricional de la biomasa final.</w:t>
      </w:r>
    </w:p>
    <w:p w14:paraId="7170F42F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1120500">
          <v:rect id="_x0000_i1028" style="width:0;height:1.5pt" o:hralign="center" o:hrstd="t" o:hr="t" fillcolor="#a0a0a0" stroked="f"/>
        </w:pict>
      </w:r>
    </w:p>
    <w:p w14:paraId="1554AB02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4. Resultados</w:t>
      </w:r>
    </w:p>
    <w:p w14:paraId="6C312FFC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La producción alcanzó los 25 kg de biomasa deshidratada de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con un costo de producción de $8 por kilogramo. Por cada kilogramo de biomasa producida, se capturaron aproximadamente 1.8 kg de CO₂ a través de fotosíntesis. La biomasa presentó un contenido proteico del 67% y un nivel de nitrógeno de 108.37 mg/g, confirmando su potencial como producto de alto valor para aplicaciones industriales. Estos resultados evidencian la eficiencia del sistema en convertir emisiones contaminantes en recursos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bioeconómicos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360AC298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B569017">
          <v:rect id="_x0000_i1029" style="width:0;height:1.5pt" o:hralign="center" o:hrstd="t" o:hr="t" fillcolor="#a0a0a0" stroked="f"/>
        </w:pict>
      </w:r>
    </w:p>
    <w:p w14:paraId="55D8185C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5. Conclusiones y recomendaciones</w:t>
      </w:r>
    </w:p>
    <w:p w14:paraId="5E2B64C6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captura biológica de CO₂ mediante cultivos de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representa una solución viable y replicable para operaciones mineras comprometidas con la sostenibilidad. Su implementación no solo contribuye a la mitigación del cambio climático, sino que además permite generar productos con alto valor en el mercado. Se recomienda su integración en planes de responsabilidad ambiental, cierre de minas y modelos de economía circular en minería.</w:t>
      </w:r>
    </w:p>
    <w:p w14:paraId="41C5FA96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2E299F2">
          <v:rect id="_x0000_i1030" style="width:0;height:1.5pt" o:hralign="center" o:hrstd="t" o:hr="t" fillcolor="#a0a0a0" stroked="f"/>
        </w:pict>
      </w:r>
    </w:p>
    <w:p w14:paraId="632B3397" w14:textId="47228297" w:rsidR="00B622BD" w:rsidRPr="00B622BD" w:rsidRDefault="00B622BD" w:rsidP="00B62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Reseña Profesional del Autor</w:t>
      </w:r>
    </w:p>
    <w:p w14:paraId="0B6725AA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Yamir </w:t>
      </w:r>
      <w:proofErr w:type="spellStart"/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Angelo</w:t>
      </w:r>
      <w:proofErr w:type="spellEnd"/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Velazco Arenas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Ingeniero Ambiental y Gerente de Innovación y Sostenibilidad en VIERDES SAC. Ganador nacional del PERUMIN </w:t>
      </w:r>
      <w:proofErr w:type="gram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Hub</w:t>
      </w:r>
      <w:proofErr w:type="gram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– Jóvenes que Transforman. Especialista en biotecnología ambiental, captura de carbono, y diseño de sistemas de producción con microalgas aplicados al sector minero. Lidera iniciativas de economía circular y sostenibilidad en contextos urbanos y extractivos.</w:t>
      </w:r>
    </w:p>
    <w:p w14:paraId="3B0063B3" w14:textId="77777777" w:rsidR="007D7C28" w:rsidRDefault="007D7C28"/>
    <w:sectPr w:rsidR="007D7C28" w:rsidSect="00755606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0DAE"/>
    <w:multiLevelType w:val="multilevel"/>
    <w:tmpl w:val="FC6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7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28"/>
    <w:rsid w:val="00276C83"/>
    <w:rsid w:val="004A0646"/>
    <w:rsid w:val="00657428"/>
    <w:rsid w:val="006A09B7"/>
    <w:rsid w:val="00755606"/>
    <w:rsid w:val="007D7C28"/>
    <w:rsid w:val="009A1FB8"/>
    <w:rsid w:val="00B6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69F12"/>
  <w15:chartTrackingRefBased/>
  <w15:docId w15:val="{A82F755C-AFF4-46AD-94A5-42FD71D5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C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C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C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C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C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C28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7D7C28"/>
    <w:rPr>
      <w:b/>
      <w:bCs/>
    </w:rPr>
  </w:style>
  <w:style w:type="character" w:styleId="nfasis">
    <w:name w:val="Emphasis"/>
    <w:basedOn w:val="Fuentedeprrafopredeter"/>
    <w:uiPriority w:val="20"/>
    <w:qFormat/>
    <w:rsid w:val="007D7C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0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487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Velazco</dc:creator>
  <cp:keywords/>
  <dc:description/>
  <cp:lastModifiedBy>Yamir Velazco</cp:lastModifiedBy>
  <cp:revision>2</cp:revision>
  <dcterms:created xsi:type="dcterms:W3CDTF">2025-04-19T15:33:00Z</dcterms:created>
  <dcterms:modified xsi:type="dcterms:W3CDTF">2025-04-19T16:25:00Z</dcterms:modified>
</cp:coreProperties>
</file>