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61C3D" w14:textId="77777777" w:rsidR="00E1458C" w:rsidRPr="00E1458C" w:rsidRDefault="00E1458C" w:rsidP="00E1458C">
      <w:pPr>
        <w:pStyle w:val="Encabezado"/>
        <w:jc w:val="center"/>
        <w:rPr>
          <w:rFonts w:ascii="Arial" w:hAnsi="Arial" w:cs="Arial"/>
        </w:rPr>
      </w:pPr>
      <w:r w:rsidRPr="00E1458C">
        <w:rPr>
          <w:rFonts w:ascii="Arial" w:hAnsi="Arial" w:cs="Arial"/>
          <w:b/>
          <w:bCs/>
        </w:rPr>
        <w:t>PERUMIN 37 Convención Minera</w:t>
      </w:r>
    </w:p>
    <w:p w14:paraId="26B6067C" w14:textId="77777777" w:rsidR="00E1458C" w:rsidRPr="00E1458C" w:rsidRDefault="00E1458C" w:rsidP="00E1458C">
      <w:pPr>
        <w:pStyle w:val="Encabezado"/>
        <w:jc w:val="center"/>
        <w:rPr>
          <w:rFonts w:ascii="Arial" w:hAnsi="Arial" w:cs="Arial"/>
        </w:rPr>
      </w:pPr>
      <w:r w:rsidRPr="00E1458C">
        <w:rPr>
          <w:rFonts w:ascii="Arial" w:hAnsi="Arial" w:cs="Arial"/>
          <w:b/>
          <w:bCs/>
        </w:rPr>
        <w:t>Arequipa, 22 – 26 de setiembre, 2025</w:t>
      </w:r>
    </w:p>
    <w:p w14:paraId="7980F56C" w14:textId="77777777" w:rsidR="00E1458C" w:rsidRPr="006B482A" w:rsidRDefault="00E1458C" w:rsidP="00E1458C">
      <w:pPr>
        <w:pStyle w:val="Encabezado"/>
        <w:jc w:val="center"/>
        <w:rPr>
          <w:rFonts w:ascii="Arial" w:hAnsi="Arial" w:cs="Arial"/>
          <w:b/>
          <w:bCs/>
        </w:rPr>
      </w:pPr>
    </w:p>
    <w:p w14:paraId="302390F9" w14:textId="0023D3CC" w:rsidR="00E1458C" w:rsidRPr="00E1458C" w:rsidRDefault="00E1458C" w:rsidP="00E1458C">
      <w:pPr>
        <w:pStyle w:val="Encabezado"/>
        <w:jc w:val="center"/>
        <w:rPr>
          <w:rFonts w:ascii="Arial" w:hAnsi="Arial" w:cs="Arial"/>
        </w:rPr>
      </w:pPr>
      <w:r w:rsidRPr="00E1458C">
        <w:rPr>
          <w:rFonts w:ascii="Arial" w:hAnsi="Arial" w:cs="Arial"/>
          <w:b/>
          <w:bCs/>
        </w:rPr>
        <w:t>FORO DE TECNOLOGÍA, INNOVACIÓN Y SOSTENIBILIDAD</w:t>
      </w:r>
    </w:p>
    <w:p w14:paraId="5F7D76B3" w14:textId="77777777" w:rsidR="00E1458C" w:rsidRPr="00E1458C" w:rsidRDefault="00E1458C" w:rsidP="00E1458C">
      <w:pPr>
        <w:pStyle w:val="Encabezado"/>
        <w:jc w:val="center"/>
        <w:rPr>
          <w:rFonts w:ascii="Arial" w:hAnsi="Arial" w:cs="Arial"/>
        </w:rPr>
      </w:pPr>
      <w:r w:rsidRPr="00E1458C">
        <w:rPr>
          <w:rFonts w:ascii="Arial" w:hAnsi="Arial" w:cs="Arial"/>
          <w:b/>
          <w:bCs/>
        </w:rPr>
        <w:t>CONVOCATORIA DE TRABAJOS TÉCNICOS</w:t>
      </w:r>
    </w:p>
    <w:p w14:paraId="6B3F8D7D" w14:textId="77777777" w:rsidR="00E1458C" w:rsidRPr="006B482A" w:rsidRDefault="00E1458C" w:rsidP="00E1458C">
      <w:pPr>
        <w:pStyle w:val="Encabezado"/>
        <w:jc w:val="center"/>
        <w:rPr>
          <w:rFonts w:ascii="Arial" w:hAnsi="Arial" w:cs="Arial"/>
        </w:rPr>
      </w:pPr>
      <w:r w:rsidRPr="006B482A">
        <w:rPr>
          <w:rFonts w:ascii="Arial" w:hAnsi="Arial" w:cs="Arial"/>
          <w:b/>
          <w:bCs/>
        </w:rPr>
        <w:t>PREMIO NACIONAL DE MINERÍA</w:t>
      </w:r>
    </w:p>
    <w:p w14:paraId="3117EA22" w14:textId="77777777" w:rsidR="00E1458C" w:rsidRPr="006B482A" w:rsidRDefault="00E1458C" w:rsidP="00E1458C">
      <w:pPr>
        <w:rPr>
          <w:rFonts w:ascii="Arial" w:hAnsi="Arial" w:cs="Arial"/>
        </w:rPr>
      </w:pPr>
    </w:p>
    <w:p w14:paraId="3DB9F2EA" w14:textId="78CF41D9" w:rsidR="00F47992" w:rsidRPr="006B482A" w:rsidRDefault="00E1458C" w:rsidP="00F47992">
      <w:pPr>
        <w:ind w:left="1416" w:hanging="1416"/>
        <w:jc w:val="both"/>
        <w:rPr>
          <w:rFonts w:ascii="Arial" w:hAnsi="Arial" w:cs="Arial"/>
        </w:rPr>
      </w:pPr>
      <w:r w:rsidRPr="006B482A">
        <w:rPr>
          <w:rFonts w:ascii="Arial" w:hAnsi="Arial" w:cs="Arial"/>
          <w:b/>
          <w:bCs/>
        </w:rPr>
        <w:t>Título:</w:t>
      </w:r>
      <w:r w:rsidRPr="006B482A">
        <w:rPr>
          <w:rFonts w:ascii="Arial" w:hAnsi="Arial" w:cs="Arial"/>
          <w:b/>
          <w:bCs/>
        </w:rPr>
        <w:tab/>
      </w:r>
      <w:r w:rsidR="00F47992" w:rsidRPr="006B482A">
        <w:rPr>
          <w:rFonts w:ascii="Arial" w:hAnsi="Arial" w:cs="Arial"/>
        </w:rPr>
        <w:t xml:space="preserve">IMPLEMENTACIÓN DE LOS CONTROLES OPEATIVOS EN LAS PRESA DE </w:t>
      </w:r>
      <w:r w:rsidR="006B482A" w:rsidRPr="006B482A">
        <w:rPr>
          <w:rFonts w:ascii="Arial" w:hAnsi="Arial" w:cs="Arial"/>
        </w:rPr>
        <w:t>RELAVES:</w:t>
      </w:r>
      <w:r w:rsidR="00F47992" w:rsidRPr="006B482A">
        <w:rPr>
          <w:rFonts w:ascii="Arial" w:hAnsi="Arial" w:cs="Arial"/>
        </w:rPr>
        <w:t xml:space="preserve"> PLATAFORMA SISGEO</w:t>
      </w:r>
    </w:p>
    <w:p w14:paraId="4C4EB8FD" w14:textId="39FD48B2" w:rsidR="00E1458C" w:rsidRPr="006B482A" w:rsidRDefault="00E1458C" w:rsidP="00F47992">
      <w:pPr>
        <w:ind w:left="1416" w:hanging="1416"/>
        <w:jc w:val="both"/>
        <w:rPr>
          <w:rFonts w:ascii="Arial" w:hAnsi="Arial" w:cs="Arial"/>
          <w:b/>
          <w:bCs/>
        </w:rPr>
      </w:pPr>
      <w:r w:rsidRPr="006B482A">
        <w:rPr>
          <w:rFonts w:ascii="Arial" w:hAnsi="Arial" w:cs="Arial"/>
          <w:b/>
          <w:bCs/>
        </w:rPr>
        <w:t>Categoría:</w:t>
      </w:r>
      <w:r w:rsidRPr="006B482A">
        <w:rPr>
          <w:rFonts w:ascii="Arial" w:hAnsi="Arial" w:cs="Arial"/>
          <w:b/>
          <w:bCs/>
        </w:rPr>
        <w:tab/>
      </w:r>
      <w:r w:rsidR="00F47992" w:rsidRPr="006B482A">
        <w:rPr>
          <w:rFonts w:ascii="Arial" w:hAnsi="Arial" w:cs="Arial"/>
        </w:rPr>
        <w:t>Minería 4.0</w:t>
      </w:r>
      <w:r w:rsidRPr="006B482A">
        <w:rPr>
          <w:rFonts w:ascii="Arial" w:hAnsi="Arial" w:cs="Arial"/>
          <w:b/>
          <w:bCs/>
        </w:rPr>
        <w:tab/>
      </w:r>
    </w:p>
    <w:p w14:paraId="63908CA5" w14:textId="3DBB91B5" w:rsidR="00E1458C" w:rsidRPr="006B482A" w:rsidRDefault="00E1458C" w:rsidP="00E1458C">
      <w:pPr>
        <w:rPr>
          <w:rFonts w:ascii="Arial" w:hAnsi="Arial" w:cs="Arial"/>
          <w:b/>
          <w:bCs/>
        </w:rPr>
      </w:pPr>
      <w:r w:rsidRPr="006B482A">
        <w:rPr>
          <w:rFonts w:ascii="Arial" w:hAnsi="Arial" w:cs="Arial"/>
          <w:b/>
          <w:bCs/>
        </w:rPr>
        <w:t>Datos del autor y coautor:</w:t>
      </w:r>
    </w:p>
    <w:p w14:paraId="7F94A29D" w14:textId="4414ABC9" w:rsidR="006B482A" w:rsidRPr="006B482A" w:rsidRDefault="006B482A" w:rsidP="006B482A">
      <w:pPr>
        <w:pStyle w:val="Prrafodelista"/>
        <w:spacing w:after="0" w:line="360" w:lineRule="auto"/>
        <w:ind w:left="1416"/>
        <w:jc w:val="both"/>
        <w:rPr>
          <w:rFonts w:ascii="Arial" w:hAnsi="Arial" w:cs="Arial"/>
        </w:rPr>
      </w:pPr>
      <w:r w:rsidRPr="006B482A">
        <w:rPr>
          <w:rFonts w:ascii="Arial" w:hAnsi="Arial" w:cs="Arial"/>
        </w:rPr>
        <w:t xml:space="preserve">Dayana </w:t>
      </w:r>
      <w:proofErr w:type="spellStart"/>
      <w:r w:rsidRPr="006B482A">
        <w:rPr>
          <w:rFonts w:ascii="Arial" w:hAnsi="Arial" w:cs="Arial"/>
        </w:rPr>
        <w:t>Seyla</w:t>
      </w:r>
      <w:proofErr w:type="spellEnd"/>
      <w:r w:rsidRPr="006B482A">
        <w:rPr>
          <w:rFonts w:ascii="Arial" w:hAnsi="Arial" w:cs="Arial"/>
        </w:rPr>
        <w:t xml:space="preserve"> Duran Cárdenas, </w:t>
      </w:r>
      <w:proofErr w:type="gramStart"/>
      <w:r w:rsidRPr="006B482A">
        <w:rPr>
          <w:rFonts w:ascii="Arial" w:hAnsi="Arial" w:cs="Arial"/>
        </w:rPr>
        <w:t>Jefe</w:t>
      </w:r>
      <w:proofErr w:type="gramEnd"/>
      <w:r w:rsidRPr="006B482A">
        <w:rPr>
          <w:rFonts w:ascii="Arial" w:hAnsi="Arial" w:cs="Arial"/>
        </w:rPr>
        <w:t xml:space="preserve"> de Geotecnia de Compañía de Minas Buenaventura, </w:t>
      </w:r>
      <w:hyperlink r:id="rId7" w:history="1">
        <w:r w:rsidRPr="006B482A">
          <w:rPr>
            <w:rStyle w:val="Hipervnculo"/>
            <w:rFonts w:ascii="Arial" w:hAnsi="Arial" w:cs="Arial"/>
          </w:rPr>
          <w:t>dayana.duran@buenaventura.pe</w:t>
        </w:r>
      </w:hyperlink>
      <w:r w:rsidRPr="006B482A">
        <w:rPr>
          <w:rFonts w:ascii="Arial" w:hAnsi="Arial" w:cs="Arial"/>
        </w:rPr>
        <w:t>. 951930792</w:t>
      </w:r>
    </w:p>
    <w:p w14:paraId="07391AAE" w14:textId="042F5002" w:rsidR="00E1458C" w:rsidRPr="006B482A" w:rsidRDefault="00E1458C" w:rsidP="00E1458C">
      <w:pPr>
        <w:rPr>
          <w:rFonts w:ascii="Arial" w:hAnsi="Arial" w:cs="Arial"/>
        </w:rPr>
      </w:pPr>
    </w:p>
    <w:p w14:paraId="62955C0E" w14:textId="77777777" w:rsidR="006B482A" w:rsidRPr="006B482A" w:rsidRDefault="006B482A" w:rsidP="006B482A">
      <w:pPr>
        <w:jc w:val="both"/>
        <w:rPr>
          <w:rFonts w:ascii="Arial" w:hAnsi="Arial" w:cs="Arial"/>
        </w:rPr>
      </w:pPr>
      <w:r w:rsidRPr="006B482A">
        <w:rPr>
          <w:rFonts w:ascii="Arial" w:hAnsi="Arial" w:cs="Arial"/>
        </w:rPr>
        <w:t>La gestión segura de presas de relaves es un aspecto fundamental en la operación minera moderna, y exige el uso de sistemas de monitoreo avanzados que permitan una supervisión continua del comportamiento geotécnico de estas estructuras. En este contexto, la plataforma SISGEO se posiciona como una solución integral para la implementación de controles operativos, al facilitar la recopilación, análisis y visualización de datos en tiempo real.</w:t>
      </w:r>
    </w:p>
    <w:p w14:paraId="16F97C86" w14:textId="77777777" w:rsidR="006B482A" w:rsidRPr="006B482A" w:rsidRDefault="006B482A" w:rsidP="006B482A">
      <w:pPr>
        <w:jc w:val="both"/>
        <w:rPr>
          <w:rFonts w:ascii="Arial" w:hAnsi="Arial" w:cs="Arial"/>
        </w:rPr>
      </w:pPr>
      <w:r w:rsidRPr="006B482A">
        <w:rPr>
          <w:rFonts w:ascii="Arial" w:hAnsi="Arial" w:cs="Arial"/>
        </w:rPr>
        <w:t>SISGEO es una plataforma especializada en instrumentación geotécnica y estructural, que integra sensores de alta precisión, sistemas de adquisición de datos y software especializado para el procesamiento e interpretación de información crítica. Su aplicación en presas de relaves permite detectar variaciones en la estabilidad, monitorear niveles piezométricos y presiones intersticiales, evaluar desplazamientos laterales y asentamientos verticales, así como emitir alertas tempranas ante posibles fallas o condiciones de riesgo.</w:t>
      </w:r>
    </w:p>
    <w:p w14:paraId="7C2AE8AF" w14:textId="77777777" w:rsidR="006B482A" w:rsidRPr="006B482A" w:rsidRDefault="006B482A" w:rsidP="006B482A">
      <w:pPr>
        <w:jc w:val="both"/>
        <w:rPr>
          <w:rFonts w:ascii="Arial" w:hAnsi="Arial" w:cs="Arial"/>
        </w:rPr>
      </w:pPr>
      <w:r w:rsidRPr="006B482A">
        <w:rPr>
          <w:rFonts w:ascii="Arial" w:hAnsi="Arial" w:cs="Arial"/>
        </w:rPr>
        <w:t xml:space="preserve">La plataforma recopila datos provenientes de instrumentos como inclinómetros y piezómetros de cuerda vibrante, entre otros, instalados estratégicamente en cada componente de la presa. Estos datos son transmitidos en tiempo real mediante data </w:t>
      </w:r>
      <w:proofErr w:type="spellStart"/>
      <w:r w:rsidRPr="006B482A">
        <w:rPr>
          <w:rFonts w:ascii="Arial" w:hAnsi="Arial" w:cs="Arial"/>
        </w:rPr>
        <w:t>loggers</w:t>
      </w:r>
      <w:proofErr w:type="spellEnd"/>
      <w:r w:rsidRPr="006B482A">
        <w:rPr>
          <w:rFonts w:ascii="Arial" w:hAnsi="Arial" w:cs="Arial"/>
        </w:rPr>
        <w:t xml:space="preserve"> automáticos, conectados a redes inalámbricas o por cable, hacia el software especializado o, en versiones más modernas, al entorno web </w:t>
      </w:r>
      <w:proofErr w:type="spellStart"/>
      <w:r w:rsidRPr="006B482A">
        <w:rPr>
          <w:rFonts w:ascii="Arial" w:hAnsi="Arial" w:cs="Arial"/>
          <w:b/>
          <w:bCs/>
        </w:rPr>
        <w:t>daSig</w:t>
      </w:r>
      <w:proofErr w:type="spellEnd"/>
      <w:r w:rsidRPr="006B482A">
        <w:rPr>
          <w:rFonts w:ascii="Arial" w:hAnsi="Arial" w:cs="Arial"/>
        </w:rPr>
        <w:t xml:space="preserve">. Este sistema permite la visualización gráfica de información mediante </w:t>
      </w:r>
      <w:proofErr w:type="spellStart"/>
      <w:r w:rsidRPr="006B482A">
        <w:rPr>
          <w:rFonts w:ascii="Arial" w:hAnsi="Arial" w:cs="Arial"/>
        </w:rPr>
        <w:t>dashboards</w:t>
      </w:r>
      <w:proofErr w:type="spellEnd"/>
      <w:r w:rsidRPr="006B482A">
        <w:rPr>
          <w:rFonts w:ascii="Arial" w:hAnsi="Arial" w:cs="Arial"/>
        </w:rPr>
        <w:t xml:space="preserve"> configurables, la generación automática de reportes y alarmas, y su integración con sistemas SCADA u otras plataformas operativas.</w:t>
      </w:r>
    </w:p>
    <w:p w14:paraId="152D70C5" w14:textId="77777777" w:rsidR="006B482A" w:rsidRPr="006B482A" w:rsidRDefault="006B482A" w:rsidP="006B482A">
      <w:pPr>
        <w:jc w:val="both"/>
        <w:rPr>
          <w:rFonts w:ascii="Arial" w:hAnsi="Arial" w:cs="Arial"/>
        </w:rPr>
      </w:pPr>
      <w:r w:rsidRPr="006B482A">
        <w:rPr>
          <w:rFonts w:ascii="Arial" w:hAnsi="Arial" w:cs="Arial"/>
        </w:rPr>
        <w:t>La implementación de estos controles operativos involucra: el diseño geotécnico del sistema de monitoreo (ubicación y tipo de sensores), la instalación especializada de los instrumentos, las pruebas de funcionamiento del sistema de adquisición, y la capacitación del personal técnico en el uso de la plataforma.</w:t>
      </w:r>
    </w:p>
    <w:p w14:paraId="0B4BFE53" w14:textId="77777777" w:rsidR="006B482A" w:rsidRPr="006B482A" w:rsidRDefault="006B482A" w:rsidP="006B482A">
      <w:pPr>
        <w:jc w:val="both"/>
        <w:rPr>
          <w:rFonts w:ascii="Arial" w:hAnsi="Arial" w:cs="Arial"/>
        </w:rPr>
      </w:pPr>
      <w:r w:rsidRPr="006B482A">
        <w:rPr>
          <w:rFonts w:ascii="Arial" w:hAnsi="Arial" w:cs="Arial"/>
        </w:rPr>
        <w:t>Entre los principales beneficios se destacan: la mejora en la capacidad de respuesta ante eventos críticos, la trazabilidad y respaldo de la información para auditorías y cumplimiento normativo, la optimización del mantenimiento predictivo de la presa, y el fortalecimiento de una cultura preventiva y de gestión del riesgo.</w:t>
      </w:r>
    </w:p>
    <w:p w14:paraId="20F301A1" w14:textId="77777777" w:rsidR="006B482A" w:rsidRPr="006B482A" w:rsidRDefault="006B482A" w:rsidP="006B482A">
      <w:pPr>
        <w:jc w:val="both"/>
        <w:rPr>
          <w:rFonts w:ascii="Arial" w:hAnsi="Arial" w:cs="Arial"/>
        </w:rPr>
      </w:pPr>
    </w:p>
    <w:p w14:paraId="5307226B" w14:textId="77777777" w:rsidR="006B482A" w:rsidRPr="006B482A" w:rsidRDefault="006B482A" w:rsidP="006B482A">
      <w:pPr>
        <w:rPr>
          <w:rFonts w:ascii="Arial" w:hAnsi="Arial" w:cs="Arial"/>
          <w:b/>
          <w:bCs/>
        </w:rPr>
      </w:pPr>
      <w:r w:rsidRPr="006B482A">
        <w:rPr>
          <w:rFonts w:ascii="Arial" w:hAnsi="Arial" w:cs="Arial"/>
          <w:b/>
          <w:bCs/>
        </w:rPr>
        <w:t>Conclusiones</w:t>
      </w:r>
    </w:p>
    <w:p w14:paraId="53C0495F" w14:textId="77777777" w:rsidR="006B482A" w:rsidRPr="006B482A" w:rsidRDefault="006B482A" w:rsidP="006B482A">
      <w:pPr>
        <w:jc w:val="both"/>
        <w:rPr>
          <w:rFonts w:ascii="Arial" w:hAnsi="Arial" w:cs="Arial"/>
        </w:rPr>
      </w:pPr>
      <w:r w:rsidRPr="006B482A">
        <w:rPr>
          <w:rFonts w:ascii="Arial" w:hAnsi="Arial" w:cs="Arial"/>
        </w:rPr>
        <w:t>La implementación del sistema de monitoreo operativo con la plataforma SISGEO ha demostrado ser una herramienta eficiente y robusta para la gestión integral de la estabilidad de presas de relaves. Su capacidad de integración de datos, generación de alertas y adaptabilidad a diferentes condiciones geotécnicas la convierten en un aliado estratégico para la minería segura y sostenible.</w:t>
      </w:r>
    </w:p>
    <w:p w14:paraId="18CEDD29" w14:textId="77777777" w:rsidR="006B482A" w:rsidRPr="006B482A" w:rsidRDefault="006B482A" w:rsidP="006B482A">
      <w:pPr>
        <w:jc w:val="both"/>
        <w:rPr>
          <w:rFonts w:ascii="Arial" w:hAnsi="Arial" w:cs="Arial"/>
        </w:rPr>
      </w:pPr>
    </w:p>
    <w:sectPr w:rsidR="006B482A" w:rsidRPr="006B482A">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8E4F5" w14:textId="77777777" w:rsidR="00485F03" w:rsidRDefault="00485F03" w:rsidP="00E1458C">
      <w:pPr>
        <w:spacing w:after="0" w:line="240" w:lineRule="auto"/>
      </w:pPr>
      <w:r>
        <w:separator/>
      </w:r>
    </w:p>
  </w:endnote>
  <w:endnote w:type="continuationSeparator" w:id="0">
    <w:p w14:paraId="31DB4A69" w14:textId="77777777" w:rsidR="00485F03" w:rsidRDefault="00485F03" w:rsidP="00E14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1374C" w14:textId="77777777" w:rsidR="00485F03" w:rsidRDefault="00485F03" w:rsidP="00E1458C">
      <w:pPr>
        <w:spacing w:after="0" w:line="240" w:lineRule="auto"/>
      </w:pPr>
      <w:r>
        <w:separator/>
      </w:r>
    </w:p>
  </w:footnote>
  <w:footnote w:type="continuationSeparator" w:id="0">
    <w:p w14:paraId="78A4BF92" w14:textId="77777777" w:rsidR="00485F03" w:rsidRDefault="00485F03" w:rsidP="00E14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CEA5" w14:textId="632FEDB4" w:rsidR="00E1458C" w:rsidRDefault="00E1458C">
    <w:pPr>
      <w:pStyle w:val="Encabezado"/>
    </w:pPr>
    <w:r w:rsidRPr="00E1458C">
      <w:drawing>
        <wp:inline distT="0" distB="0" distL="0" distR="0" wp14:anchorId="0B26FF9B" wp14:editId="645BE08C">
          <wp:extent cx="1739989" cy="463574"/>
          <wp:effectExtent l="0" t="0" r="0" b="0"/>
          <wp:docPr id="2859104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0439" name="Imagen 1" descr="Texto&#10;&#10;El contenido generado por IA puede ser incorrecto."/>
                  <pic:cNvPicPr/>
                </pic:nvPicPr>
                <pic:blipFill>
                  <a:blip r:embed="rId1"/>
                  <a:stretch>
                    <a:fillRect/>
                  </a:stretch>
                </pic:blipFill>
                <pic:spPr>
                  <a:xfrm>
                    <a:off x="0" y="0"/>
                    <a:ext cx="1739989" cy="463574"/>
                  </a:xfrm>
                  <a:prstGeom prst="rect">
                    <a:avLst/>
                  </a:prstGeom>
                </pic:spPr>
              </pic:pic>
            </a:graphicData>
          </a:graphic>
        </wp:inline>
      </w:drawing>
    </w:r>
    <w:r>
      <w:tab/>
    </w:r>
    <w:r>
      <w:tab/>
    </w:r>
    <w:r w:rsidRPr="00E1458C">
      <w:drawing>
        <wp:inline distT="0" distB="0" distL="0" distR="0" wp14:anchorId="40BF0388" wp14:editId="7EB33A31">
          <wp:extent cx="1320868" cy="482625"/>
          <wp:effectExtent l="0" t="0" r="0" b="0"/>
          <wp:docPr id="4531043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04382" name="Imagen 1" descr="Texto&#10;&#10;El contenido generado por IA puede ser incorrecto."/>
                  <pic:cNvPicPr/>
                </pic:nvPicPr>
                <pic:blipFill>
                  <a:blip r:embed="rId2"/>
                  <a:stretch>
                    <a:fillRect/>
                  </a:stretch>
                </pic:blipFill>
                <pic:spPr>
                  <a:xfrm>
                    <a:off x="0" y="0"/>
                    <a:ext cx="1320868" cy="482625"/>
                  </a:xfrm>
                  <a:prstGeom prst="rect">
                    <a:avLst/>
                  </a:prstGeom>
                </pic:spPr>
              </pic:pic>
            </a:graphicData>
          </a:graphic>
        </wp:inline>
      </w:drawing>
    </w:r>
  </w:p>
  <w:p w14:paraId="44A2AB3E" w14:textId="77777777" w:rsidR="00E1458C" w:rsidRDefault="00E1458C">
    <w:pPr>
      <w:pStyle w:val="Encabezado"/>
    </w:pPr>
  </w:p>
  <w:p w14:paraId="03464562" w14:textId="77777777" w:rsidR="00E1458C" w:rsidRPr="00E1458C" w:rsidRDefault="00E1458C" w:rsidP="00E145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E1BEC"/>
    <w:multiLevelType w:val="multilevel"/>
    <w:tmpl w:val="D51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45E7D"/>
    <w:multiLevelType w:val="hybridMultilevel"/>
    <w:tmpl w:val="9658339A"/>
    <w:lvl w:ilvl="0" w:tplc="6F86FFA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3337276">
    <w:abstractNumId w:val="1"/>
  </w:num>
  <w:num w:numId="2" w16cid:durableId="49789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3E"/>
    <w:rsid w:val="000B3BA9"/>
    <w:rsid w:val="000E3517"/>
    <w:rsid w:val="00165F58"/>
    <w:rsid w:val="001A15BE"/>
    <w:rsid w:val="001D0D4B"/>
    <w:rsid w:val="00200052"/>
    <w:rsid w:val="00234CC0"/>
    <w:rsid w:val="00294EB4"/>
    <w:rsid w:val="002C3E8C"/>
    <w:rsid w:val="002C7404"/>
    <w:rsid w:val="002F1E26"/>
    <w:rsid w:val="0030216E"/>
    <w:rsid w:val="003115B6"/>
    <w:rsid w:val="00334F30"/>
    <w:rsid w:val="0034291E"/>
    <w:rsid w:val="004624D2"/>
    <w:rsid w:val="00480CBF"/>
    <w:rsid w:val="00485F03"/>
    <w:rsid w:val="004E439C"/>
    <w:rsid w:val="00502A9D"/>
    <w:rsid w:val="005B3F03"/>
    <w:rsid w:val="005F7852"/>
    <w:rsid w:val="00652337"/>
    <w:rsid w:val="00673090"/>
    <w:rsid w:val="006B482A"/>
    <w:rsid w:val="006B65D9"/>
    <w:rsid w:val="00701F24"/>
    <w:rsid w:val="00704A81"/>
    <w:rsid w:val="00725C9D"/>
    <w:rsid w:val="007B7C0F"/>
    <w:rsid w:val="0081623F"/>
    <w:rsid w:val="00824FDF"/>
    <w:rsid w:val="00850943"/>
    <w:rsid w:val="00953F3E"/>
    <w:rsid w:val="00967948"/>
    <w:rsid w:val="009E6AF3"/>
    <w:rsid w:val="00A00B81"/>
    <w:rsid w:val="00A374B6"/>
    <w:rsid w:val="00AB5310"/>
    <w:rsid w:val="00B3015F"/>
    <w:rsid w:val="00B94597"/>
    <w:rsid w:val="00BE2ECE"/>
    <w:rsid w:val="00C141F0"/>
    <w:rsid w:val="00C64513"/>
    <w:rsid w:val="00D00629"/>
    <w:rsid w:val="00D37150"/>
    <w:rsid w:val="00D82A03"/>
    <w:rsid w:val="00E00216"/>
    <w:rsid w:val="00E03C6B"/>
    <w:rsid w:val="00E1458C"/>
    <w:rsid w:val="00E21E8E"/>
    <w:rsid w:val="00EE6DCF"/>
    <w:rsid w:val="00F47992"/>
    <w:rsid w:val="00FD29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DA824"/>
  <w15:chartTrackingRefBased/>
  <w15:docId w15:val="{6BBD7B03-8216-4A2D-B409-F7B573416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3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3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3F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3F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3F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3F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3F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3F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3F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3F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3F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3F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3F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3F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3F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3F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3F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3F3E"/>
    <w:rPr>
      <w:rFonts w:eastAsiaTheme="majorEastAsia" w:cstheme="majorBidi"/>
      <w:color w:val="272727" w:themeColor="text1" w:themeTint="D8"/>
    </w:rPr>
  </w:style>
  <w:style w:type="paragraph" w:styleId="Ttulo">
    <w:name w:val="Title"/>
    <w:basedOn w:val="Normal"/>
    <w:next w:val="Normal"/>
    <w:link w:val="TtuloCar"/>
    <w:uiPriority w:val="10"/>
    <w:qFormat/>
    <w:rsid w:val="00953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3F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3F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3F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3F3E"/>
    <w:pPr>
      <w:spacing w:before="160"/>
      <w:jc w:val="center"/>
    </w:pPr>
    <w:rPr>
      <w:i/>
      <w:iCs/>
      <w:color w:val="404040" w:themeColor="text1" w:themeTint="BF"/>
    </w:rPr>
  </w:style>
  <w:style w:type="character" w:customStyle="1" w:styleId="CitaCar">
    <w:name w:val="Cita Car"/>
    <w:basedOn w:val="Fuentedeprrafopredeter"/>
    <w:link w:val="Cita"/>
    <w:uiPriority w:val="29"/>
    <w:rsid w:val="00953F3E"/>
    <w:rPr>
      <w:i/>
      <w:iCs/>
      <w:color w:val="404040" w:themeColor="text1" w:themeTint="BF"/>
    </w:rPr>
  </w:style>
  <w:style w:type="paragraph" w:styleId="Prrafodelista">
    <w:name w:val="List Paragraph"/>
    <w:basedOn w:val="Normal"/>
    <w:uiPriority w:val="34"/>
    <w:qFormat/>
    <w:rsid w:val="00953F3E"/>
    <w:pPr>
      <w:ind w:left="720"/>
      <w:contextualSpacing/>
    </w:pPr>
  </w:style>
  <w:style w:type="character" w:styleId="nfasisintenso">
    <w:name w:val="Intense Emphasis"/>
    <w:basedOn w:val="Fuentedeprrafopredeter"/>
    <w:uiPriority w:val="21"/>
    <w:qFormat/>
    <w:rsid w:val="00953F3E"/>
    <w:rPr>
      <w:i/>
      <w:iCs/>
      <w:color w:val="0F4761" w:themeColor="accent1" w:themeShade="BF"/>
    </w:rPr>
  </w:style>
  <w:style w:type="paragraph" w:styleId="Citadestacada">
    <w:name w:val="Intense Quote"/>
    <w:basedOn w:val="Normal"/>
    <w:next w:val="Normal"/>
    <w:link w:val="CitadestacadaCar"/>
    <w:uiPriority w:val="30"/>
    <w:qFormat/>
    <w:rsid w:val="00953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3F3E"/>
    <w:rPr>
      <w:i/>
      <w:iCs/>
      <w:color w:val="0F4761" w:themeColor="accent1" w:themeShade="BF"/>
    </w:rPr>
  </w:style>
  <w:style w:type="character" w:styleId="Referenciaintensa">
    <w:name w:val="Intense Reference"/>
    <w:basedOn w:val="Fuentedeprrafopredeter"/>
    <w:uiPriority w:val="32"/>
    <w:qFormat/>
    <w:rsid w:val="00953F3E"/>
    <w:rPr>
      <w:b/>
      <w:bCs/>
      <w:smallCaps/>
      <w:color w:val="0F4761" w:themeColor="accent1" w:themeShade="BF"/>
      <w:spacing w:val="5"/>
    </w:rPr>
  </w:style>
  <w:style w:type="character" w:styleId="Hipervnculo">
    <w:name w:val="Hyperlink"/>
    <w:basedOn w:val="Fuentedeprrafopredeter"/>
    <w:uiPriority w:val="99"/>
    <w:unhideWhenUsed/>
    <w:rsid w:val="005B3F03"/>
    <w:rPr>
      <w:color w:val="467886" w:themeColor="hyperlink"/>
      <w:u w:val="single"/>
    </w:rPr>
  </w:style>
  <w:style w:type="character" w:styleId="Mencinsinresolver">
    <w:name w:val="Unresolved Mention"/>
    <w:basedOn w:val="Fuentedeprrafopredeter"/>
    <w:uiPriority w:val="99"/>
    <w:semiHidden/>
    <w:unhideWhenUsed/>
    <w:rsid w:val="005B3F03"/>
    <w:rPr>
      <w:color w:val="605E5C"/>
      <w:shd w:val="clear" w:color="auto" w:fill="E1DFDD"/>
    </w:rPr>
  </w:style>
  <w:style w:type="paragraph" w:styleId="Encabezado">
    <w:name w:val="header"/>
    <w:basedOn w:val="Normal"/>
    <w:link w:val="EncabezadoCar"/>
    <w:uiPriority w:val="99"/>
    <w:unhideWhenUsed/>
    <w:rsid w:val="00E145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458C"/>
  </w:style>
  <w:style w:type="paragraph" w:styleId="Piedepgina">
    <w:name w:val="footer"/>
    <w:basedOn w:val="Normal"/>
    <w:link w:val="PiedepginaCar"/>
    <w:uiPriority w:val="99"/>
    <w:unhideWhenUsed/>
    <w:rsid w:val="00E1458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4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403377">
      <w:bodyDiv w:val="1"/>
      <w:marLeft w:val="0"/>
      <w:marRight w:val="0"/>
      <w:marTop w:val="0"/>
      <w:marBottom w:val="0"/>
      <w:divBdr>
        <w:top w:val="none" w:sz="0" w:space="0" w:color="auto"/>
        <w:left w:val="none" w:sz="0" w:space="0" w:color="auto"/>
        <w:bottom w:val="none" w:sz="0" w:space="0" w:color="auto"/>
        <w:right w:val="none" w:sz="0" w:space="0" w:color="auto"/>
      </w:divBdr>
    </w:div>
    <w:div w:id="164661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ayana.duran@buenaventura.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478</Words>
  <Characters>2634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Díaz</dc:creator>
  <cp:keywords/>
  <dc:description/>
  <cp:lastModifiedBy>Dayana Duran</cp:lastModifiedBy>
  <cp:revision>3</cp:revision>
  <dcterms:created xsi:type="dcterms:W3CDTF">2025-05-14T17:23:00Z</dcterms:created>
  <dcterms:modified xsi:type="dcterms:W3CDTF">2025-05-14T17:27:00Z</dcterms:modified>
</cp:coreProperties>
</file>