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9AC3" w14:textId="77777777" w:rsidR="00177DD3" w:rsidRPr="00177DD3" w:rsidRDefault="00177DD3" w:rsidP="00177DD3">
      <w:pPr>
        <w:spacing w:line="360" w:lineRule="auto"/>
        <w:jc w:val="center"/>
        <w:rPr>
          <w:rFonts w:ascii="Arial" w:hAnsi="Arial" w:cs="Arial"/>
          <w:b/>
          <w:bCs/>
          <w:lang w:val="en-US"/>
        </w:rPr>
      </w:pPr>
      <w:r w:rsidRPr="00177DD3">
        <w:rPr>
          <w:rFonts w:ascii="Arial" w:hAnsi="Arial" w:cs="Arial"/>
          <w:b/>
          <w:bCs/>
          <w:lang w:val="en-US"/>
        </w:rPr>
        <w:t>MATHEMATICAL MODEL FOR THE OPTIMIZATION OF CAPEX AND OPEX IN THE PRODUCTION AND STORAGE OF GREEN HYDROGEN FOR MINING OPERATIONS</w:t>
      </w:r>
    </w:p>
    <w:p w14:paraId="3FC902C5" w14:textId="40CF6AB6" w:rsidR="003B7DBC" w:rsidRPr="00032F2C" w:rsidRDefault="00032F2C" w:rsidP="00177DD3">
      <w:pPr>
        <w:spacing w:line="240" w:lineRule="auto"/>
        <w:rPr>
          <w:rFonts w:ascii="Arial" w:hAnsi="Arial" w:cs="Arial"/>
        </w:rPr>
      </w:pPr>
      <w:r w:rsidRPr="00DD7A72">
        <w:rPr>
          <w:rFonts w:ascii="Arial" w:hAnsi="Arial" w:cs="Arial"/>
          <w:b/>
          <w:bCs/>
          <w:i/>
          <w:iCs/>
        </w:rPr>
        <w:t>Categoría</w:t>
      </w:r>
      <w:r w:rsidRPr="00032F2C">
        <w:rPr>
          <w:rFonts w:ascii="Arial" w:hAnsi="Arial" w:cs="Arial"/>
        </w:rPr>
        <w:t>: Regulación y E</w:t>
      </w:r>
      <w:r>
        <w:rPr>
          <w:rFonts w:ascii="Arial" w:hAnsi="Arial" w:cs="Arial"/>
        </w:rPr>
        <w:t>conomía Minera</w:t>
      </w:r>
    </w:p>
    <w:p w14:paraId="3EA88BA5" w14:textId="2103759B" w:rsidR="003B7DBC" w:rsidRPr="00032F2C" w:rsidRDefault="00032F2C" w:rsidP="00177DD3">
      <w:pPr>
        <w:spacing w:line="240" w:lineRule="auto"/>
        <w:rPr>
          <w:rFonts w:ascii="Arial" w:hAnsi="Arial" w:cs="Arial"/>
        </w:rPr>
      </w:pPr>
      <w:r w:rsidRPr="00DD7A72">
        <w:rPr>
          <w:rFonts w:ascii="Arial" w:hAnsi="Arial" w:cs="Arial"/>
          <w:b/>
          <w:bCs/>
          <w:i/>
          <w:iCs/>
        </w:rPr>
        <w:t>Tema</w:t>
      </w:r>
      <w:r>
        <w:rPr>
          <w:rFonts w:ascii="Arial" w:hAnsi="Arial" w:cs="Arial"/>
        </w:rPr>
        <w:t>: Impacto de la Transición Energética en la minería</w:t>
      </w:r>
    </w:p>
    <w:p w14:paraId="67FDED86" w14:textId="3EFE58FC" w:rsidR="00177DD3" w:rsidRPr="00032F2C" w:rsidRDefault="00177DD3" w:rsidP="00177DD3">
      <w:pPr>
        <w:spacing w:line="240" w:lineRule="auto"/>
        <w:rPr>
          <w:rFonts w:ascii="Arial" w:hAnsi="Arial" w:cs="Arial"/>
        </w:rPr>
      </w:pPr>
      <w:proofErr w:type="spellStart"/>
      <w:r w:rsidRPr="00DD7A72">
        <w:rPr>
          <w:rFonts w:ascii="Arial" w:hAnsi="Arial" w:cs="Arial"/>
          <w:b/>
          <w:bCs/>
          <w:i/>
          <w:iCs/>
        </w:rPr>
        <w:t>Author</w:t>
      </w:r>
      <w:proofErr w:type="spellEnd"/>
      <w:r w:rsidRPr="00032F2C">
        <w:rPr>
          <w:rFonts w:ascii="Arial" w:hAnsi="Arial" w:cs="Arial"/>
        </w:rPr>
        <w:t>: Hayro Anthony Pumalloclla Castilla</w:t>
      </w:r>
    </w:p>
    <w:p w14:paraId="138E20D9" w14:textId="77777777" w:rsidR="00177DD3" w:rsidRPr="00177DD3" w:rsidRDefault="00177DD3" w:rsidP="00177DD3">
      <w:pPr>
        <w:spacing w:line="240" w:lineRule="auto"/>
        <w:rPr>
          <w:rFonts w:ascii="Arial" w:hAnsi="Arial" w:cs="Arial"/>
          <w:lang w:val="en-US"/>
        </w:rPr>
      </w:pPr>
      <w:r w:rsidRPr="00DD7A72">
        <w:rPr>
          <w:rFonts w:ascii="Arial" w:hAnsi="Arial" w:cs="Arial"/>
          <w:b/>
          <w:bCs/>
          <w:i/>
          <w:iCs/>
          <w:lang w:val="en-US"/>
        </w:rPr>
        <w:t>Institution</w:t>
      </w:r>
      <w:r w:rsidRPr="00177DD3">
        <w:rPr>
          <w:rFonts w:ascii="Arial" w:hAnsi="Arial" w:cs="Arial"/>
          <w:lang w:val="en-US"/>
        </w:rPr>
        <w:t>: National University of San Antonio Abad of Cusco (UNSAAC)</w:t>
      </w:r>
    </w:p>
    <w:p w14:paraId="4E8EDF47" w14:textId="77777777" w:rsidR="00177DD3" w:rsidRPr="00177DD3" w:rsidRDefault="00177DD3" w:rsidP="00177DD3">
      <w:pPr>
        <w:spacing w:line="240" w:lineRule="auto"/>
        <w:rPr>
          <w:rFonts w:ascii="Arial" w:hAnsi="Arial" w:cs="Arial"/>
          <w:lang w:val="en-US"/>
        </w:rPr>
      </w:pPr>
      <w:r w:rsidRPr="00DD7A72">
        <w:rPr>
          <w:rFonts w:ascii="Arial" w:hAnsi="Arial" w:cs="Arial"/>
          <w:b/>
          <w:bCs/>
          <w:i/>
          <w:iCs/>
          <w:lang w:val="en-US"/>
        </w:rPr>
        <w:t>Degree</w:t>
      </w:r>
      <w:r w:rsidRPr="00177DD3">
        <w:rPr>
          <w:rFonts w:ascii="Arial" w:hAnsi="Arial" w:cs="Arial"/>
          <w:lang w:val="en-US"/>
        </w:rPr>
        <w:t xml:space="preserve">: </w:t>
      </w:r>
      <w:proofErr w:type="gramStart"/>
      <w:r w:rsidRPr="00177DD3">
        <w:rPr>
          <w:rFonts w:ascii="Arial" w:hAnsi="Arial" w:cs="Arial"/>
          <w:lang w:val="en-US"/>
        </w:rPr>
        <w:t>Bachelor's</w:t>
      </w:r>
      <w:proofErr w:type="gramEnd"/>
      <w:r w:rsidRPr="00177DD3">
        <w:rPr>
          <w:rFonts w:ascii="Arial" w:hAnsi="Arial" w:cs="Arial"/>
          <w:lang w:val="en-US"/>
        </w:rPr>
        <w:t xml:space="preserve"> in Electrical Engineering</w:t>
      </w:r>
    </w:p>
    <w:p w14:paraId="5A187458" w14:textId="1062F92A" w:rsidR="00177DD3" w:rsidRPr="00177DD3" w:rsidRDefault="00177DD3" w:rsidP="00177DD3">
      <w:pPr>
        <w:spacing w:line="240" w:lineRule="auto"/>
        <w:rPr>
          <w:rFonts w:ascii="Arial" w:hAnsi="Arial" w:cs="Arial"/>
          <w:lang w:val="en-US"/>
        </w:rPr>
      </w:pPr>
      <w:r w:rsidRPr="00DD7A72">
        <w:rPr>
          <w:rFonts w:ascii="Arial" w:hAnsi="Arial" w:cs="Arial"/>
          <w:b/>
          <w:bCs/>
          <w:i/>
          <w:iCs/>
          <w:lang w:val="en-US"/>
        </w:rPr>
        <w:t>Address</w:t>
      </w:r>
      <w:r w:rsidRPr="00177DD3">
        <w:rPr>
          <w:rFonts w:ascii="Arial" w:hAnsi="Arial" w:cs="Arial"/>
          <w:lang w:val="en-US"/>
        </w:rPr>
        <w:t>:</w:t>
      </w:r>
      <w:r w:rsidR="006046E6">
        <w:rPr>
          <w:rFonts w:ascii="Arial" w:hAnsi="Arial" w:cs="Arial"/>
          <w:lang w:val="en-US"/>
        </w:rPr>
        <w:t xml:space="preserve"> </w:t>
      </w:r>
      <w:r w:rsidR="00DC2D46" w:rsidRPr="00DC2D46">
        <w:rPr>
          <w:rFonts w:ascii="Arial" w:hAnsi="Arial" w:cs="Arial"/>
        </w:rPr>
        <w:t>San Jerónimo Cusco, Perú</w:t>
      </w:r>
    </w:p>
    <w:p w14:paraId="77342DBB" w14:textId="34765DB4" w:rsidR="00177DD3" w:rsidRPr="00177DD3" w:rsidRDefault="00177DD3" w:rsidP="00177DD3">
      <w:pPr>
        <w:spacing w:line="240" w:lineRule="auto"/>
        <w:rPr>
          <w:rFonts w:ascii="Arial" w:hAnsi="Arial" w:cs="Arial"/>
          <w:lang w:val="en-US"/>
        </w:rPr>
      </w:pPr>
      <w:r w:rsidRPr="00DD7A72">
        <w:rPr>
          <w:rFonts w:ascii="Arial" w:hAnsi="Arial" w:cs="Arial"/>
          <w:b/>
          <w:bCs/>
          <w:i/>
          <w:iCs/>
          <w:lang w:val="en-US"/>
        </w:rPr>
        <w:t>Corporate</w:t>
      </w:r>
      <w:r w:rsidRPr="00177DD3">
        <w:rPr>
          <w:rFonts w:ascii="Arial" w:hAnsi="Arial" w:cs="Arial"/>
          <w:lang w:val="en-US"/>
        </w:rPr>
        <w:t xml:space="preserve"> </w:t>
      </w:r>
      <w:r w:rsidRPr="00DD7A72">
        <w:rPr>
          <w:rFonts w:ascii="Arial" w:hAnsi="Arial" w:cs="Arial"/>
          <w:b/>
          <w:bCs/>
          <w:i/>
          <w:iCs/>
          <w:lang w:val="en-US"/>
        </w:rPr>
        <w:t>Email</w:t>
      </w:r>
      <w:r w:rsidRPr="00177DD3">
        <w:rPr>
          <w:rFonts w:ascii="Arial" w:hAnsi="Arial" w:cs="Arial"/>
          <w:lang w:val="en-US"/>
        </w:rPr>
        <w:t xml:space="preserve">: </w:t>
      </w:r>
      <w:hyperlink r:id="rId7" w:history="1">
        <w:r w:rsidRPr="00177DD3">
          <w:rPr>
            <w:rStyle w:val="Hipervnculo"/>
            <w:rFonts w:ascii="Arial" w:hAnsi="Arial" w:cs="Arial"/>
            <w:lang w:val="en-US"/>
          </w:rPr>
          <w:t>150139@unsaac.edu.pe</w:t>
        </w:r>
      </w:hyperlink>
    </w:p>
    <w:p w14:paraId="27CB5001" w14:textId="656F8870" w:rsidR="00177DD3" w:rsidRPr="00177DD3" w:rsidRDefault="00177DD3" w:rsidP="00177DD3">
      <w:pPr>
        <w:spacing w:line="240" w:lineRule="auto"/>
        <w:rPr>
          <w:rFonts w:ascii="Arial" w:hAnsi="Arial" w:cs="Arial"/>
          <w:lang w:val="en-US"/>
        </w:rPr>
      </w:pPr>
      <w:r w:rsidRPr="00DD7A72">
        <w:rPr>
          <w:rFonts w:ascii="Arial" w:hAnsi="Arial" w:cs="Arial"/>
          <w:b/>
          <w:bCs/>
          <w:i/>
          <w:iCs/>
          <w:lang w:val="en-US"/>
        </w:rPr>
        <w:t>Personal</w:t>
      </w:r>
      <w:r w:rsidRPr="00177DD3">
        <w:rPr>
          <w:rFonts w:ascii="Arial" w:hAnsi="Arial" w:cs="Arial"/>
          <w:lang w:val="en-US"/>
        </w:rPr>
        <w:t xml:space="preserve"> </w:t>
      </w:r>
      <w:r w:rsidRPr="00DD7A72">
        <w:rPr>
          <w:rFonts w:ascii="Arial" w:hAnsi="Arial" w:cs="Arial"/>
          <w:b/>
          <w:bCs/>
          <w:i/>
          <w:iCs/>
          <w:lang w:val="en-US"/>
        </w:rPr>
        <w:t>Email</w:t>
      </w:r>
      <w:r w:rsidRPr="00177DD3">
        <w:rPr>
          <w:rFonts w:ascii="Arial" w:hAnsi="Arial" w:cs="Arial"/>
          <w:lang w:val="en-US"/>
        </w:rPr>
        <w:t xml:space="preserve">: </w:t>
      </w:r>
      <w:hyperlink r:id="rId8" w:history="1">
        <w:r w:rsidRPr="00177DD3">
          <w:rPr>
            <w:rStyle w:val="Hipervnculo"/>
            <w:rFonts w:ascii="Arial" w:hAnsi="Arial" w:cs="Arial"/>
            <w:lang w:val="en-US"/>
          </w:rPr>
          <w:t>hayroeyes18@gmail.com</w:t>
        </w:r>
      </w:hyperlink>
      <w:r w:rsidRPr="00177DD3">
        <w:rPr>
          <w:rFonts w:ascii="Arial" w:hAnsi="Arial" w:cs="Arial"/>
          <w:lang w:val="en-US"/>
        </w:rPr>
        <w:t xml:space="preserve"> // </w:t>
      </w:r>
      <w:hyperlink r:id="rId9" w:history="1">
        <w:r w:rsidRPr="00177DD3">
          <w:rPr>
            <w:rStyle w:val="Hipervnculo"/>
            <w:rFonts w:ascii="Arial" w:hAnsi="Arial" w:cs="Arial"/>
            <w:lang w:val="en-US"/>
          </w:rPr>
          <w:t>hayro.pumalloclla.c@gmail.com</w:t>
        </w:r>
      </w:hyperlink>
    </w:p>
    <w:p w14:paraId="3DC8ED96" w14:textId="77777777" w:rsidR="00177DD3" w:rsidRPr="00177DD3" w:rsidRDefault="00177DD3" w:rsidP="00177DD3">
      <w:pPr>
        <w:spacing w:line="240" w:lineRule="auto"/>
        <w:rPr>
          <w:rFonts w:ascii="Arial" w:hAnsi="Arial" w:cs="Arial"/>
          <w:lang w:val="en-US"/>
        </w:rPr>
      </w:pPr>
      <w:r w:rsidRPr="00DD7A72">
        <w:rPr>
          <w:rFonts w:ascii="Arial" w:hAnsi="Arial" w:cs="Arial"/>
          <w:b/>
          <w:bCs/>
          <w:i/>
          <w:iCs/>
          <w:lang w:val="en-US"/>
        </w:rPr>
        <w:t>Phone</w:t>
      </w:r>
      <w:r w:rsidRPr="00177DD3">
        <w:rPr>
          <w:rFonts w:ascii="Arial" w:hAnsi="Arial" w:cs="Arial"/>
          <w:lang w:val="en-US"/>
        </w:rPr>
        <w:t>: +51 936764866</w:t>
      </w:r>
    </w:p>
    <w:p w14:paraId="76E66EEF" w14:textId="77777777" w:rsidR="00177DD3" w:rsidRPr="00177DD3" w:rsidRDefault="00177DD3" w:rsidP="00177DD3">
      <w:pPr>
        <w:spacing w:line="240" w:lineRule="auto"/>
        <w:rPr>
          <w:rFonts w:ascii="Arial" w:hAnsi="Arial" w:cs="Arial"/>
          <w:lang w:val="en-US"/>
        </w:rPr>
      </w:pPr>
      <w:r w:rsidRPr="00DD7A72">
        <w:rPr>
          <w:rFonts w:ascii="Arial" w:hAnsi="Arial" w:cs="Arial"/>
          <w:b/>
          <w:bCs/>
          <w:i/>
          <w:iCs/>
          <w:lang w:val="en-US"/>
        </w:rPr>
        <w:t>Keywords</w:t>
      </w:r>
      <w:r w:rsidRPr="00177DD3">
        <w:rPr>
          <w:rFonts w:ascii="Arial" w:hAnsi="Arial" w:cs="Arial"/>
          <w:lang w:val="en-US"/>
        </w:rPr>
        <w:t>: Green hydrogen, sustainable mining, CAPEX, OPEX, mathematical model, energy storage</w:t>
      </w:r>
    </w:p>
    <w:p w14:paraId="6BF7B8C2" w14:textId="47B80C73" w:rsidR="00C46958" w:rsidRPr="006B4491" w:rsidRDefault="00564116" w:rsidP="00C46958">
      <w:pPr>
        <w:spacing w:line="360" w:lineRule="auto"/>
        <w:rPr>
          <w:rFonts w:ascii="Arial" w:hAnsi="Arial" w:cs="Arial"/>
          <w:lang w:val="en-US"/>
        </w:rPr>
      </w:pPr>
      <w:r w:rsidRPr="006B4491">
        <w:rPr>
          <w:rFonts w:ascii="Arial" w:hAnsi="Arial" w:cs="Arial"/>
          <w:b/>
          <w:bCs/>
          <w:lang w:val="en-US"/>
        </w:rPr>
        <w:t>Abstract</w:t>
      </w:r>
      <w:r w:rsidR="00C46958" w:rsidRPr="006B4491">
        <w:rPr>
          <w:rFonts w:ascii="Arial" w:hAnsi="Arial" w:cs="Arial"/>
          <w:lang w:val="en-US"/>
        </w:rPr>
        <w:t>:</w:t>
      </w:r>
    </w:p>
    <w:p w14:paraId="3093544F" w14:textId="59276128" w:rsidR="002B2E05" w:rsidRPr="006B4491" w:rsidRDefault="006B4491" w:rsidP="006B4491">
      <w:pPr>
        <w:spacing w:line="360" w:lineRule="auto"/>
        <w:ind w:firstLine="708"/>
        <w:jc w:val="both"/>
        <w:rPr>
          <w:rFonts w:ascii="Arial" w:hAnsi="Arial" w:cs="Arial"/>
          <w:lang w:val="en-US"/>
        </w:rPr>
      </w:pPr>
      <w:r w:rsidRPr="006B4491">
        <w:rPr>
          <w:rFonts w:ascii="Arial" w:hAnsi="Arial" w:cs="Arial"/>
          <w:lang w:val="en-US"/>
        </w:rPr>
        <w:t>In the context of mining decarbonization and the global energy transition, green hydrogen has emerged as a promising alternative to replace fossil fuels in off-grid and energy-intensive operations. This study proposes an optimization model to assess the economic feasibility of integrating an electrolyzer and hydrogen storage system into a mining environment. The objective is to minimize the total capital (CAPEX) and operational expenditures (OPEX) while satisfying the hydrogen demand of the mining operation</w:t>
      </w:r>
      <w:r>
        <w:rPr>
          <w:rFonts w:ascii="Arial" w:hAnsi="Arial" w:cs="Arial"/>
          <w:lang w:val="en-US"/>
        </w:rPr>
        <w:t>.</w:t>
      </w:r>
    </w:p>
    <w:p w14:paraId="6EED687E" w14:textId="63AA8D25" w:rsidR="00A430D0" w:rsidRPr="00FB2C92" w:rsidRDefault="00564116" w:rsidP="00C46958">
      <w:pPr>
        <w:spacing w:line="360" w:lineRule="auto"/>
        <w:rPr>
          <w:rFonts w:ascii="Arial" w:hAnsi="Arial" w:cs="Arial"/>
          <w:b/>
          <w:bCs/>
          <w:lang w:val="en-US"/>
        </w:rPr>
      </w:pPr>
      <w:r w:rsidRPr="00FB2C92">
        <w:rPr>
          <w:rFonts w:ascii="Arial" w:hAnsi="Arial" w:cs="Arial"/>
          <w:b/>
          <w:bCs/>
          <w:lang w:val="en-US"/>
        </w:rPr>
        <w:t>Methodology</w:t>
      </w:r>
      <w:r w:rsidR="003743DE" w:rsidRPr="00FB2C92">
        <w:rPr>
          <w:rFonts w:ascii="Arial" w:hAnsi="Arial" w:cs="Arial"/>
          <w:b/>
          <w:bCs/>
          <w:lang w:val="en-US"/>
        </w:rPr>
        <w:t xml:space="preserve">: </w:t>
      </w:r>
    </w:p>
    <w:p w14:paraId="0CDF56ED" w14:textId="65EEA3A9" w:rsidR="007F34B2" w:rsidRDefault="00E93B12" w:rsidP="00E93B12">
      <w:pPr>
        <w:spacing w:line="360" w:lineRule="auto"/>
        <w:ind w:firstLine="708"/>
        <w:jc w:val="both"/>
        <w:rPr>
          <w:rFonts w:ascii="Arial" w:hAnsi="Arial" w:cs="Arial"/>
          <w:lang w:val="en-US"/>
        </w:rPr>
      </w:pPr>
      <w:r w:rsidRPr="00E93B12">
        <w:rPr>
          <w:rFonts w:ascii="Arial" w:hAnsi="Arial" w:cs="Arial"/>
          <w:lang w:val="en-US"/>
        </w:rPr>
        <w:t>An optimization model was proposed to analyze the investment and operational costs associated with the integration of an electrolyzer and hydrogen storage system within a mining context.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411"/>
      </w:tblGrid>
      <w:tr w:rsidR="00E93B12" w14:paraId="61264A82" w14:textId="77777777" w:rsidTr="008C35C7">
        <w:trPr>
          <w:jc w:val="center"/>
        </w:trPr>
        <w:tc>
          <w:tcPr>
            <w:tcW w:w="7083" w:type="dxa"/>
            <w:vAlign w:val="center"/>
          </w:tcPr>
          <w:p w14:paraId="16DEC726" w14:textId="4AE7184F" w:rsidR="00E93B12" w:rsidRPr="00C14EBC" w:rsidRDefault="00000000" w:rsidP="00E93B12">
            <w:pPr>
              <w:spacing w:line="360" w:lineRule="auto"/>
              <w:rPr>
                <w:rFonts w:ascii="Arial" w:eastAsiaTheme="minorEastAsia" w:hAnsi="Arial" w:cs="Arial"/>
              </w:rPr>
            </w:pPr>
            <m:oMathPara>
              <m:oMathParaPr>
                <m:jc m:val="center"/>
              </m:oMathParaPr>
              <m:oMath>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k</m:t>
                        </m:r>
                      </m:e>
                      <m:sub>
                        <m:r>
                          <w:rPr>
                            <w:rFonts w:ascii="Cambria Math" w:hAnsi="Cambria Math" w:cs="Arial"/>
                          </w:rPr>
                          <m:t>0</m:t>
                        </m:r>
                      </m:sub>
                    </m:sSub>
                    <m:r>
                      <w:rPr>
                        <w:rFonts w:ascii="Cambria Math" w:hAnsi="Cambria Math" w:cs="Arial"/>
                      </w:rPr>
                      <m:t>+k∙</m:t>
                    </m:r>
                    <m:nary>
                      <m:naryPr>
                        <m:chr m:val="∑"/>
                        <m:limLoc m:val="undOvr"/>
                        <m:supHide m:val="1"/>
                        <m:ctrlPr>
                          <w:rPr>
                            <w:rFonts w:ascii="Cambria Math" w:hAnsi="Cambria Math" w:cs="Arial"/>
                            <w:i/>
                          </w:rPr>
                        </m:ctrlPr>
                      </m:naryPr>
                      <m:sub>
                        <m:r>
                          <w:rPr>
                            <w:rFonts w:ascii="Cambria Math" w:hAnsi="Cambria Math" w:cs="Arial"/>
                          </w:rPr>
                          <m:t>p∈</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fases</m:t>
                            </m:r>
                          </m:sub>
                        </m:sSub>
                      </m:sub>
                      <m:sup/>
                      <m:e>
                        <m:nary>
                          <m:naryPr>
                            <m:chr m:val="∑"/>
                            <m:limLoc m:val="undOvr"/>
                            <m:supHide m:val="1"/>
                            <m:ctrlPr>
                              <w:rPr>
                                <w:rFonts w:ascii="Cambria Math" w:hAnsi="Cambria Math" w:cs="Arial"/>
                                <w:i/>
                              </w:rPr>
                            </m:ctrlPr>
                          </m:naryPr>
                          <m:sub>
                            <m:r>
                              <w:rPr>
                                <w:rFonts w:ascii="Cambria Math" w:hAnsi="Cambria Math" w:cs="Arial"/>
                              </w:rPr>
                              <m:t>t∈</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T</m:t>
                                </m:r>
                              </m:sub>
                            </m:sSub>
                          </m:sub>
                          <m:sup/>
                          <m:e>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P</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sSub>
                                      <m:sSubPr>
                                        <m:ctrlPr>
                                          <w:rPr>
                                            <w:rFonts w:ascii="Cambria Math" w:hAnsi="Cambria Math" w:cs="Arial"/>
                                            <w:i/>
                                          </w:rPr>
                                        </m:ctrlPr>
                                      </m:sSubPr>
                                      <m:e>
                                        <m:r>
                                          <w:rPr>
                                            <w:rFonts w:ascii="Cambria Math" w:hAnsi="Cambria Math" w:cs="Arial"/>
                                          </w:rPr>
                                          <m:t>γ</m:t>
                                        </m:r>
                                      </m:e>
                                      <m:sub>
                                        <m:r>
                                          <w:rPr>
                                            <w:rFonts w:ascii="Cambria Math" w:hAnsi="Cambria Math" w:cs="Arial"/>
                                          </w:rPr>
                                          <m:t>1</m:t>
                                        </m:r>
                                      </m:sub>
                                    </m:sSub>
                                  </m:e>
                                </m:d>
                              </m:e>
                              <m:sup>
                                <m:r>
                                  <w:rPr>
                                    <w:rFonts w:ascii="Cambria Math" w:hAnsi="Cambria Math" w:cs="Arial"/>
                                  </w:rPr>
                                  <m:t>α-1</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Y</m:t>
                                        </m:r>
                                      </m:num>
                                      <m:den>
                                        <m:sSub>
                                          <m:sSubPr>
                                            <m:ctrlPr>
                                              <w:rPr>
                                                <w:rFonts w:ascii="Cambria Math" w:hAnsi="Cambria Math" w:cs="Arial"/>
                                                <w:i/>
                                              </w:rPr>
                                            </m:ctrlPr>
                                          </m:sSubPr>
                                          <m:e>
                                            <m:r>
                                              <w:rPr>
                                                <w:rFonts w:ascii="Cambria Math" w:hAnsi="Cambria Math" w:cs="Arial"/>
                                              </w:rPr>
                                              <m:t>Y</m:t>
                                            </m:r>
                                          </m:e>
                                          <m:sub>
                                            <m:r>
                                              <w:rPr>
                                                <w:rFonts w:ascii="Cambria Math" w:hAnsi="Cambria Math" w:cs="Arial"/>
                                              </w:rPr>
                                              <m:t>0</m:t>
                                            </m:r>
                                          </m:sub>
                                        </m:sSub>
                                      </m:den>
                                    </m:f>
                                  </m:e>
                                </m:d>
                              </m:e>
                              <m:sup>
                                <m:r>
                                  <w:rPr>
                                    <w:rFonts w:ascii="Cambria Math" w:hAnsi="Cambria Math" w:cs="Arial"/>
                                  </w:rPr>
                                  <m:t>β</m:t>
                                </m:r>
                              </m:sup>
                            </m:sSup>
                          </m:e>
                        </m:nary>
                      </m:e>
                    </m:nary>
                  </m:e>
                </m:d>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sSub>
                  <m:sSubPr>
                    <m:ctrlPr>
                      <w:rPr>
                        <w:rFonts w:ascii="Cambria Math" w:hAnsi="Cambria Math" w:cs="Arial"/>
                        <w:i/>
                      </w:rPr>
                    </m:ctrlPr>
                  </m:sSubPr>
                  <m:e>
                    <m:r>
                      <w:rPr>
                        <w:rFonts w:ascii="Cambria Math" w:hAnsi="Cambria Math" w:cs="Arial"/>
                      </w:rPr>
                      <m:t>γ</m:t>
                    </m:r>
                  </m:e>
                  <m:sub>
                    <m:r>
                      <w:rPr>
                        <w:rFonts w:ascii="Cambria Math" w:hAnsi="Cambria Math" w:cs="Arial"/>
                      </w:rPr>
                      <m:t>1</m:t>
                    </m:r>
                  </m:sub>
                </m:sSub>
                <m:r>
                  <w:rPr>
                    <w:rFonts w:ascii="Cambria Math" w:hAnsi="Cambria Math" w:cs="Arial"/>
                  </w:rPr>
                  <m:t>+</m:t>
                </m:r>
              </m:oMath>
            </m:oMathPara>
          </w:p>
          <w:p w14:paraId="7B8AB466" w14:textId="77777777" w:rsidR="00E93B12" w:rsidRPr="00C14EBC" w:rsidRDefault="00E93B12" w:rsidP="00E93B12">
            <w:pPr>
              <w:spacing w:line="360" w:lineRule="auto"/>
              <w:rPr>
                <w:rFonts w:ascii="Arial" w:hAnsi="Arial" w:cs="Arial"/>
              </w:rPr>
            </w:pPr>
            <m:oMathPara>
              <m:oMathParaPr>
                <m:jc m:val="center"/>
              </m:oMathParaPr>
              <m:oMath>
                <m:r>
                  <w:rPr>
                    <w:rFonts w:ascii="Cambria Math" w:hAnsi="Cambria Math" w:cs="Arial"/>
                  </w:rPr>
                  <m:t>3%∙</m:t>
                </m:r>
                <m:d>
                  <m:dPr>
                    <m:begChr m:val="["/>
                    <m:endChr m:val="]"/>
                    <m:ctrlPr>
                      <w:rPr>
                        <w:rFonts w:ascii="Cambria Math" w:hAnsi="Cambria Math" w:cs="Arial"/>
                        <w:i/>
                      </w:rPr>
                    </m:ctrlPr>
                  </m:d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k</m:t>
                            </m:r>
                          </m:e>
                          <m:sub>
                            <m:r>
                              <w:rPr>
                                <w:rFonts w:ascii="Cambria Math" w:hAnsi="Cambria Math" w:cs="Arial"/>
                              </w:rPr>
                              <m:t>0</m:t>
                            </m:r>
                          </m:sub>
                        </m:sSub>
                        <m:r>
                          <w:rPr>
                            <w:rFonts w:ascii="Cambria Math" w:hAnsi="Cambria Math" w:cs="Arial"/>
                          </w:rPr>
                          <m:t>+k∙</m:t>
                        </m:r>
                        <m:nary>
                          <m:naryPr>
                            <m:chr m:val="∑"/>
                            <m:limLoc m:val="undOvr"/>
                            <m:supHide m:val="1"/>
                            <m:ctrlPr>
                              <w:rPr>
                                <w:rFonts w:ascii="Cambria Math" w:hAnsi="Cambria Math" w:cs="Arial"/>
                                <w:i/>
                              </w:rPr>
                            </m:ctrlPr>
                          </m:naryPr>
                          <m:sub>
                            <m:r>
                              <w:rPr>
                                <w:rFonts w:ascii="Cambria Math" w:hAnsi="Cambria Math" w:cs="Arial"/>
                              </w:rPr>
                              <m:t>p∈</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fases</m:t>
                                </m:r>
                              </m:sub>
                            </m:sSub>
                          </m:sub>
                          <m:sup/>
                          <m:e>
                            <m:nary>
                              <m:naryPr>
                                <m:chr m:val="∑"/>
                                <m:limLoc m:val="undOvr"/>
                                <m:supHide m:val="1"/>
                                <m:ctrlPr>
                                  <w:rPr>
                                    <w:rFonts w:ascii="Cambria Math" w:hAnsi="Cambria Math" w:cs="Arial"/>
                                    <w:i/>
                                  </w:rPr>
                                </m:ctrlPr>
                              </m:naryPr>
                              <m:sub>
                                <m:r>
                                  <w:rPr>
                                    <w:rFonts w:ascii="Cambria Math" w:hAnsi="Cambria Math" w:cs="Arial"/>
                                  </w:rPr>
                                  <m:t>t∈</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T</m:t>
                                    </m:r>
                                  </m:sub>
                                </m:sSub>
                              </m:sub>
                              <m:sup/>
                              <m:e>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P</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sSub>
                                          <m:sSubPr>
                                            <m:ctrlPr>
                                              <w:rPr>
                                                <w:rFonts w:ascii="Cambria Math" w:hAnsi="Cambria Math" w:cs="Arial"/>
                                                <w:i/>
                                              </w:rPr>
                                            </m:ctrlPr>
                                          </m:sSubPr>
                                          <m:e>
                                            <m:r>
                                              <w:rPr>
                                                <w:rFonts w:ascii="Cambria Math" w:hAnsi="Cambria Math" w:cs="Arial"/>
                                              </w:rPr>
                                              <m:t>γ</m:t>
                                            </m:r>
                                          </m:e>
                                          <m:sub>
                                            <m:r>
                                              <w:rPr>
                                                <w:rFonts w:ascii="Cambria Math" w:hAnsi="Cambria Math" w:cs="Arial"/>
                                              </w:rPr>
                                              <m:t>1</m:t>
                                            </m:r>
                                          </m:sub>
                                        </m:sSub>
                                      </m:e>
                                    </m:d>
                                  </m:e>
                                  <m:sup>
                                    <m:r>
                                      <w:rPr>
                                        <w:rFonts w:ascii="Cambria Math" w:hAnsi="Cambria Math" w:cs="Arial"/>
                                      </w:rPr>
                                      <m:t>α-1</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Y</m:t>
                                            </m:r>
                                          </m:num>
                                          <m:den>
                                            <m:sSub>
                                              <m:sSubPr>
                                                <m:ctrlPr>
                                                  <w:rPr>
                                                    <w:rFonts w:ascii="Cambria Math" w:hAnsi="Cambria Math" w:cs="Arial"/>
                                                    <w:i/>
                                                  </w:rPr>
                                                </m:ctrlPr>
                                              </m:sSubPr>
                                              <m:e>
                                                <m:r>
                                                  <w:rPr>
                                                    <w:rFonts w:ascii="Cambria Math" w:hAnsi="Cambria Math" w:cs="Arial"/>
                                                  </w:rPr>
                                                  <m:t>Y</m:t>
                                                </m:r>
                                              </m:e>
                                              <m:sub>
                                                <m:r>
                                                  <w:rPr>
                                                    <w:rFonts w:ascii="Cambria Math" w:hAnsi="Cambria Math" w:cs="Arial"/>
                                                  </w:rPr>
                                                  <m:t>0</m:t>
                                                </m:r>
                                              </m:sub>
                                            </m:sSub>
                                          </m:den>
                                        </m:f>
                                      </m:e>
                                    </m:d>
                                  </m:e>
                                  <m:sup>
                                    <m:r>
                                      <w:rPr>
                                        <w:rFonts w:ascii="Cambria Math" w:hAnsi="Cambria Math" w:cs="Arial"/>
                                      </w:rPr>
                                      <m:t>β</m:t>
                                    </m:r>
                                  </m:sup>
                                </m:sSup>
                              </m:e>
                            </m:nary>
                          </m:e>
                        </m:nary>
                      </m:e>
                    </m:d>
                    <m:r>
                      <w:rPr>
                        <w:rFonts w:ascii="Cambria Math"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sSub>
                      <m:sSubPr>
                        <m:ctrlPr>
                          <w:rPr>
                            <w:rFonts w:ascii="Cambria Math" w:hAnsi="Cambria Math" w:cs="Arial"/>
                            <w:i/>
                          </w:rPr>
                        </m:ctrlPr>
                      </m:sSubPr>
                      <m:e>
                        <m:r>
                          <w:rPr>
                            <w:rFonts w:ascii="Cambria Math" w:hAnsi="Cambria Math" w:cs="Arial"/>
                          </w:rPr>
                          <m:t>γ</m:t>
                        </m:r>
                      </m:e>
                      <m:sub>
                        <m:r>
                          <w:rPr>
                            <w:rFonts w:ascii="Cambria Math" w:hAnsi="Cambria Math" w:cs="Arial"/>
                          </w:rPr>
                          <m:t>1</m:t>
                        </m:r>
                      </m:sub>
                    </m:sSub>
                  </m:e>
                </m:d>
                <m:r>
                  <w:rPr>
                    <w:rFonts w:ascii="Cambria Math" w:hAnsi="Cambria Math" w:cs="Arial"/>
                  </w:rPr>
                  <m:t>+</m:t>
                </m:r>
              </m:oMath>
            </m:oMathPara>
          </w:p>
          <w:p w14:paraId="1337A4B8" w14:textId="77777777" w:rsidR="00E93B12" w:rsidRPr="003743DE" w:rsidRDefault="00000000" w:rsidP="00E93B12">
            <w:pPr>
              <w:spacing w:line="360" w:lineRule="auto"/>
              <w:rPr>
                <w:rFonts w:ascii="Arial" w:hAnsi="Arial" w:cs="Arial"/>
              </w:rPr>
            </w:pPr>
            <m:oMathPara>
              <m:oMath>
                <m:sSub>
                  <m:sSubPr>
                    <m:ctrlPr>
                      <w:rPr>
                        <w:rFonts w:ascii="Cambria Math" w:hAnsi="Cambria Math" w:cs="Arial"/>
                        <w:i/>
                      </w:rPr>
                    </m:ctrlPr>
                  </m:sSubPr>
                  <m:e>
                    <m:r>
                      <w:rPr>
                        <w:rFonts w:ascii="Cambria Math" w:hAnsi="Cambria Math" w:cs="Arial"/>
                      </w:rPr>
                      <m:t>ϑ</m:t>
                    </m:r>
                  </m:e>
                  <m:sub>
                    <m:r>
                      <w:rPr>
                        <w:rFonts w:ascii="Cambria Math" w:hAnsi="Cambria Math" w:cs="Arial"/>
                      </w:rPr>
                      <m:t>1</m:t>
                    </m:r>
                  </m:sub>
                </m:sSub>
                <m:r>
                  <w:rPr>
                    <w:rFonts w:ascii="Cambria Math" w:hAnsi="Cambria Math" w:cs="Arial"/>
                  </w:rPr>
                  <m:t>∙</m:t>
                </m:r>
                <m:nary>
                  <m:naryPr>
                    <m:chr m:val="∑"/>
                    <m:limLoc m:val="undOvr"/>
                    <m:supHide m:val="1"/>
                    <m:ctrlPr>
                      <w:rPr>
                        <w:rFonts w:ascii="Cambria Math" w:hAnsi="Cambria Math" w:cs="Arial"/>
                        <w:i/>
                      </w:rPr>
                    </m:ctrlPr>
                  </m:naryPr>
                  <m:sub>
                    <m:r>
                      <w:rPr>
                        <w:rFonts w:ascii="Cambria Math" w:hAnsi="Cambria Math" w:cs="Arial"/>
                      </w:rPr>
                      <m:t>p∈</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fases</m:t>
                        </m:r>
                      </m:sub>
                    </m:sSub>
                  </m:sub>
                  <m:sup/>
                  <m:e>
                    <m:nary>
                      <m:naryPr>
                        <m:chr m:val="∑"/>
                        <m:limLoc m:val="undOvr"/>
                        <m:supHide m:val="1"/>
                        <m:ctrlPr>
                          <w:rPr>
                            <w:rFonts w:ascii="Cambria Math" w:hAnsi="Cambria Math" w:cs="Arial"/>
                            <w:i/>
                          </w:rPr>
                        </m:ctrlPr>
                      </m:naryPr>
                      <m:sub>
                        <m:r>
                          <w:rPr>
                            <w:rFonts w:ascii="Cambria Math" w:hAnsi="Cambria Math" w:cs="Arial"/>
                          </w:rPr>
                          <m:t>t∈</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T</m:t>
                            </m:r>
                          </m:sub>
                        </m:sSub>
                      </m:sub>
                      <m:sup/>
                      <m:e>
                        <m:d>
                          <m:dPr>
                            <m:ctrlPr>
                              <w:rPr>
                                <w:rFonts w:ascii="Cambria Math" w:hAnsi="Cambria Math" w:cs="Arial"/>
                                <w:i/>
                              </w:rPr>
                            </m:ctrlPr>
                          </m:dPr>
                          <m:e>
                            <m:f>
                              <m:fPr>
                                <m:ctrlPr>
                                  <w:rPr>
                                    <w:rFonts w:ascii="Cambria Math" w:hAnsi="Cambria Math" w:cs="Arial"/>
                                    <w:i/>
                                  </w:rPr>
                                </m:ctrlPr>
                              </m:fPr>
                              <m:num>
                                <m:r>
                                  <w:rPr>
                                    <w:rFonts w:ascii="Cambria Math" w:hAnsi="Cambria Math" w:cs="Arial"/>
                                  </w:rPr>
                                  <m:t>1</m:t>
                                </m:r>
                              </m:num>
                              <m:den>
                                <m:sSub>
                                  <m:sSubPr>
                                    <m:ctrlPr>
                                      <w:rPr>
                                        <w:rFonts w:ascii="Cambria Math" w:hAnsi="Cambria Math" w:cs="Arial"/>
                                        <w:i/>
                                      </w:rPr>
                                    </m:ctrlPr>
                                  </m:sSubPr>
                                  <m:e>
                                    <m:r>
                                      <w:rPr>
                                        <w:rFonts w:ascii="Cambria Math" w:hAnsi="Cambria Math" w:cs="Arial"/>
                                      </w:rPr>
                                      <m:t>S</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den>
                            </m:f>
                          </m:e>
                        </m:d>
                      </m:e>
                    </m:nary>
                  </m:e>
                </m:nary>
                <m:r>
                  <w:rPr>
                    <w:rFonts w:ascii="Cambria Math" w:eastAsiaTheme="minorEastAsia" w:hAnsi="Cambria Math" w:cs="Arial"/>
                  </w:rPr>
                  <m:t>+</m:t>
                </m:r>
              </m:oMath>
            </m:oMathPara>
          </w:p>
          <w:p w14:paraId="7D11B11F" w14:textId="3B947F5E" w:rsidR="00E93B12" w:rsidRDefault="00E93B12" w:rsidP="00E93B12">
            <w:pPr>
              <w:spacing w:line="360" w:lineRule="auto"/>
              <w:rPr>
                <w:rFonts w:ascii="Arial" w:hAnsi="Arial" w:cs="Arial"/>
                <w:lang w:val="en-US"/>
              </w:rPr>
            </w:pPr>
            <m:oMathPara>
              <m:oMath>
                <m:r>
                  <w:rPr>
                    <w:rFonts w:ascii="Cambria Math" w:hAnsi="Cambria Math" w:cs="Arial"/>
                  </w:rPr>
                  <m:t>2%∙</m:t>
                </m:r>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ϑ</m:t>
                        </m:r>
                      </m:e>
                      <m:sub>
                        <m:r>
                          <w:rPr>
                            <w:rFonts w:ascii="Cambria Math" w:hAnsi="Cambria Math" w:cs="Arial"/>
                          </w:rPr>
                          <m:t>1</m:t>
                        </m:r>
                      </m:sub>
                    </m:sSub>
                    <m:r>
                      <w:rPr>
                        <w:rFonts w:ascii="Cambria Math" w:hAnsi="Cambria Math" w:cs="Arial"/>
                      </w:rPr>
                      <m:t>∙</m:t>
                    </m:r>
                    <m:nary>
                      <m:naryPr>
                        <m:chr m:val="∑"/>
                        <m:limLoc m:val="undOvr"/>
                        <m:supHide m:val="1"/>
                        <m:ctrlPr>
                          <w:rPr>
                            <w:rFonts w:ascii="Cambria Math" w:hAnsi="Cambria Math" w:cs="Arial"/>
                            <w:i/>
                          </w:rPr>
                        </m:ctrlPr>
                      </m:naryPr>
                      <m:sub>
                        <m:r>
                          <w:rPr>
                            <w:rFonts w:ascii="Cambria Math" w:hAnsi="Cambria Math" w:cs="Arial"/>
                          </w:rPr>
                          <m:t>p∈</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fases</m:t>
                            </m:r>
                          </m:sub>
                        </m:sSub>
                      </m:sub>
                      <m:sup/>
                      <m:e>
                        <m:nary>
                          <m:naryPr>
                            <m:chr m:val="∑"/>
                            <m:limLoc m:val="undOvr"/>
                            <m:supHide m:val="1"/>
                            <m:ctrlPr>
                              <w:rPr>
                                <w:rFonts w:ascii="Cambria Math" w:hAnsi="Cambria Math" w:cs="Arial"/>
                                <w:i/>
                              </w:rPr>
                            </m:ctrlPr>
                          </m:naryPr>
                          <m:sub>
                            <m:r>
                              <w:rPr>
                                <w:rFonts w:ascii="Cambria Math" w:hAnsi="Cambria Math" w:cs="Arial"/>
                              </w:rPr>
                              <m:t>t∈</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T</m:t>
                                </m:r>
                              </m:sub>
                            </m:sSub>
                          </m:sub>
                          <m:sup/>
                          <m:e>
                            <m:d>
                              <m:dPr>
                                <m:ctrlPr>
                                  <w:rPr>
                                    <w:rFonts w:ascii="Cambria Math" w:hAnsi="Cambria Math" w:cs="Arial"/>
                                    <w:i/>
                                  </w:rPr>
                                </m:ctrlPr>
                              </m:dPr>
                              <m:e>
                                <m:f>
                                  <m:fPr>
                                    <m:ctrlPr>
                                      <w:rPr>
                                        <w:rFonts w:ascii="Cambria Math" w:hAnsi="Cambria Math" w:cs="Arial"/>
                                        <w:i/>
                                      </w:rPr>
                                    </m:ctrlPr>
                                  </m:fPr>
                                  <m:num>
                                    <m:r>
                                      <w:rPr>
                                        <w:rFonts w:ascii="Cambria Math" w:hAnsi="Cambria Math" w:cs="Arial"/>
                                      </w:rPr>
                                      <m:t>1</m:t>
                                    </m:r>
                                  </m:num>
                                  <m:den>
                                    <m:sSub>
                                      <m:sSubPr>
                                        <m:ctrlPr>
                                          <w:rPr>
                                            <w:rFonts w:ascii="Cambria Math" w:hAnsi="Cambria Math" w:cs="Arial"/>
                                            <w:i/>
                                          </w:rPr>
                                        </m:ctrlPr>
                                      </m:sSubPr>
                                      <m:e>
                                        <m:r>
                                          <w:rPr>
                                            <w:rFonts w:ascii="Cambria Math" w:hAnsi="Cambria Math" w:cs="Arial"/>
                                          </w:rPr>
                                          <m:t>S</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den>
                                </m:f>
                              </m:e>
                            </m:d>
                          </m:e>
                        </m:nary>
                      </m:e>
                    </m:nary>
                  </m:e>
                </m:d>
              </m:oMath>
            </m:oMathPara>
          </w:p>
        </w:tc>
        <w:tc>
          <w:tcPr>
            <w:tcW w:w="1411" w:type="dxa"/>
            <w:vAlign w:val="center"/>
          </w:tcPr>
          <w:p w14:paraId="51C4D681" w14:textId="282130F9" w:rsidR="00E93B12" w:rsidRPr="00E93B12" w:rsidRDefault="00E93B12" w:rsidP="00E93B12">
            <w:pPr>
              <w:pStyle w:val="Descripcin"/>
              <w:jc w:val="right"/>
              <w:rPr>
                <w:rFonts w:ascii="Arial" w:hAnsi="Arial" w:cs="Arial"/>
                <w:lang w:val="en-US"/>
              </w:rPr>
            </w:pPr>
            <w:r>
              <w:t xml:space="preserve">( </w:t>
            </w:r>
            <w:fldSimple w:instr=" SEQ ( \* ARABIC ">
              <w:r w:rsidR="009C335C">
                <w:rPr>
                  <w:noProof/>
                </w:rPr>
                <w:t>1</w:t>
              </w:r>
            </w:fldSimple>
            <w:r>
              <w:t xml:space="preserve"> )</w:t>
            </w:r>
          </w:p>
          <w:p w14:paraId="2AC4F636" w14:textId="77777777" w:rsidR="00E93B12" w:rsidRDefault="00E93B12" w:rsidP="00E93B12">
            <w:pPr>
              <w:keepNext/>
              <w:spacing w:line="360" w:lineRule="auto"/>
              <w:jc w:val="right"/>
              <w:rPr>
                <w:rFonts w:ascii="Arial" w:hAnsi="Arial" w:cs="Arial"/>
                <w:lang w:val="en-US"/>
              </w:rPr>
            </w:pPr>
          </w:p>
        </w:tc>
      </w:tr>
    </w:tbl>
    <w:p w14:paraId="265DEDB5" w14:textId="189401B1" w:rsidR="00C74F5D" w:rsidRPr="00C74F5D" w:rsidRDefault="00C74F5D" w:rsidP="006A0FD4">
      <w:pPr>
        <w:spacing w:line="360" w:lineRule="auto"/>
        <w:ind w:firstLine="708"/>
        <w:jc w:val="both"/>
        <w:rPr>
          <w:rFonts w:ascii="Arial" w:hAnsi="Arial" w:cs="Arial"/>
          <w:lang w:val="en-US"/>
        </w:rPr>
      </w:pPr>
      <w:r w:rsidRPr="00C74F5D">
        <w:rPr>
          <w:rFonts w:ascii="Arial" w:hAnsi="Arial" w:cs="Arial"/>
          <w:lang w:val="en-US"/>
        </w:rPr>
        <w:lastRenderedPageBreak/>
        <w:t>Equation (1) defines the objective function, which aims to minimize the total investment and operating costs of the electrolysis system and the hydrogen storage tank. The operating cost of the electrolyzer is estimated to range between 2% and 3% of its capital cost</w:t>
      </w:r>
      <w:r w:rsidR="00906C70">
        <w:rPr>
          <w:rFonts w:ascii="Arial" w:hAnsi="Arial" w:cs="Arial"/>
          <w:lang w:val="en-US"/>
        </w:rPr>
        <w:t xml:space="preserve"> </w:t>
      </w:r>
      <w:sdt>
        <w:sdtPr>
          <w:rPr>
            <w:rFonts w:ascii="Arial" w:hAnsi="Arial" w:cs="Arial"/>
            <w:color w:val="000000"/>
            <w:lang w:val="en-US"/>
          </w:rPr>
          <w:tag w:val="MENDELEY_CITATION_v3_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"/>
          <w:id w:val="-1933050548"/>
          <w:placeholder>
            <w:docPart w:val="DefaultPlaceholder_-1854013440"/>
          </w:placeholder>
        </w:sdtPr>
        <w:sdtContent>
          <w:r w:rsidR="00B71343" w:rsidRPr="00B71343">
            <w:rPr>
              <w:rFonts w:ascii="Arial" w:hAnsi="Arial" w:cs="Arial"/>
              <w:color w:val="000000"/>
              <w:lang w:val="en-US"/>
            </w:rPr>
            <w:t>(</w:t>
          </w:r>
          <w:proofErr w:type="spellStart"/>
          <w:r w:rsidR="00B71343" w:rsidRPr="00B71343">
            <w:rPr>
              <w:rFonts w:ascii="Arial" w:hAnsi="Arial" w:cs="Arial"/>
              <w:color w:val="000000"/>
              <w:lang w:val="en-US"/>
            </w:rPr>
            <w:t>Rogeau</w:t>
          </w:r>
          <w:proofErr w:type="spellEnd"/>
          <w:r w:rsidR="00B71343" w:rsidRPr="00B71343">
            <w:rPr>
              <w:rFonts w:ascii="Arial" w:hAnsi="Arial" w:cs="Arial"/>
              <w:color w:val="000000"/>
              <w:lang w:val="en-US"/>
            </w:rPr>
            <w:t xml:space="preserve"> et al., 2023)</w:t>
          </w:r>
        </w:sdtContent>
      </w:sdt>
      <w:r w:rsidR="00906C70">
        <w:rPr>
          <w:rFonts w:ascii="Arial" w:hAnsi="Arial" w:cs="Arial"/>
          <w:lang w:val="en-US"/>
        </w:rPr>
        <w:t xml:space="preserve">. </w:t>
      </w:r>
      <w:r w:rsidR="00906C70" w:rsidRPr="00906C70">
        <w:rPr>
          <w:rFonts w:ascii="Arial" w:hAnsi="Arial" w:cs="Arial"/>
          <w:lang w:val="en-US"/>
        </w:rPr>
        <w:t xml:space="preserve">Similarly, the storage tank incurs an operational cost of approximately 2% of its </w:t>
      </w:r>
      <w:r w:rsidR="00906C70" w:rsidRPr="00C74F5D">
        <w:rPr>
          <w:rFonts w:ascii="Arial" w:hAnsi="Arial" w:cs="Arial"/>
          <w:lang w:val="en-US"/>
        </w:rPr>
        <w:t>capital cost</w:t>
      </w:r>
      <w:r w:rsidR="00906C70">
        <w:rPr>
          <w:rFonts w:ascii="Arial" w:hAnsi="Arial" w:cs="Arial"/>
          <w:lang w:val="en-US"/>
        </w:rPr>
        <w:t xml:space="preserve"> </w:t>
      </w:r>
      <w:sdt>
        <w:sdtPr>
          <w:rPr>
            <w:rFonts w:ascii="Arial" w:hAnsi="Arial" w:cs="Arial"/>
            <w:color w:val="000000"/>
            <w:lang w:val="en-US"/>
          </w:rPr>
          <w:tag w:val="MENDELEY_CITATION_v3_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"/>
          <w:id w:val="677621061"/>
          <w:placeholder>
            <w:docPart w:val="DefaultPlaceholder_-1854013440"/>
          </w:placeholder>
        </w:sdtPr>
        <w:sdtContent>
          <w:r w:rsidR="00B71343" w:rsidRPr="00B71343">
            <w:rPr>
              <w:rFonts w:ascii="Arial" w:hAnsi="Arial" w:cs="Arial"/>
              <w:color w:val="000000"/>
              <w:lang w:val="en-US"/>
            </w:rPr>
            <w:t>(Moran et al., 2024)</w:t>
          </w:r>
        </w:sdtContent>
      </w:sdt>
      <w:r w:rsidR="00906C70">
        <w:rPr>
          <w:rFonts w:ascii="Arial" w:hAnsi="Arial" w:cs="Arial"/>
          <w:lang w:val="en-US"/>
        </w:rPr>
        <w:t xml:space="preserve">. </w:t>
      </w:r>
    </w:p>
    <w:p w14:paraId="07BBBA72" w14:textId="6227E9BB" w:rsidR="00C14EBC" w:rsidRPr="00F76CF4" w:rsidRDefault="00D468B0" w:rsidP="00C46958">
      <w:pPr>
        <w:spacing w:line="360" w:lineRule="auto"/>
        <w:rPr>
          <w:rFonts w:ascii="Arial" w:hAnsi="Arial" w:cs="Arial"/>
          <w:b/>
          <w:bCs/>
          <w:lang w:val="en-US"/>
        </w:rPr>
      </w:pPr>
      <w:r w:rsidRPr="00F76CF4">
        <w:rPr>
          <w:rFonts w:ascii="Arial" w:hAnsi="Arial" w:cs="Arial"/>
          <w:b/>
          <w:bCs/>
          <w:lang w:val="en-US"/>
        </w:rPr>
        <w:t>Restrictions</w:t>
      </w:r>
    </w:p>
    <w:p w14:paraId="4D1D744E" w14:textId="6563F4F8" w:rsidR="008538C1" w:rsidRPr="00A15E50" w:rsidRDefault="008538C1" w:rsidP="008538C1">
      <w:pPr>
        <w:spacing w:line="360" w:lineRule="auto"/>
        <w:jc w:val="both"/>
        <w:rPr>
          <w:rFonts w:ascii="Arial" w:hAnsi="Arial" w:cs="Arial"/>
          <w:lang w:val="en-US"/>
        </w:rPr>
      </w:pPr>
      <w:r>
        <w:rPr>
          <w:rFonts w:ascii="Arial" w:hAnsi="Arial" w:cs="Arial"/>
          <w:color w:val="000000"/>
          <w:lang w:val="en-US"/>
        </w:rPr>
        <w:tab/>
      </w:r>
      <w:r w:rsidR="00A8314B" w:rsidRPr="00A8314B">
        <w:rPr>
          <w:rFonts w:ascii="Arial" w:hAnsi="Arial" w:cs="Arial"/>
          <w:color w:val="000000"/>
          <w:lang w:val="en-US"/>
        </w:rPr>
        <w:t>Hydrogen production through electrolysis is determined by Equation (2), which considers the input power to the electrolyzer at each time and phase (</w:t>
      </w:r>
      <w:r w:rsidR="00A8314B" w:rsidRPr="00A8314B">
        <w:rPr>
          <w:rFonts w:ascii="Cambria Math" w:hAnsi="Cambria Math" w:cs="Cambria Math"/>
          <w:color w:val="000000"/>
        </w:rPr>
        <w:t>𝑡</w:t>
      </w:r>
      <w:r w:rsidR="00A8314B" w:rsidRPr="00A8314B">
        <w:rPr>
          <w:rFonts w:ascii="Arial" w:hAnsi="Arial" w:cs="Arial"/>
          <w:color w:val="000000"/>
          <w:lang w:val="en-US"/>
        </w:rPr>
        <w:t xml:space="preserve">, </w:t>
      </w:r>
      <w:r w:rsidR="00A8314B" w:rsidRPr="00A8314B">
        <w:rPr>
          <w:rFonts w:ascii="Cambria Math" w:hAnsi="Cambria Math" w:cs="Cambria Math"/>
          <w:color w:val="000000"/>
        </w:rPr>
        <w:t>𝑝</w:t>
      </w:r>
      <w:r w:rsidR="00A8314B" w:rsidRPr="00A8314B">
        <w:rPr>
          <w:rFonts w:ascii="Arial" w:hAnsi="Arial" w:cs="Arial"/>
          <w:color w:val="000000"/>
          <w:lang w:val="en-US"/>
        </w:rPr>
        <w:t>), accounting for conversion efficiency, as well as purification and compression losses</w:t>
      </w:r>
      <w:r w:rsidR="00A8314B">
        <w:rPr>
          <w:rFonts w:ascii="Arial" w:hAnsi="Arial" w:cs="Arial"/>
          <w:color w:val="000000"/>
          <w:lang w:val="en-US"/>
        </w:rPr>
        <w:t xml:space="preserve"> </w:t>
      </w:r>
      <w:sdt>
        <w:sdtPr>
          <w:rPr>
            <w:rFonts w:ascii="Arial" w:hAnsi="Arial" w:cs="Arial"/>
            <w:color w:val="000000"/>
            <w:lang w:val="en-US"/>
          </w:rPr>
          <w:tag w:val="MENDELEY_CITATION_v3_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"/>
          <w:id w:val="-1622833300"/>
          <w:placeholder>
            <w:docPart w:val="DefaultPlaceholder_-1854013440"/>
          </w:placeholder>
        </w:sdtPr>
        <w:sdtContent>
          <w:r w:rsidR="00B71343" w:rsidRPr="00B71343">
            <w:rPr>
              <w:rFonts w:ascii="Arial" w:hAnsi="Arial" w:cs="Arial"/>
              <w:color w:val="000000"/>
              <w:lang w:val="en-US"/>
            </w:rPr>
            <w:t>(Dinh et al., 2021)</w:t>
          </w:r>
        </w:sdtContent>
      </w:sdt>
      <w:r w:rsidR="00917C07">
        <w:rPr>
          <w:rFonts w:ascii="Arial" w:hAnsi="Arial" w:cs="Arial"/>
          <w:color w:val="000000"/>
          <w:lang w:val="en-US"/>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411"/>
      </w:tblGrid>
      <w:tr w:rsidR="00A15E50" w14:paraId="06CD1933" w14:textId="77777777" w:rsidTr="008C35C7">
        <w:trPr>
          <w:jc w:val="center"/>
        </w:trPr>
        <w:tc>
          <w:tcPr>
            <w:tcW w:w="7083" w:type="dxa"/>
            <w:vAlign w:val="center"/>
          </w:tcPr>
          <w:p w14:paraId="7A849AE9" w14:textId="4FAAC4F5" w:rsidR="00A15E50" w:rsidRDefault="00000000" w:rsidP="00A15E50">
            <w:pPr>
              <w:spacing w:line="360" w:lineRule="auto"/>
              <w:rPr>
                <w:rFonts w:ascii="Arial" w:hAnsi="Arial" w:cs="Arial"/>
                <w:lang w:val="en-US"/>
              </w:rPr>
            </w:pPr>
            <m:oMathPara>
              <m:oMath>
                <m:sSub>
                  <m:sSubPr>
                    <m:ctrlPr>
                      <w:rPr>
                        <w:rFonts w:ascii="Cambria Math" w:hAnsi="Cambria Math" w:cs="Arial"/>
                        <w:i/>
                      </w:rPr>
                    </m:ctrlPr>
                  </m:sSubPr>
                  <m:e>
                    <m:r>
                      <w:rPr>
                        <w:rFonts w:ascii="Cambria Math" w:hAnsi="Cambria Math" w:cs="Arial"/>
                      </w:rPr>
                      <m:t>Prod</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P</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sSub>
                      <m:sSubPr>
                        <m:ctrlPr>
                          <w:rPr>
                            <w:rFonts w:ascii="Cambria Math" w:hAnsi="Cambria Math" w:cs="Arial"/>
                            <w:i/>
                          </w:rPr>
                        </m:ctrlPr>
                      </m:sSubPr>
                      <m:e>
                        <m:r>
                          <w:rPr>
                            <w:rFonts w:ascii="Cambria Math" w:hAnsi="Cambria Math" w:cs="Arial"/>
                          </w:rPr>
                          <m:t>E</m:t>
                        </m:r>
                      </m:e>
                      <m:sub>
                        <m:r>
                          <w:rPr>
                            <w:rFonts w:ascii="Cambria Math" w:hAnsi="Cambria Math" w:cs="Arial"/>
                          </w:rPr>
                          <m:t>elec</m:t>
                        </m:r>
                      </m:sub>
                    </m:sSub>
                  </m:num>
                  <m:den>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E</m:t>
                                </m:r>
                              </m:e>
                              <m:sub>
                                <m:r>
                                  <w:rPr>
                                    <w:rFonts w:ascii="Cambria Math" w:hAnsi="Cambria Math" w:cs="Arial"/>
                                  </w:rPr>
                                  <m:t>elec</m:t>
                                </m:r>
                              </m:sub>
                            </m:sSub>
                          </m:num>
                          <m:den>
                            <m:sSub>
                              <m:sSubPr>
                                <m:ctrlPr>
                                  <w:rPr>
                                    <w:rFonts w:ascii="Cambria Math" w:hAnsi="Cambria Math" w:cs="Arial"/>
                                    <w:i/>
                                  </w:rPr>
                                </m:ctrlPr>
                              </m:sSubPr>
                              <m:e>
                                <m:r>
                                  <w:rPr>
                                    <w:rFonts w:ascii="Cambria Math" w:hAnsi="Cambria Math" w:cs="Arial"/>
                                  </w:rPr>
                                  <m:t>η</m:t>
                                </m:r>
                              </m:e>
                              <m:sub>
                                <m:r>
                                  <w:rPr>
                                    <w:rFonts w:ascii="Cambria Math" w:hAnsi="Cambria Math" w:cs="Arial"/>
                                  </w:rPr>
                                  <m:t>conv</m:t>
                                </m:r>
                              </m:sub>
                            </m:sSub>
                          </m:den>
                        </m:f>
                        <m:r>
                          <w:rPr>
                            <w:rFonts w:ascii="Cambria Math" w:hAnsi="Cambria Math" w:cs="Arial"/>
                          </w:rPr>
                          <m:t>+</m:t>
                        </m:r>
                        <m:sSub>
                          <m:sSubPr>
                            <m:ctrlPr>
                              <w:rPr>
                                <w:rFonts w:ascii="Cambria Math" w:hAnsi="Cambria Math" w:cs="Arial"/>
                                <w:i/>
                              </w:rPr>
                            </m:ctrlPr>
                          </m:sSubPr>
                          <m:e>
                            <m:r>
                              <w:rPr>
                                <w:rFonts w:ascii="Cambria Math" w:hAnsi="Cambria Math" w:cs="Arial"/>
                              </w:rPr>
                              <m:t>E</m:t>
                            </m:r>
                          </m:e>
                          <m:sub>
                            <m:r>
                              <w:rPr>
                                <w:rFonts w:ascii="Cambria Math" w:hAnsi="Cambria Math" w:cs="Arial"/>
                              </w:rPr>
                              <m:t>pcl</m:t>
                            </m:r>
                          </m:sub>
                        </m:sSub>
                      </m:e>
                    </m:d>
                  </m:den>
                </m:f>
              </m:oMath>
            </m:oMathPara>
          </w:p>
        </w:tc>
        <w:tc>
          <w:tcPr>
            <w:tcW w:w="1411" w:type="dxa"/>
            <w:vAlign w:val="center"/>
          </w:tcPr>
          <w:p w14:paraId="4C37C7A4" w14:textId="3B63EAED" w:rsidR="00A15E50" w:rsidRPr="00E93B12" w:rsidRDefault="00A15E50" w:rsidP="00B033AD">
            <w:pPr>
              <w:pStyle w:val="Descripcin"/>
              <w:jc w:val="right"/>
              <w:rPr>
                <w:rFonts w:ascii="Arial" w:hAnsi="Arial" w:cs="Arial"/>
                <w:lang w:val="en-US"/>
              </w:rPr>
            </w:pPr>
            <w:r>
              <w:t xml:space="preserve">( </w:t>
            </w:r>
            <w:fldSimple w:instr=" SEQ ( \* ARABIC ">
              <w:r w:rsidR="009C335C">
                <w:rPr>
                  <w:noProof/>
                </w:rPr>
                <w:t>2</w:t>
              </w:r>
            </w:fldSimple>
            <w:r>
              <w:t xml:space="preserve"> )</w:t>
            </w:r>
          </w:p>
          <w:p w14:paraId="12F2C71B" w14:textId="77777777" w:rsidR="00A15E50" w:rsidRDefault="00A15E50" w:rsidP="00B033AD">
            <w:pPr>
              <w:keepNext/>
              <w:spacing w:line="360" w:lineRule="auto"/>
              <w:jc w:val="right"/>
              <w:rPr>
                <w:rFonts w:ascii="Arial" w:hAnsi="Arial" w:cs="Arial"/>
                <w:lang w:val="en-US"/>
              </w:rPr>
            </w:pPr>
          </w:p>
        </w:tc>
      </w:tr>
    </w:tbl>
    <w:p w14:paraId="1DECDDED" w14:textId="2AA554C2" w:rsidR="0066764F" w:rsidRPr="004D7521" w:rsidRDefault="004D7521" w:rsidP="004D7521">
      <w:pPr>
        <w:spacing w:line="360" w:lineRule="auto"/>
        <w:ind w:firstLine="708"/>
        <w:jc w:val="both"/>
        <w:rPr>
          <w:rFonts w:ascii="Arial" w:hAnsi="Arial" w:cs="Arial"/>
          <w:lang w:val="en-US"/>
        </w:rPr>
      </w:pPr>
      <w:r w:rsidRPr="004D7521">
        <w:rPr>
          <w:rFonts w:ascii="Arial" w:hAnsi="Arial" w:cs="Arial"/>
          <w:lang w:val="en-US"/>
        </w:rPr>
        <w:t xml:space="preserve">Equation (3) establishes a balance between the power used for hauling truck charging and the electrolyzer plant's power, which must equal the external power.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411"/>
      </w:tblGrid>
      <w:tr w:rsidR="00D621FC" w14:paraId="73E26356" w14:textId="77777777" w:rsidTr="008C35C7">
        <w:trPr>
          <w:jc w:val="center"/>
        </w:trPr>
        <w:tc>
          <w:tcPr>
            <w:tcW w:w="7083" w:type="dxa"/>
            <w:vAlign w:val="center"/>
          </w:tcPr>
          <w:p w14:paraId="40BA4E8B" w14:textId="6942C431" w:rsidR="00D621FC" w:rsidRPr="00564116" w:rsidRDefault="00000000" w:rsidP="00B033AD">
            <w:pPr>
              <w:spacing w:line="360" w:lineRule="auto"/>
              <w:rPr>
                <w:rFonts w:ascii="Arial" w:hAnsi="Arial" w:cs="Arial"/>
              </w:rPr>
            </w:pPr>
            <m:oMathPara>
              <m:oMath>
                <m:sSub>
                  <m:sSubPr>
                    <m:ctrlPr>
                      <w:rPr>
                        <w:rFonts w:ascii="Cambria Math" w:hAnsi="Cambria Math" w:cs="Arial"/>
                        <w:i/>
                      </w:rPr>
                    </m:ctrlPr>
                  </m:sSubPr>
                  <m:e>
                    <m:r>
                      <w:rPr>
                        <w:rFonts w:ascii="Cambria Math" w:hAnsi="Cambria Math" w:cs="Arial"/>
                      </w:rPr>
                      <m:t>P</m:t>
                    </m:r>
                  </m:e>
                  <m:sub>
                    <m:sSub>
                      <m:sSubPr>
                        <m:ctrlPr>
                          <w:rPr>
                            <w:rFonts w:ascii="Cambria Math" w:hAnsi="Cambria Math" w:cs="Arial"/>
                            <w:i/>
                          </w:rPr>
                        </m:ctrlPr>
                      </m:sSubPr>
                      <m:e>
                        <m:r>
                          <w:rPr>
                            <w:rFonts w:ascii="Cambria Math" w:hAnsi="Cambria Math" w:cs="Arial"/>
                          </w:rPr>
                          <m:t>in-veh</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P</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sSub>
                  <m:sSubPr>
                    <m:ctrlPr>
                      <w:rPr>
                        <w:rFonts w:ascii="Cambria Math" w:hAnsi="Cambria Math" w:cs="Arial"/>
                        <w:i/>
                      </w:rPr>
                    </m:ctrlPr>
                  </m:sSubPr>
                  <m:e>
                    <m:r>
                      <w:rPr>
                        <w:rFonts w:ascii="Cambria Math" w:hAnsi="Cambria Math" w:cs="Arial"/>
                      </w:rPr>
                      <m:t>P</m:t>
                    </m:r>
                  </m:e>
                  <m:sub>
                    <m:sSub>
                      <m:sSubPr>
                        <m:ctrlPr>
                          <w:rPr>
                            <w:rFonts w:ascii="Cambria Math" w:hAnsi="Cambria Math" w:cs="Arial"/>
                            <w:i/>
                          </w:rPr>
                        </m:ctrlPr>
                      </m:sSubPr>
                      <m:e>
                        <m:r>
                          <w:rPr>
                            <w:rFonts w:ascii="Cambria Math" w:hAnsi="Cambria Math" w:cs="Arial"/>
                          </w:rPr>
                          <m:t>ext</m:t>
                        </m:r>
                      </m:e>
                      <m:sub>
                        <m:d>
                          <m:dPr>
                            <m:ctrlPr>
                              <w:rPr>
                                <w:rFonts w:ascii="Cambria Math" w:hAnsi="Cambria Math" w:cs="Arial"/>
                                <w:i/>
                              </w:rPr>
                            </m:ctrlPr>
                          </m:dPr>
                          <m:e>
                            <m:r>
                              <w:rPr>
                                <w:rFonts w:ascii="Cambria Math" w:hAnsi="Cambria Math" w:cs="Arial"/>
                              </w:rPr>
                              <m:t>t,p</m:t>
                            </m:r>
                          </m:e>
                        </m:d>
                      </m:sub>
                    </m:sSub>
                  </m:sub>
                </m:sSub>
              </m:oMath>
            </m:oMathPara>
          </w:p>
        </w:tc>
        <w:tc>
          <w:tcPr>
            <w:tcW w:w="1411" w:type="dxa"/>
            <w:vAlign w:val="center"/>
          </w:tcPr>
          <w:p w14:paraId="4663EF21" w14:textId="39B0C270" w:rsidR="00D621FC" w:rsidRPr="00E93B12" w:rsidRDefault="00D621FC" w:rsidP="00B033AD">
            <w:pPr>
              <w:pStyle w:val="Descripcin"/>
              <w:jc w:val="right"/>
              <w:rPr>
                <w:rFonts w:ascii="Arial" w:hAnsi="Arial" w:cs="Arial"/>
                <w:lang w:val="en-US"/>
              </w:rPr>
            </w:pPr>
            <w:r>
              <w:t xml:space="preserve">( </w:t>
            </w:r>
            <w:fldSimple w:instr=" SEQ ( \* ARABIC ">
              <w:r w:rsidR="009C335C">
                <w:rPr>
                  <w:noProof/>
                </w:rPr>
                <w:t>3</w:t>
              </w:r>
            </w:fldSimple>
            <w:r>
              <w:t xml:space="preserve"> )</w:t>
            </w:r>
          </w:p>
          <w:p w14:paraId="02D9AD84" w14:textId="77777777" w:rsidR="00D621FC" w:rsidRDefault="00D621FC" w:rsidP="00B033AD">
            <w:pPr>
              <w:keepNext/>
              <w:spacing w:line="360" w:lineRule="auto"/>
              <w:jc w:val="right"/>
              <w:rPr>
                <w:rFonts w:ascii="Arial" w:hAnsi="Arial" w:cs="Arial"/>
                <w:lang w:val="en-US"/>
              </w:rPr>
            </w:pPr>
          </w:p>
        </w:tc>
      </w:tr>
    </w:tbl>
    <w:p w14:paraId="60F25AB7" w14:textId="113C1CE1" w:rsidR="0020146C" w:rsidRPr="0020146C" w:rsidRDefault="0020146C" w:rsidP="004D7521">
      <w:pPr>
        <w:spacing w:line="360" w:lineRule="auto"/>
        <w:ind w:firstLine="708"/>
        <w:jc w:val="both"/>
        <w:rPr>
          <w:rFonts w:ascii="Arial" w:hAnsi="Arial" w:cs="Arial"/>
          <w:lang w:val="en-US"/>
        </w:rPr>
      </w:pPr>
      <w:r w:rsidRPr="0020146C">
        <w:rPr>
          <w:rFonts w:ascii="Arial" w:hAnsi="Arial" w:cs="Arial"/>
          <w:lang w:val="en-US"/>
        </w:rPr>
        <w:t>Equation (5) defines the hydrogen storage capacity constraint.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411"/>
      </w:tblGrid>
      <w:tr w:rsidR="0023035C" w14:paraId="443629D8" w14:textId="77777777" w:rsidTr="008C35C7">
        <w:trPr>
          <w:jc w:val="center"/>
        </w:trPr>
        <w:tc>
          <w:tcPr>
            <w:tcW w:w="7083" w:type="dxa"/>
            <w:vAlign w:val="center"/>
          </w:tcPr>
          <w:p w14:paraId="43645176" w14:textId="205F6BA6" w:rsidR="0023035C" w:rsidRDefault="00000000" w:rsidP="00B033AD">
            <w:pPr>
              <w:spacing w:line="360" w:lineRule="auto"/>
              <w:rPr>
                <w:rFonts w:ascii="Arial" w:hAnsi="Arial" w:cs="Arial"/>
                <w:lang w:val="en-US"/>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sSub>
                  <m:sSubPr>
                    <m:ctrlPr>
                      <w:rPr>
                        <w:rFonts w:ascii="Cambria Math" w:hAnsi="Cambria Math" w:cs="Arial"/>
                        <w:i/>
                      </w:rPr>
                    </m:ctrlPr>
                  </m:sSubPr>
                  <m:e>
                    <m:r>
                      <w:rPr>
                        <w:rFonts w:ascii="Cambria Math" w:hAnsi="Cambria Math" w:cs="Arial"/>
                      </w:rPr>
                      <m:t>ψ</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sto</m:t>
                    </m:r>
                    <m:sSub>
                      <m:sSubPr>
                        <m:ctrlPr>
                          <w:rPr>
                            <w:rFonts w:ascii="Cambria Math" w:hAnsi="Cambria Math" w:cs="Arial"/>
                            <w:i/>
                          </w:rPr>
                        </m:ctrlPr>
                      </m:sSubPr>
                      <m:e>
                        <m:r>
                          <w:rPr>
                            <w:rFonts w:ascii="Cambria Math" w:hAnsi="Cambria Math" w:cs="Arial"/>
                          </w:rPr>
                          <m:t>r</m:t>
                        </m:r>
                      </m:e>
                      <m:sub>
                        <m:r>
                          <w:rPr>
                            <w:rFonts w:ascii="Cambria Math" w:hAnsi="Cambria Math" w:cs="Arial"/>
                          </w:rPr>
                          <m:t>p</m:t>
                        </m:r>
                      </m:sub>
                    </m:sSub>
                  </m:sub>
                </m:sSub>
              </m:oMath>
            </m:oMathPara>
          </w:p>
        </w:tc>
        <w:tc>
          <w:tcPr>
            <w:tcW w:w="1411" w:type="dxa"/>
            <w:vAlign w:val="center"/>
          </w:tcPr>
          <w:p w14:paraId="7A95F960" w14:textId="2B99F886" w:rsidR="0023035C" w:rsidRPr="00E93B12" w:rsidRDefault="0023035C" w:rsidP="00B033AD">
            <w:pPr>
              <w:pStyle w:val="Descripcin"/>
              <w:jc w:val="right"/>
              <w:rPr>
                <w:rFonts w:ascii="Arial" w:hAnsi="Arial" w:cs="Arial"/>
                <w:lang w:val="en-US"/>
              </w:rPr>
            </w:pPr>
            <w:r>
              <w:t xml:space="preserve">( </w:t>
            </w:r>
            <w:fldSimple w:instr=" SEQ ( \* ARABIC ">
              <w:r w:rsidR="009C335C">
                <w:rPr>
                  <w:noProof/>
                </w:rPr>
                <w:t>4</w:t>
              </w:r>
            </w:fldSimple>
            <w:r>
              <w:t xml:space="preserve"> )</w:t>
            </w:r>
          </w:p>
          <w:p w14:paraId="668CD78D" w14:textId="77777777" w:rsidR="0023035C" w:rsidRDefault="0023035C" w:rsidP="00B033AD">
            <w:pPr>
              <w:keepNext/>
              <w:spacing w:line="360" w:lineRule="auto"/>
              <w:jc w:val="right"/>
              <w:rPr>
                <w:rFonts w:ascii="Arial" w:hAnsi="Arial" w:cs="Arial"/>
                <w:lang w:val="en-US"/>
              </w:rPr>
            </w:pPr>
          </w:p>
        </w:tc>
      </w:tr>
    </w:tbl>
    <w:p w14:paraId="007A9D6A" w14:textId="5E6681DE" w:rsidR="0020146C" w:rsidRPr="00147B72" w:rsidRDefault="0020146C" w:rsidP="0020146C">
      <w:pPr>
        <w:spacing w:line="360" w:lineRule="auto"/>
        <w:ind w:firstLine="708"/>
        <w:jc w:val="both"/>
        <w:rPr>
          <w:rFonts w:ascii="Arial" w:hAnsi="Arial" w:cs="Arial"/>
          <w:lang w:val="en-US"/>
        </w:rPr>
      </w:pPr>
      <w:r w:rsidRPr="0020146C">
        <w:rPr>
          <w:rFonts w:ascii="Arial" w:hAnsi="Arial" w:cs="Arial"/>
          <w:lang w:val="en-US"/>
        </w:rPr>
        <w:t xml:space="preserve">Equation (8) defines the hydrogen balance, accounting for storage levels, storage losses, demand, and production over time.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411"/>
      </w:tblGrid>
      <w:tr w:rsidR="007A7ACD" w14:paraId="6FF46F7F" w14:textId="77777777" w:rsidTr="008C35C7">
        <w:trPr>
          <w:jc w:val="center"/>
        </w:trPr>
        <w:tc>
          <w:tcPr>
            <w:tcW w:w="7083" w:type="dxa"/>
            <w:vAlign w:val="center"/>
          </w:tcPr>
          <w:p w14:paraId="70D39B3E" w14:textId="0B726AD6" w:rsidR="007A7ACD" w:rsidRPr="006A0FD4" w:rsidRDefault="00000000" w:rsidP="00B033AD">
            <w:pPr>
              <w:spacing w:line="360" w:lineRule="auto"/>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sSub>
                  <m:sSubPr>
                    <m:ctrlPr>
                      <w:rPr>
                        <w:rFonts w:ascii="Cambria Math" w:hAnsi="Cambria Math" w:cs="Arial"/>
                        <w:i/>
                      </w:rPr>
                    </m:ctrlPr>
                  </m:sSubPr>
                  <m:e>
                    <m:r>
                      <w:rPr>
                        <w:rFonts w:ascii="Cambria Math" w:hAnsi="Cambria Math" w:cs="Arial"/>
                      </w:rPr>
                      <m:t>ψ</m:t>
                    </m:r>
                  </m:e>
                  <m:sub>
                    <m:r>
                      <w:rPr>
                        <w:rFonts w:ascii="Cambria Math" w:hAnsi="Cambria Math" w:cs="Arial"/>
                      </w:rPr>
                      <m:t>1</m:t>
                    </m:r>
                  </m:sub>
                </m:sSub>
                <m:r>
                  <w:rPr>
                    <w:rFonts w:ascii="Cambria Math" w:hAnsi="Cambria Math" w:cs="Arial"/>
                  </w:rPr>
                  <m:t>+</m:t>
                </m:r>
                <m:sSubSup>
                  <m:sSubSupPr>
                    <m:ctrlPr>
                      <w:rPr>
                        <w:rFonts w:ascii="Cambria Math" w:hAnsi="Cambria Math" w:cs="Arial"/>
                        <w:i/>
                      </w:rPr>
                    </m:ctrlPr>
                  </m:sSubSupPr>
                  <m:e>
                    <m:r>
                      <w:rPr>
                        <w:rFonts w:ascii="Cambria Math" w:hAnsi="Cambria Math" w:cs="Arial"/>
                      </w:rPr>
                      <m:t>S</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up>
                    <m:r>
                      <w:rPr>
                        <w:rFonts w:ascii="Cambria Math" w:hAnsi="Cambria Math" w:cs="Arial"/>
                      </w:rPr>
                      <m:t>loss</m:t>
                    </m:r>
                  </m:sup>
                </m:sSubSup>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D</m:t>
                    </m:r>
                  </m:e>
                  <m:sub>
                    <m:r>
                      <w:rPr>
                        <w:rFonts w:ascii="Cambria Math" w:eastAsiaTheme="minorEastAsia" w:hAnsi="Cambria Math" w:cs="Arial"/>
                      </w:rPr>
                      <m:t>H</m:t>
                    </m:r>
                    <m:sSub>
                      <m:sSubPr>
                        <m:ctrlPr>
                          <w:rPr>
                            <w:rFonts w:ascii="Cambria Math" w:eastAsiaTheme="minorEastAsia" w:hAnsi="Cambria Math" w:cs="Arial"/>
                            <w:i/>
                          </w:rPr>
                        </m:ctrlPr>
                      </m:sSubPr>
                      <m:e>
                        <m:r>
                          <w:rPr>
                            <w:rFonts w:ascii="Cambria Math" w:eastAsiaTheme="minorEastAsia"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eastAsiaTheme="minorEastAsia" w:hAnsi="Cambria Math" w:cs="Arial"/>
                  </w:rPr>
                  <m:t>=</m:t>
                </m:r>
                <m:sSub>
                  <m:sSubPr>
                    <m:ctrlPr>
                      <w:rPr>
                        <w:rFonts w:ascii="Cambria Math" w:hAnsi="Cambria Math" w:cs="Arial"/>
                        <w:i/>
                      </w:rPr>
                    </m:ctrlPr>
                  </m:sSubPr>
                  <m:e>
                    <m:r>
                      <w:rPr>
                        <w:rFonts w:ascii="Cambria Math" w:hAnsi="Cambria Math" w:cs="Arial"/>
                      </w:rPr>
                      <m:t>Prod</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oMath>
            </m:oMathPara>
          </w:p>
        </w:tc>
        <w:tc>
          <w:tcPr>
            <w:tcW w:w="1411" w:type="dxa"/>
            <w:vAlign w:val="center"/>
          </w:tcPr>
          <w:p w14:paraId="00F78D97" w14:textId="0FC61E19" w:rsidR="007A7ACD" w:rsidRPr="00E93B12" w:rsidRDefault="007A7ACD" w:rsidP="00B033AD">
            <w:pPr>
              <w:pStyle w:val="Descripcin"/>
              <w:jc w:val="right"/>
              <w:rPr>
                <w:rFonts w:ascii="Arial" w:hAnsi="Arial" w:cs="Arial"/>
                <w:lang w:val="en-US"/>
              </w:rPr>
            </w:pPr>
            <w:r>
              <w:t xml:space="preserve">( </w:t>
            </w:r>
            <w:fldSimple w:instr=" SEQ ( \* ARABIC ">
              <w:r w:rsidR="009C335C">
                <w:rPr>
                  <w:noProof/>
                </w:rPr>
                <w:t>5</w:t>
              </w:r>
            </w:fldSimple>
            <w:r>
              <w:t xml:space="preserve"> )</w:t>
            </w:r>
          </w:p>
          <w:p w14:paraId="33FF9B45" w14:textId="77777777" w:rsidR="007A7ACD" w:rsidRDefault="007A7ACD" w:rsidP="00B033AD">
            <w:pPr>
              <w:keepNext/>
              <w:spacing w:line="360" w:lineRule="auto"/>
              <w:jc w:val="right"/>
              <w:rPr>
                <w:rFonts w:ascii="Arial" w:hAnsi="Arial" w:cs="Arial"/>
                <w:lang w:val="en-US"/>
              </w:rPr>
            </w:pPr>
          </w:p>
        </w:tc>
      </w:tr>
    </w:tbl>
    <w:p w14:paraId="6C2418D4" w14:textId="7798F344" w:rsidR="00C005E2" w:rsidRPr="0020146C" w:rsidRDefault="0020146C" w:rsidP="004D7521">
      <w:pPr>
        <w:spacing w:line="360" w:lineRule="auto"/>
        <w:ind w:firstLine="708"/>
        <w:jc w:val="both"/>
        <w:rPr>
          <w:rFonts w:ascii="Arial" w:hAnsi="Arial" w:cs="Arial"/>
          <w:lang w:val="en-US"/>
        </w:rPr>
      </w:pPr>
      <w:r w:rsidRPr="0020146C">
        <w:rPr>
          <w:rFonts w:ascii="Arial" w:hAnsi="Arial" w:cs="Arial"/>
          <w:lang w:val="en-US"/>
        </w:rPr>
        <w:t xml:space="preserve">Equation (7) defines the green hydrogen production targets set as part of the system's operational objectives.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1411"/>
      </w:tblGrid>
      <w:tr w:rsidR="007A7ACD" w14:paraId="7E5C451F" w14:textId="77777777" w:rsidTr="008C35C7">
        <w:trPr>
          <w:jc w:val="center"/>
        </w:trPr>
        <w:tc>
          <w:tcPr>
            <w:tcW w:w="7083" w:type="dxa"/>
            <w:vAlign w:val="center"/>
          </w:tcPr>
          <w:p w14:paraId="2508CDAD" w14:textId="699B7207" w:rsidR="007A7ACD" w:rsidRPr="006A0FD4" w:rsidRDefault="00000000" w:rsidP="00B033AD">
            <w:pPr>
              <w:spacing w:line="360" w:lineRule="auto"/>
              <w:rPr>
                <w:rFonts w:ascii="Arial" w:eastAsiaTheme="minorEastAsia" w:hAnsi="Arial" w:cs="Arial"/>
              </w:rPr>
            </w:pPr>
            <m:oMathPara>
              <m:oMath>
                <m:nary>
                  <m:naryPr>
                    <m:chr m:val="∑"/>
                    <m:limLoc m:val="undOvr"/>
                    <m:supHide m:val="1"/>
                    <m:ctrlPr>
                      <w:rPr>
                        <w:rFonts w:ascii="Cambria Math" w:hAnsi="Cambria Math" w:cs="Arial"/>
                        <w:i/>
                      </w:rPr>
                    </m:ctrlPr>
                  </m:naryPr>
                  <m:sub>
                    <m:r>
                      <w:rPr>
                        <w:rFonts w:ascii="Cambria Math" w:hAnsi="Cambria Math" w:cs="Arial"/>
                      </w:rPr>
                      <m:t>t∈</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T</m:t>
                        </m:r>
                      </m:sub>
                    </m:sSub>
                  </m:sub>
                  <m:sup/>
                  <m:e>
                    <m:sSub>
                      <m:sSubPr>
                        <m:ctrlPr>
                          <w:rPr>
                            <w:rFonts w:ascii="Cambria Math" w:hAnsi="Cambria Math" w:cs="Arial"/>
                            <w:i/>
                          </w:rPr>
                        </m:ctrlPr>
                      </m:sSubPr>
                      <m:e>
                        <m:r>
                          <w:rPr>
                            <w:rFonts w:ascii="Cambria Math" w:hAnsi="Cambria Math" w:cs="Arial"/>
                          </w:rPr>
                          <m:t>Prod</m:t>
                        </m:r>
                      </m:e>
                      <m:sub>
                        <m:r>
                          <w:rPr>
                            <w:rFonts w:ascii="Cambria Math" w:hAnsi="Cambria Math" w:cs="Arial"/>
                          </w:rPr>
                          <m:t>H</m:t>
                        </m:r>
                        <m:sSub>
                          <m:sSubPr>
                            <m:ctrlPr>
                              <w:rPr>
                                <w:rFonts w:ascii="Cambria Math" w:hAnsi="Cambria Math" w:cs="Arial"/>
                                <w:i/>
                              </w:rPr>
                            </m:ctrlPr>
                          </m:sSubPr>
                          <m:e>
                            <m:r>
                              <w:rPr>
                                <w:rFonts w:ascii="Cambria Math" w:hAnsi="Cambria Math" w:cs="Arial"/>
                              </w:rPr>
                              <m:t>2</m:t>
                            </m:r>
                          </m:e>
                          <m:sub>
                            <m:d>
                              <m:dPr>
                                <m:ctrlPr>
                                  <w:rPr>
                                    <w:rFonts w:ascii="Cambria Math" w:hAnsi="Cambria Math" w:cs="Arial"/>
                                    <w:i/>
                                  </w:rPr>
                                </m:ctrlPr>
                              </m:dPr>
                              <m:e>
                                <m:r>
                                  <w:rPr>
                                    <w:rFonts w:ascii="Cambria Math" w:hAnsi="Cambria Math" w:cs="Arial"/>
                                  </w:rPr>
                                  <m:t>t,p</m:t>
                                </m:r>
                              </m:e>
                            </m:d>
                          </m:sub>
                        </m:sSub>
                      </m:sub>
                    </m:sSub>
                    <m:r>
                      <w:rPr>
                        <w:rFonts w:ascii="Cambria Math" w:hAnsi="Cambria Math" w:cs="Arial"/>
                      </w:rPr>
                      <m:t>≤</m:t>
                    </m:r>
                    <m:sSub>
                      <m:sSubPr>
                        <m:ctrlPr>
                          <w:rPr>
                            <w:rFonts w:ascii="Cambria Math" w:hAnsi="Cambria Math" w:cs="Arial"/>
                            <w:i/>
                          </w:rPr>
                        </m:ctrlPr>
                      </m:sSubPr>
                      <m:e>
                        <m:r>
                          <w:rPr>
                            <w:rFonts w:ascii="Cambria Math" w:hAnsi="Cambria Math" w:cs="Arial"/>
                          </w:rPr>
                          <m:t>G</m:t>
                        </m:r>
                      </m:e>
                      <m:sub>
                        <m:sSub>
                          <m:sSubPr>
                            <m:ctrlPr>
                              <w:rPr>
                                <w:rFonts w:ascii="Cambria Math" w:hAnsi="Cambria Math" w:cs="Arial"/>
                                <w:i/>
                              </w:rPr>
                            </m:ctrlPr>
                          </m:sSubPr>
                          <m:e>
                            <m:r>
                              <w:rPr>
                                <w:rFonts w:ascii="Cambria Math" w:hAnsi="Cambria Math" w:cs="Arial"/>
                              </w:rPr>
                              <m:t>targets</m:t>
                            </m:r>
                          </m:e>
                          <m:sub>
                            <m:d>
                              <m:dPr>
                                <m:ctrlPr>
                                  <w:rPr>
                                    <w:rFonts w:ascii="Cambria Math" w:hAnsi="Cambria Math" w:cs="Arial"/>
                                    <w:i/>
                                  </w:rPr>
                                </m:ctrlPr>
                              </m:dPr>
                              <m:e>
                                <m:r>
                                  <w:rPr>
                                    <w:rFonts w:ascii="Cambria Math" w:hAnsi="Cambria Math" w:cs="Arial"/>
                                  </w:rPr>
                                  <m:t>t,p</m:t>
                                </m:r>
                              </m:e>
                            </m:d>
                          </m:sub>
                        </m:sSub>
                      </m:sub>
                    </m:sSub>
                  </m:e>
                </m:nary>
              </m:oMath>
            </m:oMathPara>
          </w:p>
        </w:tc>
        <w:tc>
          <w:tcPr>
            <w:tcW w:w="1411" w:type="dxa"/>
            <w:vAlign w:val="center"/>
          </w:tcPr>
          <w:p w14:paraId="5DC72649" w14:textId="642720B2" w:rsidR="007A7ACD" w:rsidRPr="00E93B12" w:rsidRDefault="007A7ACD" w:rsidP="00B033AD">
            <w:pPr>
              <w:pStyle w:val="Descripcin"/>
              <w:jc w:val="right"/>
              <w:rPr>
                <w:rFonts w:ascii="Arial" w:hAnsi="Arial" w:cs="Arial"/>
                <w:lang w:val="en-US"/>
              </w:rPr>
            </w:pPr>
            <w:r>
              <w:t xml:space="preserve">( </w:t>
            </w:r>
            <w:fldSimple w:instr=" SEQ ( \* ARABIC ">
              <w:r w:rsidR="009C335C">
                <w:rPr>
                  <w:noProof/>
                </w:rPr>
                <w:t>6</w:t>
              </w:r>
            </w:fldSimple>
            <w:r>
              <w:t xml:space="preserve"> )</w:t>
            </w:r>
          </w:p>
          <w:p w14:paraId="3C14A074" w14:textId="77777777" w:rsidR="007A7ACD" w:rsidRDefault="007A7ACD" w:rsidP="00B033AD">
            <w:pPr>
              <w:keepNext/>
              <w:spacing w:line="360" w:lineRule="auto"/>
              <w:jc w:val="right"/>
              <w:rPr>
                <w:rFonts w:ascii="Arial" w:hAnsi="Arial" w:cs="Arial"/>
                <w:lang w:val="en-US"/>
              </w:rPr>
            </w:pPr>
          </w:p>
        </w:tc>
      </w:tr>
    </w:tbl>
    <w:p w14:paraId="78D513F2" w14:textId="40BC57B9" w:rsidR="00490CF5" w:rsidRDefault="00490CF5" w:rsidP="003743DE">
      <w:pPr>
        <w:spacing w:line="360" w:lineRule="auto"/>
        <w:rPr>
          <w:rFonts w:ascii="Arial" w:hAnsi="Arial" w:cs="Arial"/>
          <w:b/>
          <w:bCs/>
          <w:lang w:val="en-US"/>
        </w:rPr>
      </w:pPr>
      <w:r>
        <w:rPr>
          <w:rFonts w:ascii="Arial" w:hAnsi="Arial" w:cs="Arial"/>
          <w:b/>
          <w:bCs/>
          <w:lang w:val="en-US"/>
        </w:rPr>
        <w:t>Results</w:t>
      </w:r>
    </w:p>
    <w:p w14:paraId="4C7AADCD" w14:textId="33C491E7" w:rsidR="00724BCC" w:rsidRDefault="00724BCC" w:rsidP="00917C07">
      <w:pPr>
        <w:spacing w:line="360" w:lineRule="auto"/>
        <w:jc w:val="both"/>
        <w:rPr>
          <w:rFonts w:ascii="Arial" w:hAnsi="Arial" w:cs="Arial"/>
          <w:lang w:val="en-US"/>
        </w:rPr>
      </w:pPr>
      <w:r w:rsidRPr="00724BCC">
        <w:rPr>
          <w:rFonts w:ascii="Arial" w:hAnsi="Arial" w:cs="Arial"/>
          <w:lang w:val="en-US"/>
        </w:rPr>
        <w:t xml:space="preserve">Figure 1 presents the hydrogen production, storage levels, and associated storage losses across the three phases of the project: initial, intermediate, and final. Meanwhile, Figure 2 illustrates the external power supplied to the mine for hydrogen production to meet the projected demand. Additionally, it highlights a portion of the power that could potentially be allocated to charge electric haul trucks. The estimated investment costs include a CAPEX of USD 37.36 million and an OPEX of USD 1.12 million </w:t>
      </w:r>
      <w:r w:rsidRPr="00724BCC">
        <w:rPr>
          <w:rFonts w:ascii="Arial" w:hAnsi="Arial" w:cs="Arial"/>
          <w:lang w:val="en-US"/>
        </w:rPr>
        <w:lastRenderedPageBreak/>
        <w:t>for the electrolyzer, as well as a CAPEX of USD 12.71 million and an OPEX of USD 0.25 million for the hydrogen storage system.</w:t>
      </w:r>
    </w:p>
    <w:p w14:paraId="172018BE" w14:textId="77777777" w:rsidR="00917C07" w:rsidRPr="00724BCC" w:rsidRDefault="003E2F54" w:rsidP="00917C07">
      <w:pPr>
        <w:keepNext/>
        <w:spacing w:line="360" w:lineRule="auto"/>
        <w:jc w:val="center"/>
        <w:rPr>
          <w:lang w:val="en-US"/>
        </w:rPr>
      </w:pPr>
      <w:r>
        <w:rPr>
          <w:rFonts w:ascii="Arial" w:hAnsi="Arial" w:cs="Arial"/>
          <w:b/>
          <w:bCs/>
          <w:noProof/>
          <w:lang w:val="en-US"/>
        </w:rPr>
        <w:drawing>
          <wp:inline distT="0" distB="0" distL="0" distR="0" wp14:anchorId="23F5DED9" wp14:editId="737F3C72">
            <wp:extent cx="4261640" cy="1498388"/>
            <wp:effectExtent l="0" t="0" r="5715" b="6985"/>
            <wp:docPr id="1404468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68215" name="Imagen 14044682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9654" cy="1515270"/>
                    </a:xfrm>
                    <a:prstGeom prst="rect">
                      <a:avLst/>
                    </a:prstGeom>
                  </pic:spPr>
                </pic:pic>
              </a:graphicData>
            </a:graphic>
          </wp:inline>
        </w:drawing>
      </w:r>
    </w:p>
    <w:p w14:paraId="495A2147" w14:textId="0301B334" w:rsidR="00490CF5" w:rsidRPr="00917C07" w:rsidRDefault="00917C07" w:rsidP="00917C07">
      <w:pPr>
        <w:pStyle w:val="Descripcin"/>
        <w:jc w:val="center"/>
        <w:rPr>
          <w:rFonts w:ascii="Arial" w:hAnsi="Arial" w:cs="Arial"/>
          <w:b/>
          <w:bCs/>
          <w:lang w:val="en-US"/>
        </w:rPr>
      </w:pPr>
      <w:r w:rsidRPr="00917C07">
        <w:rPr>
          <w:lang w:val="en-US"/>
        </w:rPr>
        <w:t xml:space="preserve">Figure </w:t>
      </w:r>
      <w:r>
        <w:fldChar w:fldCharType="begin"/>
      </w:r>
      <w:r w:rsidRPr="00917C07">
        <w:rPr>
          <w:lang w:val="en-US"/>
        </w:rPr>
        <w:instrText xml:space="preserve"> SEQ Figure \* ARABIC </w:instrText>
      </w:r>
      <w:r>
        <w:fldChar w:fldCharType="separate"/>
      </w:r>
      <w:r>
        <w:rPr>
          <w:noProof/>
          <w:lang w:val="en-US"/>
        </w:rPr>
        <w:t>1</w:t>
      </w:r>
      <w:r>
        <w:fldChar w:fldCharType="end"/>
      </w:r>
      <w:r w:rsidRPr="00917C07">
        <w:rPr>
          <w:lang w:val="en-US"/>
        </w:rPr>
        <w:t xml:space="preserve"> Hydrogen Production, Storage, and Losses by Phase</w:t>
      </w:r>
    </w:p>
    <w:p w14:paraId="48DCA544" w14:textId="714125DB" w:rsidR="003E2F54" w:rsidRDefault="00917C07" w:rsidP="00917C07">
      <w:pPr>
        <w:spacing w:line="360" w:lineRule="auto"/>
        <w:jc w:val="center"/>
        <w:rPr>
          <w:rFonts w:ascii="Arial" w:hAnsi="Arial" w:cs="Arial"/>
          <w:b/>
          <w:bCs/>
          <w:lang w:val="en-US"/>
        </w:rPr>
      </w:pPr>
      <w:r>
        <w:rPr>
          <w:rFonts w:ascii="Arial" w:hAnsi="Arial" w:cs="Arial"/>
          <w:b/>
          <w:bCs/>
          <w:noProof/>
          <w:lang w:val="en-US"/>
        </w:rPr>
        <w:drawing>
          <wp:inline distT="0" distB="0" distL="0" distR="0" wp14:anchorId="6B5625B0" wp14:editId="63AF09B5">
            <wp:extent cx="4189995" cy="1473200"/>
            <wp:effectExtent l="0" t="0" r="1270" b="0"/>
            <wp:docPr id="1988665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6528" name="Imagen 1988665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9879" cy="1487223"/>
                    </a:xfrm>
                    <a:prstGeom prst="rect">
                      <a:avLst/>
                    </a:prstGeom>
                  </pic:spPr>
                </pic:pic>
              </a:graphicData>
            </a:graphic>
          </wp:inline>
        </w:drawing>
      </w:r>
    </w:p>
    <w:p w14:paraId="7AE489F8" w14:textId="2A5E0CA6" w:rsidR="00917C07" w:rsidRDefault="00917C07" w:rsidP="00917C07">
      <w:pPr>
        <w:pStyle w:val="Descripcin"/>
        <w:jc w:val="center"/>
        <w:rPr>
          <w:rFonts w:ascii="Arial" w:hAnsi="Arial" w:cs="Arial"/>
          <w:b/>
          <w:bCs/>
          <w:lang w:val="en-US"/>
        </w:rPr>
      </w:pPr>
      <w:r w:rsidRPr="00917C07">
        <w:rPr>
          <w:lang w:val="en-US"/>
        </w:rPr>
        <w:t xml:space="preserve">Figure </w:t>
      </w:r>
      <w:r>
        <w:fldChar w:fldCharType="begin"/>
      </w:r>
      <w:r w:rsidRPr="00917C07">
        <w:rPr>
          <w:lang w:val="en-US"/>
        </w:rPr>
        <w:instrText xml:space="preserve"> SEQ Figure \* ARABIC </w:instrText>
      </w:r>
      <w:r>
        <w:fldChar w:fldCharType="separate"/>
      </w:r>
      <w:r w:rsidRPr="00917C07">
        <w:rPr>
          <w:noProof/>
          <w:lang w:val="en-US"/>
        </w:rPr>
        <w:t>2</w:t>
      </w:r>
      <w:r>
        <w:fldChar w:fldCharType="end"/>
      </w:r>
      <w:r w:rsidRPr="00917C07">
        <w:rPr>
          <w:lang w:val="en-US"/>
        </w:rPr>
        <w:t xml:space="preserve"> External Power and Power Supplied to Haul Trucks by Phase</w:t>
      </w:r>
    </w:p>
    <w:p w14:paraId="7A113D2F" w14:textId="417D23D9" w:rsidR="003743DE" w:rsidRPr="006A0FD4" w:rsidRDefault="006A0FD4" w:rsidP="003743DE">
      <w:pPr>
        <w:spacing w:line="360" w:lineRule="auto"/>
        <w:rPr>
          <w:rFonts w:ascii="Arial" w:hAnsi="Arial" w:cs="Arial"/>
          <w:b/>
          <w:bCs/>
          <w:lang w:val="en-US"/>
        </w:rPr>
      </w:pPr>
      <w:r w:rsidRPr="006A0FD4">
        <w:rPr>
          <w:rFonts w:ascii="Arial" w:hAnsi="Arial" w:cs="Arial"/>
          <w:b/>
          <w:bCs/>
          <w:lang w:val="en-US"/>
        </w:rPr>
        <w:t>The professional profile of the author</w:t>
      </w:r>
      <w:r w:rsidR="003743DE" w:rsidRPr="006A0FD4">
        <w:rPr>
          <w:rFonts w:ascii="Arial" w:hAnsi="Arial" w:cs="Arial"/>
          <w:b/>
          <w:bCs/>
          <w:lang w:val="en-US"/>
        </w:rPr>
        <w:t>:</w:t>
      </w:r>
    </w:p>
    <w:p w14:paraId="75650F82" w14:textId="77777777" w:rsidR="00A8314B" w:rsidRDefault="00A8314B" w:rsidP="00917C07">
      <w:pPr>
        <w:spacing w:line="360" w:lineRule="auto"/>
        <w:jc w:val="both"/>
        <w:rPr>
          <w:rFonts w:ascii="Arial" w:hAnsi="Arial" w:cs="Arial"/>
          <w:lang w:val="en-US"/>
        </w:rPr>
      </w:pPr>
      <w:r w:rsidRPr="00A8314B">
        <w:rPr>
          <w:rFonts w:ascii="Arial" w:hAnsi="Arial" w:cs="Arial"/>
          <w:lang w:val="en-US"/>
        </w:rPr>
        <w:t xml:space="preserve">Hayro Anthony Pumalloclla Castilla holds a Bachelor's degree in Electrical Engineering from UNSAAC and is currently pursuing a Master's at the Federal University of ABC (Brazil). His thesis explores offshore wind farm layout optimization for renewable electricity and hydrogen production, using tools like Python, GAMS, and AMPL. He has experience in power system planning at Electro Sur Este S.A.A. and OSINERGMIN. His expertise covers renewable energy, electricity markets, and green hydrogen in industrial and mining contexts. He has also received international recognition for his work in spatial optimization of offshore infrastructure. </w:t>
      </w:r>
    </w:p>
    <w:p w14:paraId="32208559" w14:textId="235FAFCF" w:rsidR="00C74F5D" w:rsidRPr="00F76CF4" w:rsidRDefault="0020146C" w:rsidP="00C46958">
      <w:pPr>
        <w:spacing w:line="360" w:lineRule="auto"/>
        <w:rPr>
          <w:rFonts w:ascii="Arial" w:hAnsi="Arial" w:cs="Arial"/>
          <w:b/>
          <w:bCs/>
          <w:lang w:val="en-US"/>
        </w:rPr>
      </w:pPr>
      <w:r w:rsidRPr="00F76CF4">
        <w:rPr>
          <w:rFonts w:ascii="Arial" w:hAnsi="Arial" w:cs="Arial"/>
          <w:b/>
          <w:bCs/>
          <w:lang w:val="en-US"/>
        </w:rPr>
        <w:t>References</w:t>
      </w:r>
      <w:r w:rsidR="00C74F5D" w:rsidRPr="00F76CF4">
        <w:rPr>
          <w:rFonts w:ascii="Arial" w:hAnsi="Arial" w:cs="Arial"/>
          <w:b/>
          <w:bCs/>
          <w:lang w:val="en-US"/>
        </w:rPr>
        <w:t xml:space="preserve"> </w:t>
      </w:r>
    </w:p>
    <w:sdt>
      <w:sdtPr>
        <w:rPr>
          <w:rFonts w:ascii="Arial" w:hAnsi="Arial" w:cs="Arial"/>
          <w:color w:val="000000"/>
        </w:rPr>
        <w:tag w:val="MENDELEY_BIBLIOGRAPHY"/>
        <w:id w:val="-730466202"/>
        <w:placeholder>
          <w:docPart w:val="DefaultPlaceholder_-1854013440"/>
        </w:placeholder>
      </w:sdtPr>
      <w:sdtContent>
        <w:p w14:paraId="6D5766AF" w14:textId="77777777" w:rsidR="00B71343" w:rsidRPr="00D621FC" w:rsidRDefault="00B71343" w:rsidP="00A8314B">
          <w:pPr>
            <w:autoSpaceDE w:val="0"/>
            <w:autoSpaceDN w:val="0"/>
            <w:ind w:hanging="480"/>
            <w:jc w:val="both"/>
            <w:divId w:val="598418087"/>
            <w:rPr>
              <w:rFonts w:eastAsia="Times New Roman"/>
              <w:kern w:val="0"/>
              <w:sz w:val="24"/>
              <w:szCs w:val="24"/>
              <w:lang w:val="en-US"/>
              <w14:ligatures w14:val="none"/>
            </w:rPr>
          </w:pPr>
          <w:r w:rsidRPr="00D621FC">
            <w:rPr>
              <w:rFonts w:eastAsia="Times New Roman"/>
              <w:lang w:val="en-US"/>
            </w:rPr>
            <w:t xml:space="preserve">Dinh, V. N., Leahy, P., McKeogh, E., Murphy, J., &amp; Cummins, V. (2021). Development of a viability assessment model for hydrogen production from dedicated offshore wind farms. </w:t>
          </w:r>
          <w:r w:rsidRPr="00D621FC">
            <w:rPr>
              <w:rFonts w:eastAsia="Times New Roman"/>
              <w:i/>
              <w:iCs/>
              <w:lang w:val="en-US"/>
            </w:rPr>
            <w:t>International Journal of Hydrogen Energy</w:t>
          </w:r>
          <w:r w:rsidRPr="00D621FC">
            <w:rPr>
              <w:rFonts w:eastAsia="Times New Roman"/>
              <w:lang w:val="en-US"/>
            </w:rPr>
            <w:t xml:space="preserve">, </w:t>
          </w:r>
          <w:r w:rsidRPr="00D621FC">
            <w:rPr>
              <w:rFonts w:eastAsia="Times New Roman"/>
              <w:i/>
              <w:iCs/>
              <w:lang w:val="en-US"/>
            </w:rPr>
            <w:t>46</w:t>
          </w:r>
          <w:r w:rsidRPr="00D621FC">
            <w:rPr>
              <w:rFonts w:eastAsia="Times New Roman"/>
              <w:lang w:val="en-US"/>
            </w:rPr>
            <w:t>(48), 24620–24631. https://doi.org/10.1016/j.ijhydene.2020.04.232</w:t>
          </w:r>
        </w:p>
        <w:p w14:paraId="4D0B35F1" w14:textId="77777777" w:rsidR="00B71343" w:rsidRPr="00D621FC" w:rsidRDefault="00B71343" w:rsidP="00A8314B">
          <w:pPr>
            <w:autoSpaceDE w:val="0"/>
            <w:autoSpaceDN w:val="0"/>
            <w:ind w:hanging="480"/>
            <w:jc w:val="both"/>
            <w:divId w:val="156842492"/>
            <w:rPr>
              <w:rFonts w:eastAsia="Times New Roman"/>
              <w:lang w:val="en-US"/>
            </w:rPr>
          </w:pPr>
          <w:r w:rsidRPr="00D621FC">
            <w:rPr>
              <w:rFonts w:eastAsia="Times New Roman"/>
              <w:lang w:val="en-US"/>
            </w:rPr>
            <w:t xml:space="preserve">Moran, C., Deane, P., Yousefian, S., &amp; Monaghan, R. F. D. (2024). The hydrogen storage challenge: Does storage method and size affect the cost and operational flexibility of hydrogen supply chains? </w:t>
          </w:r>
          <w:r w:rsidRPr="00D621FC">
            <w:rPr>
              <w:rFonts w:eastAsia="Times New Roman"/>
              <w:i/>
              <w:iCs/>
              <w:lang w:val="en-US"/>
            </w:rPr>
            <w:t>International Journal of Hydrogen Energy</w:t>
          </w:r>
          <w:r w:rsidRPr="00D621FC">
            <w:rPr>
              <w:rFonts w:eastAsia="Times New Roman"/>
              <w:lang w:val="en-US"/>
            </w:rPr>
            <w:t xml:space="preserve">, </w:t>
          </w:r>
          <w:r w:rsidRPr="00D621FC">
            <w:rPr>
              <w:rFonts w:eastAsia="Times New Roman"/>
              <w:i/>
              <w:iCs/>
              <w:lang w:val="en-US"/>
            </w:rPr>
            <w:t>52</w:t>
          </w:r>
          <w:r w:rsidRPr="00D621FC">
            <w:rPr>
              <w:rFonts w:eastAsia="Times New Roman"/>
              <w:lang w:val="en-US"/>
            </w:rPr>
            <w:t>, 1090–1100. https://doi.org/10.1016/j.ijhydene.2023.06.269</w:t>
          </w:r>
        </w:p>
        <w:p w14:paraId="09A02BB9" w14:textId="254D3684" w:rsidR="00C46958" w:rsidRPr="006A0FD4" w:rsidRDefault="00B71343" w:rsidP="003B7DBC">
          <w:pPr>
            <w:autoSpaceDE w:val="0"/>
            <w:autoSpaceDN w:val="0"/>
            <w:ind w:hanging="480"/>
            <w:jc w:val="both"/>
            <w:rPr>
              <w:rFonts w:ascii="Arial" w:hAnsi="Arial" w:cs="Arial"/>
            </w:rPr>
          </w:pPr>
          <w:proofErr w:type="spellStart"/>
          <w:r w:rsidRPr="00D621FC">
            <w:rPr>
              <w:rFonts w:eastAsia="Times New Roman"/>
              <w:lang w:val="en-US"/>
            </w:rPr>
            <w:t>Rogeau</w:t>
          </w:r>
          <w:proofErr w:type="spellEnd"/>
          <w:r w:rsidRPr="00D621FC">
            <w:rPr>
              <w:rFonts w:eastAsia="Times New Roman"/>
              <w:lang w:val="en-US"/>
            </w:rPr>
            <w:t xml:space="preserve">, A., </w:t>
          </w:r>
          <w:proofErr w:type="spellStart"/>
          <w:r w:rsidRPr="00D621FC">
            <w:rPr>
              <w:rFonts w:eastAsia="Times New Roman"/>
              <w:lang w:val="en-US"/>
            </w:rPr>
            <w:t>Vieubled</w:t>
          </w:r>
          <w:proofErr w:type="spellEnd"/>
          <w:r w:rsidRPr="00D621FC">
            <w:rPr>
              <w:rFonts w:eastAsia="Times New Roman"/>
              <w:lang w:val="en-US"/>
            </w:rPr>
            <w:t xml:space="preserve">, J., De </w:t>
          </w:r>
          <w:proofErr w:type="spellStart"/>
          <w:r w:rsidRPr="00D621FC">
            <w:rPr>
              <w:rFonts w:eastAsia="Times New Roman"/>
              <w:lang w:val="en-US"/>
            </w:rPr>
            <w:t>Coatpont</w:t>
          </w:r>
          <w:proofErr w:type="spellEnd"/>
          <w:r w:rsidRPr="00D621FC">
            <w:rPr>
              <w:rFonts w:eastAsia="Times New Roman"/>
              <w:lang w:val="en-US"/>
            </w:rPr>
            <w:t xml:space="preserve">, M., Nobrega, P. A., Erbs, G., &amp; Girard, R. (2023). Techno-economic evaluation and resource assessment of hydrogen production through offshore wind farms: A European perspective. </w:t>
          </w:r>
          <w:proofErr w:type="spellStart"/>
          <w:r>
            <w:rPr>
              <w:rFonts w:eastAsia="Times New Roman"/>
              <w:i/>
              <w:iCs/>
            </w:rPr>
            <w:t>Renewable</w:t>
          </w:r>
          <w:proofErr w:type="spellEnd"/>
          <w:r>
            <w:rPr>
              <w:rFonts w:eastAsia="Times New Roman"/>
              <w:i/>
              <w:iCs/>
            </w:rPr>
            <w:t xml:space="preserve"> and </w:t>
          </w:r>
          <w:proofErr w:type="spellStart"/>
          <w:r>
            <w:rPr>
              <w:rFonts w:eastAsia="Times New Roman"/>
              <w:i/>
              <w:iCs/>
            </w:rPr>
            <w:t>Sustainable</w:t>
          </w:r>
          <w:proofErr w:type="spellEnd"/>
          <w:r>
            <w:rPr>
              <w:rFonts w:eastAsia="Times New Roman"/>
              <w:i/>
              <w:iCs/>
            </w:rPr>
            <w:t xml:space="preserve"> Energy </w:t>
          </w:r>
          <w:proofErr w:type="spellStart"/>
          <w:r>
            <w:rPr>
              <w:rFonts w:eastAsia="Times New Roman"/>
              <w:i/>
              <w:iCs/>
            </w:rPr>
            <w:t>Reviews</w:t>
          </w:r>
          <w:proofErr w:type="spellEnd"/>
          <w:r>
            <w:rPr>
              <w:rFonts w:eastAsia="Times New Roman"/>
            </w:rPr>
            <w:t xml:space="preserve">, </w:t>
          </w:r>
          <w:r>
            <w:rPr>
              <w:rFonts w:eastAsia="Times New Roman"/>
              <w:i/>
              <w:iCs/>
            </w:rPr>
            <w:t>187</w:t>
          </w:r>
          <w:r>
            <w:rPr>
              <w:rFonts w:eastAsia="Times New Roman"/>
            </w:rPr>
            <w:t>. https://doi.org/10.5281/zenodo.8 </w:t>
          </w:r>
        </w:p>
      </w:sdtContent>
    </w:sdt>
    <w:sectPr w:rsidR="00C46958" w:rsidRPr="006A0FD4" w:rsidSect="00A8314B">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1C727" w14:textId="77777777" w:rsidR="00FE7B11" w:rsidRDefault="00FE7B11" w:rsidP="00A430D0">
      <w:pPr>
        <w:spacing w:after="0" w:line="240" w:lineRule="auto"/>
      </w:pPr>
      <w:r>
        <w:separator/>
      </w:r>
    </w:p>
  </w:endnote>
  <w:endnote w:type="continuationSeparator" w:id="0">
    <w:p w14:paraId="4252D47A" w14:textId="77777777" w:rsidR="00FE7B11" w:rsidRDefault="00FE7B11" w:rsidP="00A43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C9888" w14:textId="77777777" w:rsidR="00FE7B11" w:rsidRDefault="00FE7B11" w:rsidP="00A430D0">
      <w:pPr>
        <w:spacing w:after="0" w:line="240" w:lineRule="auto"/>
      </w:pPr>
      <w:r>
        <w:separator/>
      </w:r>
    </w:p>
  </w:footnote>
  <w:footnote w:type="continuationSeparator" w:id="0">
    <w:p w14:paraId="56414EE0" w14:textId="77777777" w:rsidR="00FE7B11" w:rsidRDefault="00FE7B11" w:rsidP="00A430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58"/>
    <w:rsid w:val="00032F2C"/>
    <w:rsid w:val="00036465"/>
    <w:rsid w:val="00055D3F"/>
    <w:rsid w:val="00055FE5"/>
    <w:rsid w:val="00094D66"/>
    <w:rsid w:val="000F767D"/>
    <w:rsid w:val="00147B72"/>
    <w:rsid w:val="00177DD3"/>
    <w:rsid w:val="001E6209"/>
    <w:rsid w:val="0020146C"/>
    <w:rsid w:val="00211D4F"/>
    <w:rsid w:val="0022508B"/>
    <w:rsid w:val="0023035C"/>
    <w:rsid w:val="00250319"/>
    <w:rsid w:val="00296759"/>
    <w:rsid w:val="002B2E05"/>
    <w:rsid w:val="003743DE"/>
    <w:rsid w:val="00376646"/>
    <w:rsid w:val="003B7DBC"/>
    <w:rsid w:val="003E2F54"/>
    <w:rsid w:val="0046628F"/>
    <w:rsid w:val="00490CF5"/>
    <w:rsid w:val="004D7521"/>
    <w:rsid w:val="00564116"/>
    <w:rsid w:val="005E70CF"/>
    <w:rsid w:val="006046E6"/>
    <w:rsid w:val="0066764F"/>
    <w:rsid w:val="006A0FD4"/>
    <w:rsid w:val="006B4491"/>
    <w:rsid w:val="00724BCC"/>
    <w:rsid w:val="007A7ACD"/>
    <w:rsid w:val="007B53A5"/>
    <w:rsid w:val="007F34B2"/>
    <w:rsid w:val="008538C1"/>
    <w:rsid w:val="00874872"/>
    <w:rsid w:val="008C35C7"/>
    <w:rsid w:val="00906C70"/>
    <w:rsid w:val="00917C07"/>
    <w:rsid w:val="009529DA"/>
    <w:rsid w:val="009C335C"/>
    <w:rsid w:val="00A15E50"/>
    <w:rsid w:val="00A430D0"/>
    <w:rsid w:val="00A8314B"/>
    <w:rsid w:val="00B3285A"/>
    <w:rsid w:val="00B51753"/>
    <w:rsid w:val="00B71343"/>
    <w:rsid w:val="00C005E2"/>
    <w:rsid w:val="00C14EBC"/>
    <w:rsid w:val="00C22CC4"/>
    <w:rsid w:val="00C46958"/>
    <w:rsid w:val="00C74F5D"/>
    <w:rsid w:val="00CF23F4"/>
    <w:rsid w:val="00D20BF0"/>
    <w:rsid w:val="00D468B0"/>
    <w:rsid w:val="00D621FC"/>
    <w:rsid w:val="00D63DD2"/>
    <w:rsid w:val="00DC2D46"/>
    <w:rsid w:val="00DD7A72"/>
    <w:rsid w:val="00E14F0B"/>
    <w:rsid w:val="00E87AA1"/>
    <w:rsid w:val="00E93B12"/>
    <w:rsid w:val="00EE4540"/>
    <w:rsid w:val="00F52880"/>
    <w:rsid w:val="00F76CF4"/>
    <w:rsid w:val="00F86149"/>
    <w:rsid w:val="00FB2C92"/>
    <w:rsid w:val="00FE7B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F648"/>
  <w15:chartTrackingRefBased/>
  <w15:docId w15:val="{46FC3F8F-3EF7-432A-8CA5-EE98457DC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6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46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4695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4695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4695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469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69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69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69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695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4695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4695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4695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4695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469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69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69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6958"/>
    <w:rPr>
      <w:rFonts w:eastAsiaTheme="majorEastAsia" w:cstheme="majorBidi"/>
      <w:color w:val="272727" w:themeColor="text1" w:themeTint="D8"/>
    </w:rPr>
  </w:style>
  <w:style w:type="paragraph" w:styleId="Ttulo">
    <w:name w:val="Title"/>
    <w:basedOn w:val="Normal"/>
    <w:next w:val="Normal"/>
    <w:link w:val="TtuloCar"/>
    <w:uiPriority w:val="10"/>
    <w:qFormat/>
    <w:rsid w:val="00C46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69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69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69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6958"/>
    <w:pPr>
      <w:spacing w:before="160"/>
      <w:jc w:val="center"/>
    </w:pPr>
    <w:rPr>
      <w:i/>
      <w:iCs/>
      <w:color w:val="404040" w:themeColor="text1" w:themeTint="BF"/>
    </w:rPr>
  </w:style>
  <w:style w:type="character" w:customStyle="1" w:styleId="CitaCar">
    <w:name w:val="Cita Car"/>
    <w:basedOn w:val="Fuentedeprrafopredeter"/>
    <w:link w:val="Cita"/>
    <w:uiPriority w:val="29"/>
    <w:rsid w:val="00C46958"/>
    <w:rPr>
      <w:i/>
      <w:iCs/>
      <w:color w:val="404040" w:themeColor="text1" w:themeTint="BF"/>
    </w:rPr>
  </w:style>
  <w:style w:type="paragraph" w:styleId="Prrafodelista">
    <w:name w:val="List Paragraph"/>
    <w:basedOn w:val="Normal"/>
    <w:uiPriority w:val="34"/>
    <w:qFormat/>
    <w:rsid w:val="00C46958"/>
    <w:pPr>
      <w:ind w:left="720"/>
      <w:contextualSpacing/>
    </w:pPr>
  </w:style>
  <w:style w:type="character" w:styleId="nfasisintenso">
    <w:name w:val="Intense Emphasis"/>
    <w:basedOn w:val="Fuentedeprrafopredeter"/>
    <w:uiPriority w:val="21"/>
    <w:qFormat/>
    <w:rsid w:val="00C46958"/>
    <w:rPr>
      <w:i/>
      <w:iCs/>
      <w:color w:val="2F5496" w:themeColor="accent1" w:themeShade="BF"/>
    </w:rPr>
  </w:style>
  <w:style w:type="paragraph" w:styleId="Citadestacada">
    <w:name w:val="Intense Quote"/>
    <w:basedOn w:val="Normal"/>
    <w:next w:val="Normal"/>
    <w:link w:val="CitadestacadaCar"/>
    <w:uiPriority w:val="30"/>
    <w:qFormat/>
    <w:rsid w:val="00C46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46958"/>
    <w:rPr>
      <w:i/>
      <w:iCs/>
      <w:color w:val="2F5496" w:themeColor="accent1" w:themeShade="BF"/>
    </w:rPr>
  </w:style>
  <w:style w:type="character" w:styleId="Referenciaintensa">
    <w:name w:val="Intense Reference"/>
    <w:basedOn w:val="Fuentedeprrafopredeter"/>
    <w:uiPriority w:val="32"/>
    <w:qFormat/>
    <w:rsid w:val="00C46958"/>
    <w:rPr>
      <w:b/>
      <w:bCs/>
      <w:smallCaps/>
      <w:color w:val="2F5496" w:themeColor="accent1" w:themeShade="BF"/>
      <w:spacing w:val="5"/>
    </w:rPr>
  </w:style>
  <w:style w:type="paragraph" w:styleId="Encabezado">
    <w:name w:val="header"/>
    <w:basedOn w:val="Normal"/>
    <w:link w:val="EncabezadoCar"/>
    <w:uiPriority w:val="99"/>
    <w:unhideWhenUsed/>
    <w:rsid w:val="00A430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30D0"/>
  </w:style>
  <w:style w:type="paragraph" w:styleId="Piedepgina">
    <w:name w:val="footer"/>
    <w:basedOn w:val="Normal"/>
    <w:link w:val="PiedepginaCar"/>
    <w:uiPriority w:val="99"/>
    <w:unhideWhenUsed/>
    <w:rsid w:val="00A430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30D0"/>
  </w:style>
  <w:style w:type="character" w:styleId="Textodelmarcadordeposicin">
    <w:name w:val="Placeholder Text"/>
    <w:basedOn w:val="Fuentedeprrafopredeter"/>
    <w:uiPriority w:val="99"/>
    <w:semiHidden/>
    <w:rsid w:val="003743DE"/>
    <w:rPr>
      <w:color w:val="666666"/>
    </w:rPr>
  </w:style>
  <w:style w:type="table" w:styleId="Tablaconcuadrcula">
    <w:name w:val="Table Grid"/>
    <w:basedOn w:val="Tablanormal"/>
    <w:uiPriority w:val="39"/>
    <w:rsid w:val="00E93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93B12"/>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F76CF4"/>
    <w:rPr>
      <w:color w:val="0563C1" w:themeColor="hyperlink"/>
      <w:u w:val="single"/>
    </w:rPr>
  </w:style>
  <w:style w:type="character" w:styleId="Mencinsinresolver">
    <w:name w:val="Unresolved Mention"/>
    <w:basedOn w:val="Fuentedeprrafopredeter"/>
    <w:uiPriority w:val="99"/>
    <w:semiHidden/>
    <w:unhideWhenUsed/>
    <w:rsid w:val="00F76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81336">
      <w:bodyDiv w:val="1"/>
      <w:marLeft w:val="0"/>
      <w:marRight w:val="0"/>
      <w:marTop w:val="0"/>
      <w:marBottom w:val="0"/>
      <w:divBdr>
        <w:top w:val="none" w:sz="0" w:space="0" w:color="auto"/>
        <w:left w:val="none" w:sz="0" w:space="0" w:color="auto"/>
        <w:bottom w:val="none" w:sz="0" w:space="0" w:color="auto"/>
        <w:right w:val="none" w:sz="0" w:space="0" w:color="auto"/>
      </w:divBdr>
      <w:divsChild>
        <w:div w:id="1735354892">
          <w:marLeft w:val="0"/>
          <w:marRight w:val="0"/>
          <w:marTop w:val="0"/>
          <w:marBottom w:val="0"/>
          <w:divBdr>
            <w:top w:val="none" w:sz="0" w:space="0" w:color="auto"/>
            <w:left w:val="none" w:sz="0" w:space="0" w:color="auto"/>
            <w:bottom w:val="none" w:sz="0" w:space="0" w:color="auto"/>
            <w:right w:val="none" w:sz="0" w:space="0" w:color="auto"/>
          </w:divBdr>
        </w:div>
      </w:divsChild>
    </w:div>
    <w:div w:id="94250792">
      <w:bodyDiv w:val="1"/>
      <w:marLeft w:val="0"/>
      <w:marRight w:val="0"/>
      <w:marTop w:val="0"/>
      <w:marBottom w:val="0"/>
      <w:divBdr>
        <w:top w:val="none" w:sz="0" w:space="0" w:color="auto"/>
        <w:left w:val="none" w:sz="0" w:space="0" w:color="auto"/>
        <w:bottom w:val="none" w:sz="0" w:space="0" w:color="auto"/>
        <w:right w:val="none" w:sz="0" w:space="0" w:color="auto"/>
      </w:divBdr>
    </w:div>
    <w:div w:id="153687356">
      <w:bodyDiv w:val="1"/>
      <w:marLeft w:val="0"/>
      <w:marRight w:val="0"/>
      <w:marTop w:val="0"/>
      <w:marBottom w:val="0"/>
      <w:divBdr>
        <w:top w:val="none" w:sz="0" w:space="0" w:color="auto"/>
        <w:left w:val="none" w:sz="0" w:space="0" w:color="auto"/>
        <w:bottom w:val="none" w:sz="0" w:space="0" w:color="auto"/>
        <w:right w:val="none" w:sz="0" w:space="0" w:color="auto"/>
      </w:divBdr>
    </w:div>
    <w:div w:id="328488314">
      <w:bodyDiv w:val="1"/>
      <w:marLeft w:val="0"/>
      <w:marRight w:val="0"/>
      <w:marTop w:val="0"/>
      <w:marBottom w:val="0"/>
      <w:divBdr>
        <w:top w:val="none" w:sz="0" w:space="0" w:color="auto"/>
        <w:left w:val="none" w:sz="0" w:space="0" w:color="auto"/>
        <w:bottom w:val="none" w:sz="0" w:space="0" w:color="auto"/>
        <w:right w:val="none" w:sz="0" w:space="0" w:color="auto"/>
      </w:divBdr>
      <w:divsChild>
        <w:div w:id="598418087">
          <w:marLeft w:val="480"/>
          <w:marRight w:val="0"/>
          <w:marTop w:val="0"/>
          <w:marBottom w:val="0"/>
          <w:divBdr>
            <w:top w:val="none" w:sz="0" w:space="0" w:color="auto"/>
            <w:left w:val="none" w:sz="0" w:space="0" w:color="auto"/>
            <w:bottom w:val="none" w:sz="0" w:space="0" w:color="auto"/>
            <w:right w:val="none" w:sz="0" w:space="0" w:color="auto"/>
          </w:divBdr>
        </w:div>
        <w:div w:id="156842492">
          <w:marLeft w:val="480"/>
          <w:marRight w:val="0"/>
          <w:marTop w:val="0"/>
          <w:marBottom w:val="0"/>
          <w:divBdr>
            <w:top w:val="none" w:sz="0" w:space="0" w:color="auto"/>
            <w:left w:val="none" w:sz="0" w:space="0" w:color="auto"/>
            <w:bottom w:val="none" w:sz="0" w:space="0" w:color="auto"/>
            <w:right w:val="none" w:sz="0" w:space="0" w:color="auto"/>
          </w:divBdr>
        </w:div>
        <w:div w:id="77869052">
          <w:marLeft w:val="480"/>
          <w:marRight w:val="0"/>
          <w:marTop w:val="0"/>
          <w:marBottom w:val="0"/>
          <w:divBdr>
            <w:top w:val="none" w:sz="0" w:space="0" w:color="auto"/>
            <w:left w:val="none" w:sz="0" w:space="0" w:color="auto"/>
            <w:bottom w:val="none" w:sz="0" w:space="0" w:color="auto"/>
            <w:right w:val="none" w:sz="0" w:space="0" w:color="auto"/>
          </w:divBdr>
        </w:div>
      </w:divsChild>
    </w:div>
    <w:div w:id="423111387">
      <w:bodyDiv w:val="1"/>
      <w:marLeft w:val="0"/>
      <w:marRight w:val="0"/>
      <w:marTop w:val="0"/>
      <w:marBottom w:val="0"/>
      <w:divBdr>
        <w:top w:val="none" w:sz="0" w:space="0" w:color="auto"/>
        <w:left w:val="none" w:sz="0" w:space="0" w:color="auto"/>
        <w:bottom w:val="none" w:sz="0" w:space="0" w:color="auto"/>
        <w:right w:val="none" w:sz="0" w:space="0" w:color="auto"/>
      </w:divBdr>
      <w:divsChild>
        <w:div w:id="1748456171">
          <w:marLeft w:val="480"/>
          <w:marRight w:val="0"/>
          <w:marTop w:val="0"/>
          <w:marBottom w:val="0"/>
          <w:divBdr>
            <w:top w:val="none" w:sz="0" w:space="0" w:color="auto"/>
            <w:left w:val="none" w:sz="0" w:space="0" w:color="auto"/>
            <w:bottom w:val="none" w:sz="0" w:space="0" w:color="auto"/>
            <w:right w:val="none" w:sz="0" w:space="0" w:color="auto"/>
          </w:divBdr>
        </w:div>
        <w:div w:id="1362124975">
          <w:marLeft w:val="480"/>
          <w:marRight w:val="0"/>
          <w:marTop w:val="0"/>
          <w:marBottom w:val="0"/>
          <w:divBdr>
            <w:top w:val="none" w:sz="0" w:space="0" w:color="auto"/>
            <w:left w:val="none" w:sz="0" w:space="0" w:color="auto"/>
            <w:bottom w:val="none" w:sz="0" w:space="0" w:color="auto"/>
            <w:right w:val="none" w:sz="0" w:space="0" w:color="auto"/>
          </w:divBdr>
        </w:div>
      </w:divsChild>
    </w:div>
    <w:div w:id="657154204">
      <w:bodyDiv w:val="1"/>
      <w:marLeft w:val="0"/>
      <w:marRight w:val="0"/>
      <w:marTop w:val="0"/>
      <w:marBottom w:val="0"/>
      <w:divBdr>
        <w:top w:val="none" w:sz="0" w:space="0" w:color="auto"/>
        <w:left w:val="none" w:sz="0" w:space="0" w:color="auto"/>
        <w:bottom w:val="none" w:sz="0" w:space="0" w:color="auto"/>
        <w:right w:val="none" w:sz="0" w:space="0" w:color="auto"/>
      </w:divBdr>
    </w:div>
    <w:div w:id="880164685">
      <w:bodyDiv w:val="1"/>
      <w:marLeft w:val="0"/>
      <w:marRight w:val="0"/>
      <w:marTop w:val="0"/>
      <w:marBottom w:val="0"/>
      <w:divBdr>
        <w:top w:val="none" w:sz="0" w:space="0" w:color="auto"/>
        <w:left w:val="none" w:sz="0" w:space="0" w:color="auto"/>
        <w:bottom w:val="none" w:sz="0" w:space="0" w:color="auto"/>
        <w:right w:val="none" w:sz="0" w:space="0" w:color="auto"/>
      </w:divBdr>
      <w:divsChild>
        <w:div w:id="1093547038">
          <w:marLeft w:val="480"/>
          <w:marRight w:val="0"/>
          <w:marTop w:val="0"/>
          <w:marBottom w:val="0"/>
          <w:divBdr>
            <w:top w:val="none" w:sz="0" w:space="0" w:color="auto"/>
            <w:left w:val="none" w:sz="0" w:space="0" w:color="auto"/>
            <w:bottom w:val="none" w:sz="0" w:space="0" w:color="auto"/>
            <w:right w:val="none" w:sz="0" w:space="0" w:color="auto"/>
          </w:divBdr>
        </w:div>
        <w:div w:id="190192146">
          <w:marLeft w:val="480"/>
          <w:marRight w:val="0"/>
          <w:marTop w:val="0"/>
          <w:marBottom w:val="0"/>
          <w:divBdr>
            <w:top w:val="none" w:sz="0" w:space="0" w:color="auto"/>
            <w:left w:val="none" w:sz="0" w:space="0" w:color="auto"/>
            <w:bottom w:val="none" w:sz="0" w:space="0" w:color="auto"/>
            <w:right w:val="none" w:sz="0" w:space="0" w:color="auto"/>
          </w:divBdr>
        </w:div>
        <w:div w:id="681050527">
          <w:marLeft w:val="480"/>
          <w:marRight w:val="0"/>
          <w:marTop w:val="0"/>
          <w:marBottom w:val="0"/>
          <w:divBdr>
            <w:top w:val="none" w:sz="0" w:space="0" w:color="auto"/>
            <w:left w:val="none" w:sz="0" w:space="0" w:color="auto"/>
            <w:bottom w:val="none" w:sz="0" w:space="0" w:color="auto"/>
            <w:right w:val="none" w:sz="0" w:space="0" w:color="auto"/>
          </w:divBdr>
        </w:div>
      </w:divsChild>
    </w:div>
    <w:div w:id="1135954385">
      <w:bodyDiv w:val="1"/>
      <w:marLeft w:val="0"/>
      <w:marRight w:val="0"/>
      <w:marTop w:val="0"/>
      <w:marBottom w:val="0"/>
      <w:divBdr>
        <w:top w:val="none" w:sz="0" w:space="0" w:color="auto"/>
        <w:left w:val="none" w:sz="0" w:space="0" w:color="auto"/>
        <w:bottom w:val="none" w:sz="0" w:space="0" w:color="auto"/>
        <w:right w:val="none" w:sz="0" w:space="0" w:color="auto"/>
      </w:divBdr>
      <w:divsChild>
        <w:div w:id="746651900">
          <w:marLeft w:val="480"/>
          <w:marRight w:val="0"/>
          <w:marTop w:val="0"/>
          <w:marBottom w:val="0"/>
          <w:divBdr>
            <w:top w:val="none" w:sz="0" w:space="0" w:color="auto"/>
            <w:left w:val="none" w:sz="0" w:space="0" w:color="auto"/>
            <w:bottom w:val="none" w:sz="0" w:space="0" w:color="auto"/>
            <w:right w:val="none" w:sz="0" w:space="0" w:color="auto"/>
          </w:divBdr>
        </w:div>
        <w:div w:id="313341609">
          <w:marLeft w:val="480"/>
          <w:marRight w:val="0"/>
          <w:marTop w:val="0"/>
          <w:marBottom w:val="0"/>
          <w:divBdr>
            <w:top w:val="none" w:sz="0" w:space="0" w:color="auto"/>
            <w:left w:val="none" w:sz="0" w:space="0" w:color="auto"/>
            <w:bottom w:val="none" w:sz="0" w:space="0" w:color="auto"/>
            <w:right w:val="none" w:sz="0" w:space="0" w:color="auto"/>
          </w:divBdr>
        </w:div>
        <w:div w:id="1795249157">
          <w:marLeft w:val="480"/>
          <w:marRight w:val="0"/>
          <w:marTop w:val="0"/>
          <w:marBottom w:val="0"/>
          <w:divBdr>
            <w:top w:val="none" w:sz="0" w:space="0" w:color="auto"/>
            <w:left w:val="none" w:sz="0" w:space="0" w:color="auto"/>
            <w:bottom w:val="none" w:sz="0" w:space="0" w:color="auto"/>
            <w:right w:val="none" w:sz="0" w:space="0" w:color="auto"/>
          </w:divBdr>
        </w:div>
      </w:divsChild>
    </w:div>
    <w:div w:id="1145001475">
      <w:bodyDiv w:val="1"/>
      <w:marLeft w:val="0"/>
      <w:marRight w:val="0"/>
      <w:marTop w:val="0"/>
      <w:marBottom w:val="0"/>
      <w:divBdr>
        <w:top w:val="none" w:sz="0" w:space="0" w:color="auto"/>
        <w:left w:val="none" w:sz="0" w:space="0" w:color="auto"/>
        <w:bottom w:val="none" w:sz="0" w:space="0" w:color="auto"/>
        <w:right w:val="none" w:sz="0" w:space="0" w:color="auto"/>
      </w:divBdr>
    </w:div>
    <w:div w:id="1180390840">
      <w:bodyDiv w:val="1"/>
      <w:marLeft w:val="0"/>
      <w:marRight w:val="0"/>
      <w:marTop w:val="0"/>
      <w:marBottom w:val="0"/>
      <w:divBdr>
        <w:top w:val="none" w:sz="0" w:space="0" w:color="auto"/>
        <w:left w:val="none" w:sz="0" w:space="0" w:color="auto"/>
        <w:bottom w:val="none" w:sz="0" w:space="0" w:color="auto"/>
        <w:right w:val="none" w:sz="0" w:space="0" w:color="auto"/>
      </w:divBdr>
      <w:divsChild>
        <w:div w:id="371729316">
          <w:marLeft w:val="480"/>
          <w:marRight w:val="0"/>
          <w:marTop w:val="0"/>
          <w:marBottom w:val="0"/>
          <w:divBdr>
            <w:top w:val="none" w:sz="0" w:space="0" w:color="auto"/>
            <w:left w:val="none" w:sz="0" w:space="0" w:color="auto"/>
            <w:bottom w:val="none" w:sz="0" w:space="0" w:color="auto"/>
            <w:right w:val="none" w:sz="0" w:space="0" w:color="auto"/>
          </w:divBdr>
        </w:div>
        <w:div w:id="226113357">
          <w:marLeft w:val="480"/>
          <w:marRight w:val="0"/>
          <w:marTop w:val="0"/>
          <w:marBottom w:val="0"/>
          <w:divBdr>
            <w:top w:val="none" w:sz="0" w:space="0" w:color="auto"/>
            <w:left w:val="none" w:sz="0" w:space="0" w:color="auto"/>
            <w:bottom w:val="none" w:sz="0" w:space="0" w:color="auto"/>
            <w:right w:val="none" w:sz="0" w:space="0" w:color="auto"/>
          </w:divBdr>
        </w:div>
      </w:divsChild>
    </w:div>
    <w:div w:id="1194074719">
      <w:bodyDiv w:val="1"/>
      <w:marLeft w:val="0"/>
      <w:marRight w:val="0"/>
      <w:marTop w:val="0"/>
      <w:marBottom w:val="0"/>
      <w:divBdr>
        <w:top w:val="none" w:sz="0" w:space="0" w:color="auto"/>
        <w:left w:val="none" w:sz="0" w:space="0" w:color="auto"/>
        <w:bottom w:val="none" w:sz="0" w:space="0" w:color="auto"/>
        <w:right w:val="none" w:sz="0" w:space="0" w:color="auto"/>
      </w:divBdr>
      <w:divsChild>
        <w:div w:id="854463665">
          <w:marLeft w:val="0"/>
          <w:marRight w:val="0"/>
          <w:marTop w:val="0"/>
          <w:marBottom w:val="0"/>
          <w:divBdr>
            <w:top w:val="none" w:sz="0" w:space="0" w:color="auto"/>
            <w:left w:val="none" w:sz="0" w:space="0" w:color="auto"/>
            <w:bottom w:val="none" w:sz="0" w:space="0" w:color="auto"/>
            <w:right w:val="none" w:sz="0" w:space="0" w:color="auto"/>
          </w:divBdr>
        </w:div>
      </w:divsChild>
    </w:div>
    <w:div w:id="1254168068">
      <w:bodyDiv w:val="1"/>
      <w:marLeft w:val="0"/>
      <w:marRight w:val="0"/>
      <w:marTop w:val="0"/>
      <w:marBottom w:val="0"/>
      <w:divBdr>
        <w:top w:val="none" w:sz="0" w:space="0" w:color="auto"/>
        <w:left w:val="none" w:sz="0" w:space="0" w:color="auto"/>
        <w:bottom w:val="none" w:sz="0" w:space="0" w:color="auto"/>
        <w:right w:val="none" w:sz="0" w:space="0" w:color="auto"/>
      </w:divBdr>
    </w:div>
    <w:div w:id="1280408493">
      <w:bodyDiv w:val="1"/>
      <w:marLeft w:val="0"/>
      <w:marRight w:val="0"/>
      <w:marTop w:val="0"/>
      <w:marBottom w:val="0"/>
      <w:divBdr>
        <w:top w:val="none" w:sz="0" w:space="0" w:color="auto"/>
        <w:left w:val="none" w:sz="0" w:space="0" w:color="auto"/>
        <w:bottom w:val="none" w:sz="0" w:space="0" w:color="auto"/>
        <w:right w:val="none" w:sz="0" w:space="0" w:color="auto"/>
      </w:divBdr>
    </w:div>
    <w:div w:id="1344357305">
      <w:bodyDiv w:val="1"/>
      <w:marLeft w:val="0"/>
      <w:marRight w:val="0"/>
      <w:marTop w:val="0"/>
      <w:marBottom w:val="0"/>
      <w:divBdr>
        <w:top w:val="none" w:sz="0" w:space="0" w:color="auto"/>
        <w:left w:val="none" w:sz="0" w:space="0" w:color="auto"/>
        <w:bottom w:val="none" w:sz="0" w:space="0" w:color="auto"/>
        <w:right w:val="none" w:sz="0" w:space="0" w:color="auto"/>
      </w:divBdr>
    </w:div>
    <w:div w:id="1360398304">
      <w:bodyDiv w:val="1"/>
      <w:marLeft w:val="0"/>
      <w:marRight w:val="0"/>
      <w:marTop w:val="0"/>
      <w:marBottom w:val="0"/>
      <w:divBdr>
        <w:top w:val="none" w:sz="0" w:space="0" w:color="auto"/>
        <w:left w:val="none" w:sz="0" w:space="0" w:color="auto"/>
        <w:bottom w:val="none" w:sz="0" w:space="0" w:color="auto"/>
        <w:right w:val="none" w:sz="0" w:space="0" w:color="auto"/>
      </w:divBdr>
    </w:div>
    <w:div w:id="1539010050">
      <w:bodyDiv w:val="1"/>
      <w:marLeft w:val="0"/>
      <w:marRight w:val="0"/>
      <w:marTop w:val="0"/>
      <w:marBottom w:val="0"/>
      <w:divBdr>
        <w:top w:val="none" w:sz="0" w:space="0" w:color="auto"/>
        <w:left w:val="none" w:sz="0" w:space="0" w:color="auto"/>
        <w:bottom w:val="none" w:sz="0" w:space="0" w:color="auto"/>
        <w:right w:val="none" w:sz="0" w:space="0" w:color="auto"/>
      </w:divBdr>
      <w:divsChild>
        <w:div w:id="11618272">
          <w:marLeft w:val="480"/>
          <w:marRight w:val="0"/>
          <w:marTop w:val="0"/>
          <w:marBottom w:val="0"/>
          <w:divBdr>
            <w:top w:val="none" w:sz="0" w:space="0" w:color="auto"/>
            <w:left w:val="none" w:sz="0" w:space="0" w:color="auto"/>
            <w:bottom w:val="none" w:sz="0" w:space="0" w:color="auto"/>
            <w:right w:val="none" w:sz="0" w:space="0" w:color="auto"/>
          </w:divBdr>
        </w:div>
        <w:div w:id="1230848325">
          <w:marLeft w:val="480"/>
          <w:marRight w:val="0"/>
          <w:marTop w:val="0"/>
          <w:marBottom w:val="0"/>
          <w:divBdr>
            <w:top w:val="none" w:sz="0" w:space="0" w:color="auto"/>
            <w:left w:val="none" w:sz="0" w:space="0" w:color="auto"/>
            <w:bottom w:val="none" w:sz="0" w:space="0" w:color="auto"/>
            <w:right w:val="none" w:sz="0" w:space="0" w:color="auto"/>
          </w:divBdr>
        </w:div>
      </w:divsChild>
    </w:div>
    <w:div w:id="1600720343">
      <w:bodyDiv w:val="1"/>
      <w:marLeft w:val="0"/>
      <w:marRight w:val="0"/>
      <w:marTop w:val="0"/>
      <w:marBottom w:val="0"/>
      <w:divBdr>
        <w:top w:val="none" w:sz="0" w:space="0" w:color="auto"/>
        <w:left w:val="none" w:sz="0" w:space="0" w:color="auto"/>
        <w:bottom w:val="none" w:sz="0" w:space="0" w:color="auto"/>
        <w:right w:val="none" w:sz="0" w:space="0" w:color="auto"/>
      </w:divBdr>
      <w:divsChild>
        <w:div w:id="1028799392">
          <w:marLeft w:val="480"/>
          <w:marRight w:val="0"/>
          <w:marTop w:val="0"/>
          <w:marBottom w:val="0"/>
          <w:divBdr>
            <w:top w:val="none" w:sz="0" w:space="0" w:color="auto"/>
            <w:left w:val="none" w:sz="0" w:space="0" w:color="auto"/>
            <w:bottom w:val="none" w:sz="0" w:space="0" w:color="auto"/>
            <w:right w:val="none" w:sz="0" w:space="0" w:color="auto"/>
          </w:divBdr>
        </w:div>
        <w:div w:id="1133522436">
          <w:marLeft w:val="480"/>
          <w:marRight w:val="0"/>
          <w:marTop w:val="0"/>
          <w:marBottom w:val="0"/>
          <w:divBdr>
            <w:top w:val="none" w:sz="0" w:space="0" w:color="auto"/>
            <w:left w:val="none" w:sz="0" w:space="0" w:color="auto"/>
            <w:bottom w:val="none" w:sz="0" w:space="0" w:color="auto"/>
            <w:right w:val="none" w:sz="0" w:space="0" w:color="auto"/>
          </w:divBdr>
        </w:div>
        <w:div w:id="131994451">
          <w:marLeft w:val="480"/>
          <w:marRight w:val="0"/>
          <w:marTop w:val="0"/>
          <w:marBottom w:val="0"/>
          <w:divBdr>
            <w:top w:val="none" w:sz="0" w:space="0" w:color="auto"/>
            <w:left w:val="none" w:sz="0" w:space="0" w:color="auto"/>
            <w:bottom w:val="none" w:sz="0" w:space="0" w:color="auto"/>
            <w:right w:val="none" w:sz="0" w:space="0" w:color="auto"/>
          </w:divBdr>
        </w:div>
      </w:divsChild>
    </w:div>
    <w:div w:id="1666395644">
      <w:bodyDiv w:val="1"/>
      <w:marLeft w:val="0"/>
      <w:marRight w:val="0"/>
      <w:marTop w:val="0"/>
      <w:marBottom w:val="0"/>
      <w:divBdr>
        <w:top w:val="none" w:sz="0" w:space="0" w:color="auto"/>
        <w:left w:val="none" w:sz="0" w:space="0" w:color="auto"/>
        <w:bottom w:val="none" w:sz="0" w:space="0" w:color="auto"/>
        <w:right w:val="none" w:sz="0" w:space="0" w:color="auto"/>
      </w:divBdr>
      <w:divsChild>
        <w:div w:id="1256013364">
          <w:marLeft w:val="0"/>
          <w:marRight w:val="0"/>
          <w:marTop w:val="0"/>
          <w:marBottom w:val="0"/>
          <w:divBdr>
            <w:top w:val="none" w:sz="0" w:space="0" w:color="auto"/>
            <w:left w:val="none" w:sz="0" w:space="0" w:color="auto"/>
            <w:bottom w:val="none" w:sz="0" w:space="0" w:color="auto"/>
            <w:right w:val="none" w:sz="0" w:space="0" w:color="auto"/>
          </w:divBdr>
          <w:divsChild>
            <w:div w:id="631790350">
              <w:marLeft w:val="0"/>
              <w:marRight w:val="0"/>
              <w:marTop w:val="0"/>
              <w:marBottom w:val="0"/>
              <w:divBdr>
                <w:top w:val="none" w:sz="0" w:space="0" w:color="auto"/>
                <w:left w:val="none" w:sz="0" w:space="0" w:color="auto"/>
                <w:bottom w:val="none" w:sz="0" w:space="0" w:color="auto"/>
                <w:right w:val="none" w:sz="0" w:space="0" w:color="auto"/>
              </w:divBdr>
              <w:divsChild>
                <w:div w:id="1897742315">
                  <w:marLeft w:val="0"/>
                  <w:marRight w:val="0"/>
                  <w:marTop w:val="0"/>
                  <w:marBottom w:val="0"/>
                  <w:divBdr>
                    <w:top w:val="none" w:sz="0" w:space="0" w:color="auto"/>
                    <w:left w:val="none" w:sz="0" w:space="0" w:color="auto"/>
                    <w:bottom w:val="none" w:sz="0" w:space="0" w:color="auto"/>
                    <w:right w:val="none" w:sz="0" w:space="0" w:color="auto"/>
                  </w:divBdr>
                  <w:divsChild>
                    <w:div w:id="1835223578">
                      <w:marLeft w:val="0"/>
                      <w:marRight w:val="0"/>
                      <w:marTop w:val="0"/>
                      <w:marBottom w:val="0"/>
                      <w:divBdr>
                        <w:top w:val="none" w:sz="0" w:space="0" w:color="auto"/>
                        <w:left w:val="none" w:sz="0" w:space="0" w:color="auto"/>
                        <w:bottom w:val="none" w:sz="0" w:space="0" w:color="auto"/>
                        <w:right w:val="none" w:sz="0" w:space="0" w:color="auto"/>
                      </w:divBdr>
                      <w:divsChild>
                        <w:div w:id="1676032601">
                          <w:marLeft w:val="0"/>
                          <w:marRight w:val="0"/>
                          <w:marTop w:val="0"/>
                          <w:marBottom w:val="0"/>
                          <w:divBdr>
                            <w:top w:val="none" w:sz="0" w:space="0" w:color="auto"/>
                            <w:left w:val="none" w:sz="0" w:space="0" w:color="auto"/>
                            <w:bottom w:val="none" w:sz="0" w:space="0" w:color="auto"/>
                            <w:right w:val="none" w:sz="0" w:space="0" w:color="auto"/>
                          </w:divBdr>
                          <w:divsChild>
                            <w:div w:id="947738426">
                              <w:marLeft w:val="0"/>
                              <w:marRight w:val="0"/>
                              <w:marTop w:val="0"/>
                              <w:marBottom w:val="0"/>
                              <w:divBdr>
                                <w:top w:val="none" w:sz="0" w:space="0" w:color="auto"/>
                                <w:left w:val="none" w:sz="0" w:space="0" w:color="auto"/>
                                <w:bottom w:val="none" w:sz="0" w:space="0" w:color="auto"/>
                                <w:right w:val="none" w:sz="0" w:space="0" w:color="auto"/>
                              </w:divBdr>
                              <w:divsChild>
                                <w:div w:id="485174323">
                                  <w:marLeft w:val="0"/>
                                  <w:marRight w:val="0"/>
                                  <w:marTop w:val="0"/>
                                  <w:marBottom w:val="0"/>
                                  <w:divBdr>
                                    <w:top w:val="none" w:sz="0" w:space="0" w:color="auto"/>
                                    <w:left w:val="none" w:sz="0" w:space="0" w:color="auto"/>
                                    <w:bottom w:val="none" w:sz="0" w:space="0" w:color="auto"/>
                                    <w:right w:val="none" w:sz="0" w:space="0" w:color="auto"/>
                                  </w:divBdr>
                                  <w:divsChild>
                                    <w:div w:id="10065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791565">
                          <w:marLeft w:val="0"/>
                          <w:marRight w:val="0"/>
                          <w:marTop w:val="0"/>
                          <w:marBottom w:val="0"/>
                          <w:divBdr>
                            <w:top w:val="none" w:sz="0" w:space="0" w:color="auto"/>
                            <w:left w:val="none" w:sz="0" w:space="0" w:color="auto"/>
                            <w:bottom w:val="none" w:sz="0" w:space="0" w:color="auto"/>
                            <w:right w:val="none" w:sz="0" w:space="0" w:color="auto"/>
                          </w:divBdr>
                          <w:divsChild>
                            <w:div w:id="777719290">
                              <w:marLeft w:val="0"/>
                              <w:marRight w:val="0"/>
                              <w:marTop w:val="0"/>
                              <w:marBottom w:val="0"/>
                              <w:divBdr>
                                <w:top w:val="none" w:sz="0" w:space="0" w:color="auto"/>
                                <w:left w:val="none" w:sz="0" w:space="0" w:color="auto"/>
                                <w:bottom w:val="none" w:sz="0" w:space="0" w:color="auto"/>
                                <w:right w:val="none" w:sz="0" w:space="0" w:color="auto"/>
                              </w:divBdr>
                              <w:divsChild>
                                <w:div w:id="510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6055244">
      <w:bodyDiv w:val="1"/>
      <w:marLeft w:val="0"/>
      <w:marRight w:val="0"/>
      <w:marTop w:val="0"/>
      <w:marBottom w:val="0"/>
      <w:divBdr>
        <w:top w:val="none" w:sz="0" w:space="0" w:color="auto"/>
        <w:left w:val="none" w:sz="0" w:space="0" w:color="auto"/>
        <w:bottom w:val="none" w:sz="0" w:space="0" w:color="auto"/>
        <w:right w:val="none" w:sz="0" w:space="0" w:color="auto"/>
      </w:divBdr>
    </w:div>
    <w:div w:id="1766993052">
      <w:bodyDiv w:val="1"/>
      <w:marLeft w:val="0"/>
      <w:marRight w:val="0"/>
      <w:marTop w:val="0"/>
      <w:marBottom w:val="0"/>
      <w:divBdr>
        <w:top w:val="none" w:sz="0" w:space="0" w:color="auto"/>
        <w:left w:val="none" w:sz="0" w:space="0" w:color="auto"/>
        <w:bottom w:val="none" w:sz="0" w:space="0" w:color="auto"/>
        <w:right w:val="none" w:sz="0" w:space="0" w:color="auto"/>
      </w:divBdr>
      <w:divsChild>
        <w:div w:id="1220633453">
          <w:marLeft w:val="480"/>
          <w:marRight w:val="0"/>
          <w:marTop w:val="0"/>
          <w:marBottom w:val="0"/>
          <w:divBdr>
            <w:top w:val="none" w:sz="0" w:space="0" w:color="auto"/>
            <w:left w:val="none" w:sz="0" w:space="0" w:color="auto"/>
            <w:bottom w:val="none" w:sz="0" w:space="0" w:color="auto"/>
            <w:right w:val="none" w:sz="0" w:space="0" w:color="auto"/>
          </w:divBdr>
        </w:div>
        <w:div w:id="1256478599">
          <w:marLeft w:val="480"/>
          <w:marRight w:val="0"/>
          <w:marTop w:val="0"/>
          <w:marBottom w:val="0"/>
          <w:divBdr>
            <w:top w:val="none" w:sz="0" w:space="0" w:color="auto"/>
            <w:left w:val="none" w:sz="0" w:space="0" w:color="auto"/>
            <w:bottom w:val="none" w:sz="0" w:space="0" w:color="auto"/>
            <w:right w:val="none" w:sz="0" w:space="0" w:color="auto"/>
          </w:divBdr>
        </w:div>
      </w:divsChild>
    </w:div>
    <w:div w:id="2041204100">
      <w:bodyDiv w:val="1"/>
      <w:marLeft w:val="0"/>
      <w:marRight w:val="0"/>
      <w:marTop w:val="0"/>
      <w:marBottom w:val="0"/>
      <w:divBdr>
        <w:top w:val="none" w:sz="0" w:space="0" w:color="auto"/>
        <w:left w:val="none" w:sz="0" w:space="0" w:color="auto"/>
        <w:bottom w:val="none" w:sz="0" w:space="0" w:color="auto"/>
        <w:right w:val="none" w:sz="0" w:space="0" w:color="auto"/>
      </w:divBdr>
      <w:divsChild>
        <w:div w:id="468406194">
          <w:marLeft w:val="480"/>
          <w:marRight w:val="0"/>
          <w:marTop w:val="0"/>
          <w:marBottom w:val="0"/>
          <w:divBdr>
            <w:top w:val="none" w:sz="0" w:space="0" w:color="auto"/>
            <w:left w:val="none" w:sz="0" w:space="0" w:color="auto"/>
            <w:bottom w:val="none" w:sz="0" w:space="0" w:color="auto"/>
            <w:right w:val="none" w:sz="0" w:space="0" w:color="auto"/>
          </w:divBdr>
        </w:div>
        <w:div w:id="1553730915">
          <w:marLeft w:val="480"/>
          <w:marRight w:val="0"/>
          <w:marTop w:val="0"/>
          <w:marBottom w:val="0"/>
          <w:divBdr>
            <w:top w:val="none" w:sz="0" w:space="0" w:color="auto"/>
            <w:left w:val="none" w:sz="0" w:space="0" w:color="auto"/>
            <w:bottom w:val="none" w:sz="0" w:space="0" w:color="auto"/>
            <w:right w:val="none" w:sz="0" w:space="0" w:color="auto"/>
          </w:divBdr>
        </w:div>
      </w:divsChild>
    </w:div>
    <w:div w:id="2076775076">
      <w:bodyDiv w:val="1"/>
      <w:marLeft w:val="0"/>
      <w:marRight w:val="0"/>
      <w:marTop w:val="0"/>
      <w:marBottom w:val="0"/>
      <w:divBdr>
        <w:top w:val="none" w:sz="0" w:space="0" w:color="auto"/>
        <w:left w:val="none" w:sz="0" w:space="0" w:color="auto"/>
        <w:bottom w:val="none" w:sz="0" w:space="0" w:color="auto"/>
        <w:right w:val="none" w:sz="0" w:space="0" w:color="auto"/>
      </w:divBdr>
      <w:divsChild>
        <w:div w:id="1312902793">
          <w:marLeft w:val="0"/>
          <w:marRight w:val="0"/>
          <w:marTop w:val="0"/>
          <w:marBottom w:val="0"/>
          <w:divBdr>
            <w:top w:val="none" w:sz="0" w:space="0" w:color="auto"/>
            <w:left w:val="none" w:sz="0" w:space="0" w:color="auto"/>
            <w:bottom w:val="none" w:sz="0" w:space="0" w:color="auto"/>
            <w:right w:val="none" w:sz="0" w:space="0" w:color="auto"/>
          </w:divBdr>
          <w:divsChild>
            <w:div w:id="1998027757">
              <w:marLeft w:val="0"/>
              <w:marRight w:val="0"/>
              <w:marTop w:val="0"/>
              <w:marBottom w:val="0"/>
              <w:divBdr>
                <w:top w:val="none" w:sz="0" w:space="0" w:color="auto"/>
                <w:left w:val="none" w:sz="0" w:space="0" w:color="auto"/>
                <w:bottom w:val="none" w:sz="0" w:space="0" w:color="auto"/>
                <w:right w:val="none" w:sz="0" w:space="0" w:color="auto"/>
              </w:divBdr>
              <w:divsChild>
                <w:div w:id="605239380">
                  <w:marLeft w:val="0"/>
                  <w:marRight w:val="0"/>
                  <w:marTop w:val="0"/>
                  <w:marBottom w:val="0"/>
                  <w:divBdr>
                    <w:top w:val="none" w:sz="0" w:space="0" w:color="auto"/>
                    <w:left w:val="none" w:sz="0" w:space="0" w:color="auto"/>
                    <w:bottom w:val="none" w:sz="0" w:space="0" w:color="auto"/>
                    <w:right w:val="none" w:sz="0" w:space="0" w:color="auto"/>
                  </w:divBdr>
                  <w:divsChild>
                    <w:div w:id="300229946">
                      <w:marLeft w:val="0"/>
                      <w:marRight w:val="0"/>
                      <w:marTop w:val="0"/>
                      <w:marBottom w:val="0"/>
                      <w:divBdr>
                        <w:top w:val="none" w:sz="0" w:space="0" w:color="auto"/>
                        <w:left w:val="none" w:sz="0" w:space="0" w:color="auto"/>
                        <w:bottom w:val="none" w:sz="0" w:space="0" w:color="auto"/>
                        <w:right w:val="none" w:sz="0" w:space="0" w:color="auto"/>
                      </w:divBdr>
                      <w:divsChild>
                        <w:div w:id="1881628235">
                          <w:marLeft w:val="0"/>
                          <w:marRight w:val="0"/>
                          <w:marTop w:val="0"/>
                          <w:marBottom w:val="0"/>
                          <w:divBdr>
                            <w:top w:val="none" w:sz="0" w:space="0" w:color="auto"/>
                            <w:left w:val="none" w:sz="0" w:space="0" w:color="auto"/>
                            <w:bottom w:val="none" w:sz="0" w:space="0" w:color="auto"/>
                            <w:right w:val="none" w:sz="0" w:space="0" w:color="auto"/>
                          </w:divBdr>
                          <w:divsChild>
                            <w:div w:id="1946450819">
                              <w:marLeft w:val="0"/>
                              <w:marRight w:val="0"/>
                              <w:marTop w:val="0"/>
                              <w:marBottom w:val="0"/>
                              <w:divBdr>
                                <w:top w:val="none" w:sz="0" w:space="0" w:color="auto"/>
                                <w:left w:val="none" w:sz="0" w:space="0" w:color="auto"/>
                                <w:bottom w:val="none" w:sz="0" w:space="0" w:color="auto"/>
                                <w:right w:val="none" w:sz="0" w:space="0" w:color="auto"/>
                              </w:divBdr>
                              <w:divsChild>
                                <w:div w:id="1389450235">
                                  <w:marLeft w:val="0"/>
                                  <w:marRight w:val="0"/>
                                  <w:marTop w:val="0"/>
                                  <w:marBottom w:val="0"/>
                                  <w:divBdr>
                                    <w:top w:val="none" w:sz="0" w:space="0" w:color="auto"/>
                                    <w:left w:val="none" w:sz="0" w:space="0" w:color="auto"/>
                                    <w:bottom w:val="none" w:sz="0" w:space="0" w:color="auto"/>
                                    <w:right w:val="none" w:sz="0" w:space="0" w:color="auto"/>
                                  </w:divBdr>
                                  <w:divsChild>
                                    <w:div w:id="15445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4148">
                          <w:marLeft w:val="0"/>
                          <w:marRight w:val="0"/>
                          <w:marTop w:val="0"/>
                          <w:marBottom w:val="0"/>
                          <w:divBdr>
                            <w:top w:val="none" w:sz="0" w:space="0" w:color="auto"/>
                            <w:left w:val="none" w:sz="0" w:space="0" w:color="auto"/>
                            <w:bottom w:val="none" w:sz="0" w:space="0" w:color="auto"/>
                            <w:right w:val="none" w:sz="0" w:space="0" w:color="auto"/>
                          </w:divBdr>
                          <w:divsChild>
                            <w:div w:id="1708676699">
                              <w:marLeft w:val="0"/>
                              <w:marRight w:val="0"/>
                              <w:marTop w:val="0"/>
                              <w:marBottom w:val="0"/>
                              <w:divBdr>
                                <w:top w:val="none" w:sz="0" w:space="0" w:color="auto"/>
                                <w:left w:val="none" w:sz="0" w:space="0" w:color="auto"/>
                                <w:bottom w:val="none" w:sz="0" w:space="0" w:color="auto"/>
                                <w:right w:val="none" w:sz="0" w:space="0" w:color="auto"/>
                              </w:divBdr>
                              <w:divsChild>
                                <w:div w:id="24865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92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yroeyes18@gmail.com"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mailto:150139@unsaac.edu.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hayro.pumalloclla.c@gmail.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F2E8389-5AC2-4D1E-9B5C-4C02CA64F3BF}"/>
      </w:docPartPr>
      <w:docPartBody>
        <w:p w:rsidR="00CD02FD" w:rsidRDefault="00D108D1">
          <w:r w:rsidRPr="00C63B6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D1"/>
    <w:rsid w:val="00101686"/>
    <w:rsid w:val="001E6209"/>
    <w:rsid w:val="00211D4F"/>
    <w:rsid w:val="004C4D17"/>
    <w:rsid w:val="005E70CF"/>
    <w:rsid w:val="00966D11"/>
    <w:rsid w:val="00CD02FD"/>
    <w:rsid w:val="00D108D1"/>
    <w:rsid w:val="00E82F99"/>
    <w:rsid w:val="00F528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108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3B82F3-89C3-4D77-8E30-C7A31F5F5532}">
  <we:reference id="wa104382081" version="1.55.1.0" store="es-ES" storeType="OMEX"/>
  <we:alternateReferences>
    <we:reference id="wa104382081" version="1.55.1.0" store="es-ES" storeType="OMEX"/>
  </we:alternateReferences>
  <we:properties>
    <we:property name="MENDELEY_CITATIONS" value="[{&quot;citationID&quot;:&quot;MENDELEY_CITATION_42363401-4b77-4002-95b0-52a569dd86f3&quot;,&quot;properties&quot;:{&quot;noteIndex&quot;:0},&quot;isEdited&quot;:false,&quot;manualOverride&quot;:{&quot;isManuallyOverridden&quot;:false,&quot;citeprocText&quot;:&quot;(Rogeau et al., 2023)&quot;,&quot;manualOverrideText&quot;:&quot;&quot;},&quot;citationTag&quot;:&quot;MENDELEY_CITATION_v3_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&quot;,&quot;citationItems&quot;:[{&quot;id&quot;:&quot;36e3b64b-21ff-3a4b-a028-add4190208d5&quot;,&quot;itemData&quot;:{&quot;type&quot;:&quot;article-journal&quot;,&quot;id&quot;:&quot;36e3b64b-21ff-3a4b-a028-add4190208d5&quot;,&quot;title&quot;:&quot;Techno-economic evaluation and resource assessment of hydrogen production through offshore wind farms: A European perspective&quot;,&quot;author&quot;:[{&quot;family&quot;:&quot;Rogeau&quot;,&quot;given&quot;:&quot;Antoine&quot;,&quot;parse-names&quot;:false,&quot;dropping-particle&quot;:&quot;&quot;,&quot;non-dropping-particle&quot;:&quot;&quot;},{&quot;family&quot;:&quot;Vieubled&quot;,&quot;given&quot;:&quot;Julien&quot;,&quot;parse-names&quot;:false,&quot;dropping-particle&quot;:&quot;&quot;,&quot;non-dropping-particle&quot;:&quot;&quot;},{&quot;family&quot;:&quot;Coatpont&quot;,&quot;given&quot;:&quot;Matthieu&quot;,&quot;parse-names&quot;:false,&quot;dropping-particle&quot;:&quot;&quot;,&quot;non-dropping-particle&quot;:&quot;De&quot;},{&quot;family&quot;:&quot;Nobrega&quot;,&quot;given&quot;:&quot;Pedro Affonso&quot;,&quot;parse-names&quot;:false,&quot;dropping-particle&quot;:&quot;&quot;,&quot;non-dropping-particle&quot;:&quot;&quot;},{&quot;family&quot;:&quot;Erbs&quot;,&quot;given&quot;:&quot;Guillaume&quot;,&quot;parse-names&quot;:false,&quot;dropping-particle&quot;:&quot;&quot;,&quot;non-dropping-particle&quot;:&quot;&quot;},{&quot;family&quot;:&quot;Girard&quot;,&quot;given&quot;:&quot;Robin&quot;,&quot;parse-names&quot;:false,&quot;dropping-particle&quot;:&quot;&quot;,&quot;non-dropping-particle&quot;:&quot;&quot;}],&quot;container-title&quot;:&quot;Renewable and Sustainable Energy Reviews&quot;,&quot;DOI&quot;:&quot;10.5281/zenodo.8&quot;,&quot;URL&quot;:&quot;https://doi.org/10.5281/zenodo.8&quot;,&quot;issued&quot;:{&quot;date-parts&quot;:[[2023]]},&quot;abstract&quot;:&quot;A R T I C L E I N F O Dataset link: https://doi.org/10.5281/zenodo.8 036703 Keywords: Hydrogen Wind power Wind-to-hydrogen Offshore Resource assessment Electrolysis Levelized cost of energy Geographical information system Cost modeling A B S T R A C T The demand for hydrogen is expected to increase radically in the coming years, as it is an important lever for decarbonization and offshore wind is a credible option for running electrolyzers. A unified and detailed cost modeling is produced from the sparse literature that considers a variety of configurations (onshore, centralized offshore, and decentralized offshore electrolysis). A resource assessment at European scale is performed by combining the developed cost modeling with a geospatial analysis considering the levelized cost of hydrogen (LCOH). Geolocated power generation as well as technical and environmental constraints are considered to improve the assessment. The results reveal enormous resources in European seas, with LCOH falling from 4.5-7.5 e/kg in 2020 to 1.5-3.0 e/kg in 2050 as the costs of wind turbines and electrolyzers decrease. More than 1000 TWh of green hydrogen could be produced at a price of less than 3.0 e/kg in 2030 and 2.0 e/kg in 2050, making it competitive with gray hydrogen. A valuable resource of 200 TWh is identified in 2030 where offshore wind-to-hydrogen projects have a much lower LCOH than their wind-to-power counterparts. The results, provided at the country level, are valuable for energy modelers and local stakeholders. Finally, a detailed cost analysis shows that offshore electrolysis is becoming more relevant over time: In 2020, offshore electrolysis is preferred only for far-from-shore and deepwater seas while in 2030 it is closer to shore (over 100 km). In 2050, onshore electrolysis is only relevant for nearshore and shallow waters.&quot;,&quot;volume&quot;:&quot;187&quot;},&quot;isTemporary&quot;:false,&quot;suppress-author&quot;:false,&quot;composite&quot;:false,&quot;author-only&quot;:false}]},{&quot;citationID&quot;:&quot;MENDELEY_CITATION_d342b930-9164-4275-a9f2-e1cad509f43b&quot;,&quot;properties&quot;:{&quot;noteIndex&quot;:0},&quot;isEdited&quot;:false,&quot;manualOverride&quot;:{&quot;isManuallyOverridden&quot;:false,&quot;citeprocText&quot;:&quot;(Moran et al., 2024)&quot;,&quot;manualOverrideText&quot;:&quot;&quot;},&quot;citationTag&quot;:&quot;MENDELEY_CITATION_v3_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&quot;,&quot;citationItems&quot;:[{&quot;id&quot;:&quot;8f21473f-51b1-3007-8245-c176e64948c1&quot;,&quot;itemData&quot;:{&quot;type&quot;:&quot;article-journal&quot;,&quot;id&quot;:&quot;8f21473f-51b1-3007-8245-c176e64948c1&quot;,&quot;title&quot;:&quot;The hydrogen storage challenge: Does storage method and size affect the cost and operational flexibility of hydrogen supply chains?&quot;,&quot;author&quot;:[{&quot;family&quot;:&quot;Moran&quot;,&quot;given&quot;:&quot;Cian&quot;,&quot;parse-names&quot;:false,&quot;dropping-particle&quot;:&quot;&quot;,&quot;non-dropping-particle&quot;:&quot;&quot;},{&quot;family&quot;:&quot;Deane&quot;,&quot;given&quot;:&quot;Paul&quot;,&quot;parse-names&quot;:false,&quot;dropping-particle&quot;:&quot;&quot;,&quot;non-dropping-particle&quot;:&quot;&quot;},{&quot;family&quot;:&quot;Yousefian&quot;,&quot;given&quot;:&quot;Sajjad&quot;,&quot;parse-names&quot;:false,&quot;dropping-particle&quot;:&quot;&quot;,&quot;non-dropping-particle&quot;:&quot;&quot;},{&quot;family&quot;:&quot;Monaghan&quot;,&quot;given&quot;:&quot;Rory F.D.&quot;,&quot;parse-names&quot;:false,&quot;dropping-particle&quot;:&quot;&quot;,&quot;non-dropping-particle&quot;:&quot;&quot;}],&quot;container-title&quot;:&quot;International Journal of Hydrogen Energy&quot;,&quot;container-title-short&quot;:&quot;Int J Hydrogen Energy&quot;,&quot;DOI&quot;:&quot;10.1016/j.ijhydene.2023.06.269&quot;,&quot;ISSN&quot;:&quot;03603199&quot;,&quot;issued&quot;:{&quot;date-parts&quot;:[[2024,1,2]]},&quot;page&quot;:&quot;1090-1100&quot;,&quot;abstract&quot;:&quot;Hydrogen is seen as a key energy vector in future energy systems due to its ability to be stored in large volumes for long periods, providing energy flexibility and security. Despite the importance of storage in hydrogen's potential role in a zero-carbon energy system, many techno-economic analyses fail to adequately model different storage methods in hydrogen supply chains, often ignoring storage requirements altogether. Therefore, this paper uses a data-driven techno-economic analysis (TEA) tool to examine the effect of storage size and cost on three different 2030 hydrogen supply chain scenarios: wind-based, solar-based, and mixed-source grid electrolysis. For varying storage sizes and specific capital costs, the overall levelised cost of hydrogen (LCOH), including production, storage, and delivery to a constant demand, varies significantly. The LCOH ranges from €3.90–12.40/kgH2, €5.50–12.75/kgH2, and €2.80–15.65/kgH2 for the wind-based, solar-based, and mixed-source grid scenarios respectively, with lower values for scenarios with low-cost storage. This highlights the critical role of low-cost hydrogen storage in realising the energy flexibility and security electrolytic hydrogen can provide.&quot;,&quot;publisher&quot;:&quot;Elsevier Ltd&quot;,&quot;volume&quot;:&quot;52&quot;},&quot;isTemporary&quot;:false,&quot;suppress-author&quot;:false,&quot;composite&quot;:false,&quot;author-only&quot;:false}]},{&quot;citationID&quot;:&quot;MENDELEY_CITATION_fa5b4a4a-df87-4289-b872-f88ab6863661&quot;,&quot;properties&quot;:{&quot;noteIndex&quot;:0},&quot;isEdited&quot;:false,&quot;manualOverride&quot;:{&quot;isManuallyOverridden&quot;:false,&quot;citeprocText&quot;:&quot;(Dinh et al., 2021)&quot;,&quot;manualOverrideText&quot;:&quot;&quot;},&quot;citationTag&quot;:&quot;MENDELEY_CITATION_v3_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&quot;,&quot;citationItems&quot;:[{&quot;id&quot;:&quot;64a026fe-861d-3ab3-8058-6c65e424df07&quot;,&quot;itemData&quot;:{&quot;type&quot;:&quot;article-journal&quot;,&quot;id&quot;:&quot;64a026fe-861d-3ab3-8058-6c65e424df07&quot;,&quot;title&quot;:&quot;Development of a viability assessment model for hydrogen production from dedicated offshore wind farms&quot;,&quot;author&quot;:[{&quot;family&quot;:&quot;Dinh&quot;,&quot;given&quot;:&quot;Van Nguyen&quot;,&quot;parse-names&quot;:false,&quot;dropping-particle&quot;:&quot;&quot;,&quot;non-dropping-particle&quot;:&quot;&quot;},{&quot;family&quot;:&quot;Leahy&quot;,&quot;given&quot;:&quot;Paul&quot;,&quot;parse-names&quot;:false,&quot;dropping-particle&quot;:&quot;&quot;,&quot;non-dropping-particle&quot;:&quot;&quot;},{&quot;family&quot;:&quot;McKeogh&quot;,&quot;given&quot;:&quot;Eamon&quot;,&quot;parse-names&quot;:false,&quot;dropping-particle&quot;:&quot;&quot;,&quot;non-dropping-particle&quot;:&quot;&quot;},{&quot;family&quot;:&quot;Murphy&quot;,&quot;given&quot;:&quot;Jimmy&quot;,&quot;parse-names&quot;:false,&quot;dropping-particle&quot;:&quot;&quot;,&quot;non-dropping-particle&quot;:&quot;&quot;},{&quot;family&quot;:&quot;Cummins&quot;,&quot;given&quot;:&quot;Val&quot;,&quot;parse-names&quot;:false,&quot;dropping-particle&quot;:&quot;&quot;,&quot;non-dropping-particle&quot;:&quot;&quot;}],&quot;container-title&quot;:&quot;International Journal of Hydrogen Energy&quot;,&quot;container-title-short&quot;:&quot;Int J Hydrogen Energy&quot;,&quot;DOI&quot;:&quot;10.1016/j.ijhydene.2020.04.232&quot;,&quot;ISSN&quot;:&quot;03603199&quot;,&quot;issued&quot;:{&quot;date-parts&quot;:[[2021,7,13]]},&quot;page&quot;:&quot;24620-24631&quot;,&quot;abstract&quot;:&quot;Dedicated offshore wind farms for hydrogen production are a promising option to unlock the full potential of offshore wind energy, attain decarbonisation and energy security targets in electricity and other sectors, and cope with grid expansion constraints. Current knowledge on these systems is limited, particularly the economic aspects. Therefore, a new, integrated and analytical model for viability assessment of hydrogen production from dedicated offshore wind farms is developed in this paper. This includes the formulae for calculating wind power output, electrolysis plant size, and hydrogen production from time-varying wind speed. All the costs are projected to a specified time using both Discounted Payback (DPB) and Net Present Value (NPV) to consider the value of capital over time. A case study considers a hypothetical wind farm of 101.3 MW situated in a potential offshore wind development pipeline off the East Coast of Ireland. All the costs of the wind farm and the electrolysis plant are for 2030, based on reference costs in the literature. Proton exchange membrane electrolysers and underground storage of hydrogen are used. The analysis shows that the DPB and NPV flows for several scenarios of storage are in good agreement and that the viability model performs well. The offshore wind farm – hydrogen production system is found to be profitable in 2030 at a hydrogen price of €5/kg and underground storage capacities ranging from 2 days to 45 days of hydrogen production. The model is helpful for rapid assessment or optimisation of both economics and feasibility of dedicated offshore wind farm – hydrogen production systems.&quot;,&quot;publisher&quot;:&quot;Elsevier Ltd&quot;,&quot;issue&quot;:&quot;48&quot;,&quot;volume&quot;:&quot;46&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9D5C6-BF1B-4A57-A19D-01BFFE02B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924</Words>
  <Characters>5083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hayro pumalloclla</dc:creator>
  <cp:keywords/>
  <dc:description/>
  <cp:lastModifiedBy>hayro pumalloclla</cp:lastModifiedBy>
  <cp:revision>6</cp:revision>
  <cp:lastPrinted>2025-04-08T16:48:00Z</cp:lastPrinted>
  <dcterms:created xsi:type="dcterms:W3CDTF">2025-04-10T01:04:00Z</dcterms:created>
  <dcterms:modified xsi:type="dcterms:W3CDTF">2025-04-10T01:10:00Z</dcterms:modified>
</cp:coreProperties>
</file>